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7ED3" w:rsidRPr="00550871" w:rsidRDefault="008C7ED3" w:rsidP="008C7ED3">
      <w:pPr>
        <w:pStyle w:val="HChG"/>
      </w:pPr>
      <w:r w:rsidRPr="00550871">
        <w:tab/>
      </w:r>
      <w:bookmarkStart w:id="0" w:name="_GoBack"/>
      <w:r w:rsidRPr="00550871">
        <w:t>Vassilis Tzevelekos (Greece)</w:t>
      </w:r>
      <w:bookmarkEnd w:id="0"/>
    </w:p>
    <w:p w:rsidR="008C7ED3" w:rsidRPr="00550871" w:rsidRDefault="008C7ED3" w:rsidP="008C7ED3">
      <w:pPr>
        <w:pStyle w:val="HChG"/>
      </w:pPr>
      <w:r w:rsidRPr="00550871">
        <w:tab/>
        <w:t>I.</w:t>
      </w:r>
      <w:r w:rsidRPr="00550871">
        <w:tab/>
        <w:t>Professional experience (teaching – research – legal practice)</w:t>
      </w:r>
    </w:p>
    <w:tbl>
      <w:tblPr>
        <w:tblW w:w="7370" w:type="dxa"/>
        <w:tblInd w:w="1134" w:type="dxa"/>
        <w:tblBorders>
          <w:top w:val="single" w:sz="4" w:space="0" w:color="auto"/>
          <w:bottom w:val="single" w:sz="12" w:space="0" w:color="auto"/>
        </w:tblBorders>
        <w:tblLayout w:type="fixed"/>
        <w:tblCellMar>
          <w:left w:w="0" w:type="dxa"/>
          <w:right w:w="0" w:type="dxa"/>
        </w:tblCellMar>
        <w:tblLook w:val="04A0" w:firstRow="1" w:lastRow="0" w:firstColumn="1" w:lastColumn="0" w:noHBand="0" w:noVBand="1"/>
      </w:tblPr>
      <w:tblGrid>
        <w:gridCol w:w="1727"/>
        <w:gridCol w:w="5643"/>
      </w:tblGrid>
      <w:tr w:rsidR="008C7ED3" w:rsidRPr="00550871" w:rsidTr="00D86071">
        <w:trPr>
          <w:tblHeader/>
        </w:trPr>
        <w:tc>
          <w:tcPr>
            <w:tcW w:w="1727" w:type="dxa"/>
            <w:tcBorders>
              <w:top w:val="single" w:sz="4" w:space="0" w:color="auto"/>
              <w:bottom w:val="nil"/>
            </w:tcBorders>
            <w:shd w:val="clear" w:color="auto" w:fill="auto"/>
          </w:tcPr>
          <w:p w:rsidR="008C7ED3" w:rsidRPr="00550871" w:rsidRDefault="008C7ED3" w:rsidP="00D86071">
            <w:pPr>
              <w:pStyle w:val="SingleTxtG"/>
              <w:suppressAutoHyphens w:val="0"/>
              <w:spacing w:before="40" w:line="220" w:lineRule="exact"/>
              <w:ind w:left="0" w:right="113"/>
              <w:jc w:val="left"/>
            </w:pPr>
            <w:r w:rsidRPr="00550871">
              <w:t>04/2016–present</w:t>
            </w:r>
          </w:p>
        </w:tc>
        <w:tc>
          <w:tcPr>
            <w:tcW w:w="5643" w:type="dxa"/>
            <w:tcBorders>
              <w:top w:val="single" w:sz="4" w:space="0" w:color="auto"/>
              <w:bottom w:val="nil"/>
            </w:tcBorders>
            <w:shd w:val="clear" w:color="auto" w:fill="auto"/>
          </w:tcPr>
          <w:p w:rsidR="008C7ED3" w:rsidRPr="00550871" w:rsidRDefault="008C7ED3" w:rsidP="00D86071">
            <w:pPr>
              <w:pStyle w:val="SingleTxtG"/>
              <w:suppressAutoHyphens w:val="0"/>
              <w:spacing w:before="40" w:line="220" w:lineRule="exact"/>
              <w:ind w:left="0" w:right="113"/>
              <w:jc w:val="left"/>
            </w:pPr>
            <w:r w:rsidRPr="00550871">
              <w:t>Senior Lecturer in Law</w:t>
            </w:r>
          </w:p>
          <w:p w:rsidR="008C7ED3" w:rsidRPr="00550871" w:rsidRDefault="008C7ED3" w:rsidP="00D86071">
            <w:pPr>
              <w:pStyle w:val="SingleTxtG"/>
              <w:suppressAutoHyphens w:val="0"/>
              <w:spacing w:before="40" w:line="220" w:lineRule="exact"/>
              <w:ind w:left="0" w:right="113"/>
              <w:jc w:val="left"/>
            </w:pPr>
            <w:r w:rsidRPr="00550871">
              <w:t>University of Liverpool School of Law and Social Justice</w:t>
            </w:r>
          </w:p>
        </w:tc>
      </w:tr>
      <w:tr w:rsidR="008C7ED3" w:rsidRPr="00550871" w:rsidTr="00D86071">
        <w:tc>
          <w:tcPr>
            <w:tcW w:w="1727" w:type="dxa"/>
            <w:tcBorders>
              <w:top w:val="nil"/>
            </w:tcBorders>
            <w:shd w:val="clear" w:color="auto" w:fill="auto"/>
          </w:tcPr>
          <w:p w:rsidR="008C7ED3" w:rsidRPr="00550871" w:rsidRDefault="008C7ED3" w:rsidP="00D86071">
            <w:pPr>
              <w:pStyle w:val="SingleTxtG"/>
              <w:suppressAutoHyphens w:val="0"/>
              <w:spacing w:before="40" w:line="220" w:lineRule="exact"/>
              <w:ind w:left="0" w:right="113"/>
              <w:jc w:val="left"/>
            </w:pPr>
            <w:r w:rsidRPr="00550871">
              <w:t>09/2016–01/2017</w:t>
            </w:r>
          </w:p>
        </w:tc>
        <w:tc>
          <w:tcPr>
            <w:tcW w:w="5643" w:type="dxa"/>
            <w:tcBorders>
              <w:top w:val="nil"/>
            </w:tcBorders>
            <w:shd w:val="clear" w:color="auto" w:fill="auto"/>
          </w:tcPr>
          <w:p w:rsidR="008C7ED3" w:rsidRPr="00550871" w:rsidRDefault="008C7ED3" w:rsidP="00D86071">
            <w:pPr>
              <w:pStyle w:val="SingleTxtG"/>
              <w:suppressAutoHyphens w:val="0"/>
              <w:spacing w:before="40" w:line="220" w:lineRule="exact"/>
              <w:ind w:left="0" w:right="113"/>
              <w:jc w:val="left"/>
            </w:pPr>
            <w:r w:rsidRPr="00550871">
              <w:t>External Lecturer</w:t>
            </w:r>
          </w:p>
          <w:p w:rsidR="008C7ED3" w:rsidRPr="00550871" w:rsidRDefault="008C7ED3" w:rsidP="00D86071">
            <w:pPr>
              <w:pStyle w:val="SingleTxtG"/>
              <w:suppressAutoHyphens w:val="0"/>
              <w:spacing w:before="40" w:line="220" w:lineRule="exact"/>
              <w:ind w:left="0" w:right="113"/>
              <w:jc w:val="left"/>
            </w:pPr>
            <w:r w:rsidRPr="00550871">
              <w:t>University of Manchester School of Law (part time contract)</w:t>
            </w:r>
          </w:p>
        </w:tc>
      </w:tr>
      <w:tr w:rsidR="008C7ED3" w:rsidRPr="00550871" w:rsidTr="00D86071">
        <w:tc>
          <w:tcPr>
            <w:tcW w:w="1727" w:type="dxa"/>
            <w:shd w:val="clear" w:color="auto" w:fill="auto"/>
          </w:tcPr>
          <w:p w:rsidR="008C7ED3" w:rsidRPr="00550871" w:rsidRDefault="008C7ED3" w:rsidP="00D86071">
            <w:pPr>
              <w:pStyle w:val="SingleTxtG"/>
              <w:suppressAutoHyphens w:val="0"/>
              <w:spacing w:before="40" w:line="220" w:lineRule="exact"/>
              <w:ind w:left="0" w:right="113"/>
              <w:jc w:val="left"/>
            </w:pPr>
            <w:r w:rsidRPr="00550871">
              <w:t>05/2015–04/2016</w:t>
            </w:r>
          </w:p>
        </w:tc>
        <w:tc>
          <w:tcPr>
            <w:tcW w:w="5643" w:type="dxa"/>
            <w:shd w:val="clear" w:color="auto" w:fill="auto"/>
          </w:tcPr>
          <w:p w:rsidR="008C7ED3" w:rsidRPr="00550871" w:rsidRDefault="008C7ED3" w:rsidP="00D86071">
            <w:pPr>
              <w:pStyle w:val="SingleTxtG"/>
              <w:suppressAutoHyphens w:val="0"/>
              <w:spacing w:before="40" w:line="220" w:lineRule="exact"/>
              <w:ind w:left="0" w:right="113"/>
              <w:jc w:val="left"/>
            </w:pPr>
            <w:r w:rsidRPr="00550871">
              <w:t>Senior Lecturer in Law</w:t>
            </w:r>
          </w:p>
          <w:p w:rsidR="008C7ED3" w:rsidRPr="00550871" w:rsidRDefault="008C7ED3" w:rsidP="00D86071">
            <w:pPr>
              <w:pStyle w:val="SingleTxtG"/>
              <w:suppressAutoHyphens w:val="0"/>
              <w:spacing w:before="40" w:line="220" w:lineRule="exact"/>
              <w:ind w:left="0" w:right="113"/>
              <w:jc w:val="left"/>
            </w:pPr>
            <w:r w:rsidRPr="00550871">
              <w:t>University of Hull Law School</w:t>
            </w:r>
          </w:p>
        </w:tc>
      </w:tr>
      <w:tr w:rsidR="008C7ED3" w:rsidRPr="00550871" w:rsidTr="00D86071">
        <w:tc>
          <w:tcPr>
            <w:tcW w:w="1727" w:type="dxa"/>
            <w:shd w:val="clear" w:color="auto" w:fill="auto"/>
          </w:tcPr>
          <w:p w:rsidR="008C7ED3" w:rsidRPr="00550871" w:rsidRDefault="008C7ED3" w:rsidP="00D86071">
            <w:pPr>
              <w:pStyle w:val="SingleTxtG"/>
              <w:suppressAutoHyphens w:val="0"/>
              <w:spacing w:before="40" w:line="220" w:lineRule="exact"/>
              <w:ind w:left="0" w:right="113"/>
              <w:jc w:val="left"/>
            </w:pPr>
            <w:r w:rsidRPr="00550871">
              <w:t>09/2010–04/2015</w:t>
            </w:r>
          </w:p>
        </w:tc>
        <w:tc>
          <w:tcPr>
            <w:tcW w:w="5643" w:type="dxa"/>
            <w:shd w:val="clear" w:color="auto" w:fill="auto"/>
          </w:tcPr>
          <w:p w:rsidR="008C7ED3" w:rsidRPr="00550871" w:rsidRDefault="008C7ED3" w:rsidP="00D86071">
            <w:pPr>
              <w:pStyle w:val="SingleTxtG"/>
              <w:suppressAutoHyphens w:val="0"/>
              <w:spacing w:before="40" w:line="220" w:lineRule="exact"/>
              <w:ind w:left="0" w:right="113"/>
              <w:jc w:val="left"/>
            </w:pPr>
            <w:r w:rsidRPr="00550871">
              <w:t xml:space="preserve">Lecturer in Law </w:t>
            </w:r>
          </w:p>
          <w:p w:rsidR="008C7ED3" w:rsidRPr="00550871" w:rsidRDefault="008C7ED3" w:rsidP="00D86071">
            <w:pPr>
              <w:pStyle w:val="SingleTxtG"/>
              <w:suppressAutoHyphens w:val="0"/>
              <w:spacing w:before="40" w:line="220" w:lineRule="exact"/>
              <w:ind w:left="0" w:right="113"/>
              <w:jc w:val="left"/>
            </w:pPr>
            <w:r w:rsidRPr="00550871">
              <w:t>University of Hull Law School</w:t>
            </w:r>
          </w:p>
        </w:tc>
      </w:tr>
      <w:tr w:rsidR="008C7ED3" w:rsidRPr="00550871" w:rsidTr="00D86071">
        <w:tc>
          <w:tcPr>
            <w:tcW w:w="1727" w:type="dxa"/>
            <w:shd w:val="clear" w:color="auto" w:fill="auto"/>
          </w:tcPr>
          <w:p w:rsidR="008C7ED3" w:rsidRPr="00550871" w:rsidRDefault="008C7ED3" w:rsidP="00D86071">
            <w:pPr>
              <w:pStyle w:val="SingleTxtG"/>
              <w:suppressAutoHyphens w:val="0"/>
              <w:spacing w:before="40" w:line="220" w:lineRule="exact"/>
              <w:ind w:left="0" w:right="113"/>
              <w:jc w:val="left"/>
            </w:pPr>
            <w:r w:rsidRPr="00550871">
              <w:t>08/2009–06/2010</w:t>
            </w:r>
          </w:p>
        </w:tc>
        <w:tc>
          <w:tcPr>
            <w:tcW w:w="5643" w:type="dxa"/>
            <w:shd w:val="clear" w:color="auto" w:fill="auto"/>
          </w:tcPr>
          <w:p w:rsidR="008C7ED3" w:rsidRPr="00550871" w:rsidRDefault="008C7ED3" w:rsidP="00D86071">
            <w:pPr>
              <w:pStyle w:val="SingleTxtG"/>
              <w:suppressAutoHyphens w:val="0"/>
              <w:spacing w:before="40" w:line="220" w:lineRule="exact"/>
              <w:ind w:left="0" w:right="113"/>
              <w:jc w:val="left"/>
            </w:pPr>
            <w:r w:rsidRPr="00550871">
              <w:t>Research Fellow</w:t>
            </w:r>
          </w:p>
          <w:p w:rsidR="008C7ED3" w:rsidRPr="00550871" w:rsidRDefault="008C7ED3" w:rsidP="00D86071">
            <w:pPr>
              <w:pStyle w:val="SingleTxtG"/>
              <w:suppressAutoHyphens w:val="0"/>
              <w:spacing w:before="40" w:line="220" w:lineRule="exact"/>
              <w:ind w:left="0" w:right="113"/>
              <w:jc w:val="left"/>
            </w:pPr>
            <w:r w:rsidRPr="00550871">
              <w:t>University of Michigan Law School (Grotius Fellowship)</w:t>
            </w:r>
          </w:p>
        </w:tc>
      </w:tr>
      <w:tr w:rsidR="008C7ED3" w:rsidRPr="00550871" w:rsidTr="00D86071">
        <w:tc>
          <w:tcPr>
            <w:tcW w:w="1727" w:type="dxa"/>
            <w:shd w:val="clear" w:color="auto" w:fill="auto"/>
          </w:tcPr>
          <w:p w:rsidR="008C7ED3" w:rsidRPr="00550871" w:rsidRDefault="008C7ED3" w:rsidP="00D86071">
            <w:pPr>
              <w:pStyle w:val="SingleTxtG"/>
              <w:suppressAutoHyphens w:val="0"/>
              <w:spacing w:before="40" w:line="220" w:lineRule="exact"/>
              <w:ind w:left="0" w:right="113"/>
              <w:jc w:val="left"/>
            </w:pPr>
            <w:r w:rsidRPr="00550871">
              <w:t>09/2008–12/2008</w:t>
            </w:r>
          </w:p>
        </w:tc>
        <w:tc>
          <w:tcPr>
            <w:tcW w:w="5643" w:type="dxa"/>
            <w:shd w:val="clear" w:color="auto" w:fill="auto"/>
          </w:tcPr>
          <w:p w:rsidR="008C7ED3" w:rsidRPr="00550871" w:rsidRDefault="008C7ED3" w:rsidP="00D86071">
            <w:pPr>
              <w:pStyle w:val="SingleTxtG"/>
              <w:suppressAutoHyphens w:val="0"/>
              <w:spacing w:before="40" w:line="220" w:lineRule="exact"/>
              <w:ind w:left="0" w:right="113"/>
              <w:jc w:val="left"/>
            </w:pPr>
            <w:r w:rsidRPr="00550871">
              <w:t>Visiting Research Fellow</w:t>
            </w:r>
          </w:p>
          <w:p w:rsidR="008C7ED3" w:rsidRPr="00550871" w:rsidRDefault="008C7ED3" w:rsidP="00D86071">
            <w:pPr>
              <w:pStyle w:val="SingleTxtG"/>
              <w:suppressAutoHyphens w:val="0"/>
              <w:spacing w:before="40" w:line="220" w:lineRule="exact"/>
              <w:ind w:left="0" w:right="113"/>
              <w:jc w:val="left"/>
            </w:pPr>
            <w:r w:rsidRPr="00550871">
              <w:t>University of Columbia Law School</w:t>
            </w:r>
          </w:p>
        </w:tc>
      </w:tr>
      <w:tr w:rsidR="008C7ED3" w:rsidRPr="00550871" w:rsidTr="00D86071">
        <w:tc>
          <w:tcPr>
            <w:tcW w:w="1727" w:type="dxa"/>
            <w:shd w:val="clear" w:color="auto" w:fill="auto"/>
          </w:tcPr>
          <w:p w:rsidR="008C7ED3" w:rsidRPr="00550871" w:rsidRDefault="008C7ED3" w:rsidP="00D86071">
            <w:pPr>
              <w:pStyle w:val="SingleTxtG"/>
              <w:suppressAutoHyphens w:val="0"/>
              <w:spacing w:before="40" w:line="220" w:lineRule="exact"/>
              <w:ind w:left="0" w:right="113"/>
              <w:jc w:val="left"/>
            </w:pPr>
            <w:r w:rsidRPr="00550871">
              <w:t xml:space="preserve">Since 2004 </w:t>
            </w:r>
          </w:p>
        </w:tc>
        <w:tc>
          <w:tcPr>
            <w:tcW w:w="5643" w:type="dxa"/>
            <w:shd w:val="clear" w:color="auto" w:fill="auto"/>
          </w:tcPr>
          <w:p w:rsidR="008C7ED3" w:rsidRPr="00550871" w:rsidRDefault="008C7ED3" w:rsidP="00D86071">
            <w:pPr>
              <w:pStyle w:val="SingleTxtG"/>
              <w:suppressAutoHyphens w:val="0"/>
              <w:spacing w:before="40" w:line="220" w:lineRule="exact"/>
              <w:ind w:left="0" w:right="113"/>
              <w:jc w:val="left"/>
            </w:pPr>
            <w:r w:rsidRPr="00550871">
              <w:t>Qualified Lawyer (attorney-at-law)</w:t>
            </w:r>
          </w:p>
          <w:p w:rsidR="008C7ED3" w:rsidRPr="00550871" w:rsidRDefault="008C7ED3" w:rsidP="00D86071">
            <w:pPr>
              <w:pStyle w:val="SingleTxtG"/>
              <w:suppressAutoHyphens w:val="0"/>
              <w:spacing w:before="40" w:line="220" w:lineRule="exact"/>
              <w:ind w:left="0" w:right="113"/>
              <w:jc w:val="left"/>
            </w:pPr>
            <w:r w:rsidRPr="00550871">
              <w:t xml:space="preserve">Qualified with the Athens’ Bar to appear before the highest courts in Greece (e.g. Court of Cassation and Council of State) </w:t>
            </w:r>
          </w:p>
        </w:tc>
      </w:tr>
      <w:tr w:rsidR="008C7ED3" w:rsidRPr="00550871" w:rsidTr="00D86071">
        <w:tc>
          <w:tcPr>
            <w:tcW w:w="1727" w:type="dxa"/>
            <w:shd w:val="clear" w:color="auto" w:fill="auto"/>
          </w:tcPr>
          <w:p w:rsidR="008C7ED3" w:rsidRPr="00550871" w:rsidRDefault="008C7ED3" w:rsidP="00D86071">
            <w:pPr>
              <w:pStyle w:val="SingleTxtG"/>
              <w:suppressAutoHyphens w:val="0"/>
              <w:spacing w:before="40" w:line="220" w:lineRule="exact"/>
              <w:ind w:left="0" w:right="113"/>
              <w:jc w:val="left"/>
            </w:pPr>
            <w:r w:rsidRPr="00550871">
              <w:t>2000–2002</w:t>
            </w:r>
          </w:p>
        </w:tc>
        <w:tc>
          <w:tcPr>
            <w:tcW w:w="5643" w:type="dxa"/>
            <w:shd w:val="clear" w:color="auto" w:fill="auto"/>
          </w:tcPr>
          <w:p w:rsidR="008C7ED3" w:rsidRPr="00550871" w:rsidRDefault="008C7ED3" w:rsidP="00D86071">
            <w:pPr>
              <w:pStyle w:val="SingleTxtG"/>
              <w:suppressAutoHyphens w:val="0"/>
              <w:spacing w:before="40" w:line="220" w:lineRule="exact"/>
              <w:ind w:left="0" w:right="113"/>
              <w:jc w:val="left"/>
            </w:pPr>
            <w:r w:rsidRPr="00550871">
              <w:t>Research intern</w:t>
            </w:r>
          </w:p>
          <w:p w:rsidR="008C7ED3" w:rsidRPr="00550871" w:rsidRDefault="008C7ED3" w:rsidP="00D86071">
            <w:pPr>
              <w:pStyle w:val="SingleTxtG"/>
              <w:suppressAutoHyphens w:val="0"/>
              <w:spacing w:before="40" w:line="220" w:lineRule="exact"/>
              <w:ind w:left="0" w:right="113"/>
              <w:jc w:val="left"/>
            </w:pPr>
            <w:r w:rsidRPr="00550871">
              <w:t>Ministry of Foreign Affairs of Greece, Service of Diplomatic and Historical Archives</w:t>
            </w:r>
          </w:p>
        </w:tc>
      </w:tr>
    </w:tbl>
    <w:p w:rsidR="008C7ED3" w:rsidRPr="00550871" w:rsidRDefault="008C7ED3" w:rsidP="008C7ED3">
      <w:pPr>
        <w:pStyle w:val="HChG"/>
      </w:pPr>
      <w:r w:rsidRPr="00550871">
        <w:tab/>
        <w:t>II.</w:t>
      </w:r>
      <w:r w:rsidRPr="00550871">
        <w:tab/>
        <w:t>Professional qualifications</w:t>
      </w:r>
    </w:p>
    <w:tbl>
      <w:tblPr>
        <w:tblW w:w="7370" w:type="dxa"/>
        <w:tblInd w:w="1134" w:type="dxa"/>
        <w:tblBorders>
          <w:top w:val="single" w:sz="4" w:space="0" w:color="auto"/>
          <w:bottom w:val="single" w:sz="12" w:space="0" w:color="auto"/>
        </w:tblBorders>
        <w:tblLayout w:type="fixed"/>
        <w:tblCellMar>
          <w:left w:w="0" w:type="dxa"/>
          <w:right w:w="0" w:type="dxa"/>
        </w:tblCellMar>
        <w:tblLook w:val="04A0" w:firstRow="1" w:lastRow="0" w:firstColumn="1" w:lastColumn="0" w:noHBand="0" w:noVBand="1"/>
      </w:tblPr>
      <w:tblGrid>
        <w:gridCol w:w="1656"/>
        <w:gridCol w:w="5714"/>
      </w:tblGrid>
      <w:tr w:rsidR="008C7ED3" w:rsidRPr="00550871" w:rsidTr="00D86071">
        <w:tc>
          <w:tcPr>
            <w:tcW w:w="1656" w:type="dxa"/>
            <w:tcBorders>
              <w:top w:val="single" w:sz="4" w:space="0" w:color="auto"/>
              <w:bottom w:val="nil"/>
            </w:tcBorders>
            <w:shd w:val="clear" w:color="auto" w:fill="auto"/>
          </w:tcPr>
          <w:p w:rsidR="008C7ED3" w:rsidRPr="00550871" w:rsidRDefault="008C7ED3" w:rsidP="00D86071">
            <w:pPr>
              <w:pStyle w:val="SingleTxtG"/>
              <w:suppressAutoHyphens w:val="0"/>
              <w:spacing w:before="40" w:line="220" w:lineRule="exact"/>
              <w:ind w:left="0" w:right="113"/>
              <w:jc w:val="left"/>
            </w:pPr>
            <w:r w:rsidRPr="00550871">
              <w:t>2012</w:t>
            </w:r>
          </w:p>
        </w:tc>
        <w:tc>
          <w:tcPr>
            <w:tcW w:w="5714" w:type="dxa"/>
            <w:tcBorders>
              <w:top w:val="single" w:sz="4" w:space="0" w:color="auto"/>
              <w:bottom w:val="nil"/>
            </w:tcBorders>
            <w:shd w:val="clear" w:color="auto" w:fill="auto"/>
          </w:tcPr>
          <w:p w:rsidR="008C7ED3" w:rsidRPr="00550871" w:rsidRDefault="008C7ED3" w:rsidP="00D86071">
            <w:pPr>
              <w:pStyle w:val="SingleTxtG"/>
              <w:suppressAutoHyphens w:val="0"/>
              <w:spacing w:before="40" w:after="0" w:line="220" w:lineRule="exact"/>
              <w:ind w:left="0" w:right="113"/>
              <w:jc w:val="left"/>
            </w:pPr>
            <w:r w:rsidRPr="00550871">
              <w:t>Fellow of the Higher Education Academy (UK)</w:t>
            </w:r>
          </w:p>
          <w:p w:rsidR="008C7ED3" w:rsidRPr="00550871" w:rsidRDefault="008C7ED3" w:rsidP="00D86071">
            <w:pPr>
              <w:pStyle w:val="SingleTxtG"/>
              <w:suppressAutoHyphens w:val="0"/>
              <w:spacing w:line="220" w:lineRule="exact"/>
              <w:ind w:left="0" w:right="113"/>
              <w:jc w:val="left"/>
            </w:pPr>
            <w:r w:rsidRPr="00550871">
              <w:t>(Postgraduate Certificate on Higher Education)</w:t>
            </w:r>
          </w:p>
        </w:tc>
      </w:tr>
      <w:tr w:rsidR="008C7ED3" w:rsidRPr="00550871" w:rsidTr="00D86071">
        <w:tc>
          <w:tcPr>
            <w:tcW w:w="1656" w:type="dxa"/>
            <w:tcBorders>
              <w:top w:val="nil"/>
            </w:tcBorders>
            <w:shd w:val="clear" w:color="auto" w:fill="auto"/>
          </w:tcPr>
          <w:p w:rsidR="008C7ED3" w:rsidRPr="00550871" w:rsidRDefault="008C7ED3" w:rsidP="00D86071">
            <w:pPr>
              <w:pStyle w:val="SingleTxtG"/>
              <w:suppressAutoHyphens w:val="0"/>
              <w:spacing w:before="40" w:line="220" w:lineRule="exact"/>
              <w:ind w:left="0" w:right="113"/>
              <w:jc w:val="left"/>
            </w:pPr>
            <w:r w:rsidRPr="00550871">
              <w:t>2004</w:t>
            </w:r>
          </w:p>
        </w:tc>
        <w:tc>
          <w:tcPr>
            <w:tcW w:w="5714" w:type="dxa"/>
            <w:tcBorders>
              <w:top w:val="nil"/>
            </w:tcBorders>
            <w:shd w:val="clear" w:color="auto" w:fill="auto"/>
          </w:tcPr>
          <w:p w:rsidR="008C7ED3" w:rsidRPr="00550871" w:rsidRDefault="008C7ED3" w:rsidP="00D86071">
            <w:pPr>
              <w:pStyle w:val="SingleTxtG"/>
              <w:suppressAutoHyphens w:val="0"/>
              <w:spacing w:before="40" w:after="0" w:line="220" w:lineRule="exact"/>
              <w:ind w:left="0" w:right="113"/>
              <w:jc w:val="left"/>
            </w:pPr>
            <w:r w:rsidRPr="00550871">
              <w:t>Athens Bar Association, Greece</w:t>
            </w:r>
          </w:p>
          <w:p w:rsidR="008C7ED3" w:rsidRPr="00550871" w:rsidRDefault="008C7ED3" w:rsidP="00D86071">
            <w:pPr>
              <w:pStyle w:val="SingleTxtG"/>
              <w:suppressAutoHyphens w:val="0"/>
              <w:spacing w:line="220" w:lineRule="exact"/>
              <w:ind w:left="0" w:right="113"/>
              <w:jc w:val="left"/>
            </w:pPr>
            <w:r w:rsidRPr="00550871">
              <w:t>Qualified to practise law before the highest courts</w:t>
            </w:r>
          </w:p>
        </w:tc>
      </w:tr>
    </w:tbl>
    <w:p w:rsidR="008C7ED3" w:rsidRPr="00550871" w:rsidRDefault="008C7ED3" w:rsidP="008C7ED3">
      <w:pPr>
        <w:pStyle w:val="HChG"/>
      </w:pPr>
      <w:r w:rsidRPr="00550871">
        <w:tab/>
        <w:t>III.</w:t>
      </w:r>
      <w:r w:rsidRPr="00550871">
        <w:tab/>
        <w:t>Memberships – external engagement</w:t>
      </w:r>
    </w:p>
    <w:tbl>
      <w:tblPr>
        <w:tblW w:w="7370" w:type="dxa"/>
        <w:tblInd w:w="1134" w:type="dxa"/>
        <w:tblBorders>
          <w:top w:val="single" w:sz="4" w:space="0" w:color="auto"/>
          <w:bottom w:val="single" w:sz="12" w:space="0" w:color="auto"/>
        </w:tblBorders>
        <w:tblLayout w:type="fixed"/>
        <w:tblCellMar>
          <w:left w:w="0" w:type="dxa"/>
          <w:right w:w="0" w:type="dxa"/>
        </w:tblCellMar>
        <w:tblLook w:val="04A0" w:firstRow="1" w:lastRow="0" w:firstColumn="1" w:lastColumn="0" w:noHBand="0" w:noVBand="1"/>
      </w:tblPr>
      <w:tblGrid>
        <w:gridCol w:w="1913"/>
        <w:gridCol w:w="5457"/>
      </w:tblGrid>
      <w:tr w:rsidR="008C7ED3" w:rsidRPr="00550871" w:rsidTr="00D86071">
        <w:tc>
          <w:tcPr>
            <w:tcW w:w="1913" w:type="dxa"/>
            <w:tcBorders>
              <w:top w:val="single" w:sz="4" w:space="0" w:color="auto"/>
              <w:bottom w:val="nil"/>
            </w:tcBorders>
            <w:shd w:val="clear" w:color="auto" w:fill="auto"/>
          </w:tcPr>
          <w:p w:rsidR="008C7ED3" w:rsidRPr="00550871" w:rsidRDefault="008C7ED3" w:rsidP="00D86071">
            <w:pPr>
              <w:pStyle w:val="SingleTxtG"/>
              <w:suppressAutoHyphens w:val="0"/>
              <w:spacing w:before="40" w:line="220" w:lineRule="exact"/>
              <w:ind w:left="0" w:right="113"/>
              <w:jc w:val="left"/>
            </w:pPr>
            <w:r w:rsidRPr="00550871">
              <w:t>Research institutes/societies:</w:t>
            </w:r>
          </w:p>
        </w:tc>
        <w:tc>
          <w:tcPr>
            <w:tcW w:w="5457" w:type="dxa"/>
            <w:tcBorders>
              <w:top w:val="single" w:sz="4" w:space="0" w:color="auto"/>
              <w:bottom w:val="nil"/>
            </w:tcBorders>
            <w:shd w:val="clear" w:color="auto" w:fill="auto"/>
          </w:tcPr>
          <w:p w:rsidR="008C7ED3" w:rsidRPr="00550871" w:rsidRDefault="008C7ED3" w:rsidP="00D86071">
            <w:pPr>
              <w:pStyle w:val="SingleTxtG"/>
              <w:suppressAutoHyphens w:val="0"/>
              <w:spacing w:before="40" w:line="220" w:lineRule="exact"/>
              <w:ind w:left="0" w:right="113"/>
              <w:jc w:val="left"/>
            </w:pPr>
            <w:r w:rsidRPr="00550871">
              <w:t>European Society of International Law; International Law Association; Hellenic Society of International Law and International Relations; Greek Public Policy Forum (founding member)</w:t>
            </w:r>
          </w:p>
        </w:tc>
      </w:tr>
      <w:tr w:rsidR="008C7ED3" w:rsidRPr="00550871" w:rsidTr="00D86071">
        <w:tc>
          <w:tcPr>
            <w:tcW w:w="1913" w:type="dxa"/>
            <w:tcBorders>
              <w:top w:val="nil"/>
              <w:bottom w:val="nil"/>
            </w:tcBorders>
            <w:shd w:val="clear" w:color="auto" w:fill="auto"/>
          </w:tcPr>
          <w:p w:rsidR="008C7ED3" w:rsidRPr="00550871" w:rsidRDefault="008C7ED3" w:rsidP="00D86071">
            <w:pPr>
              <w:pStyle w:val="SingleTxtG"/>
              <w:suppressAutoHyphens w:val="0"/>
              <w:spacing w:before="40" w:line="220" w:lineRule="exact"/>
              <w:ind w:left="0" w:right="113"/>
              <w:jc w:val="left"/>
            </w:pPr>
            <w:r w:rsidRPr="00550871">
              <w:t>Editorial boards:</w:t>
            </w:r>
          </w:p>
        </w:tc>
        <w:tc>
          <w:tcPr>
            <w:tcW w:w="5457" w:type="dxa"/>
            <w:tcBorders>
              <w:top w:val="nil"/>
              <w:bottom w:val="nil"/>
            </w:tcBorders>
            <w:shd w:val="clear" w:color="auto" w:fill="auto"/>
          </w:tcPr>
          <w:p w:rsidR="008C7ED3" w:rsidRPr="00550871" w:rsidRDefault="008C7ED3" w:rsidP="00D86071">
            <w:pPr>
              <w:pStyle w:val="SingleTxtG"/>
              <w:suppressAutoHyphens w:val="0"/>
              <w:spacing w:before="40" w:line="220" w:lineRule="exact"/>
              <w:ind w:left="0" w:right="113"/>
              <w:jc w:val="left"/>
            </w:pPr>
            <w:r w:rsidRPr="00550871">
              <w:rPr>
                <w:i/>
                <w:iCs/>
              </w:rPr>
              <w:t>The ECHR Law Review</w:t>
            </w:r>
            <w:r w:rsidRPr="00550871">
              <w:t xml:space="preserve"> (co-editor in chief); </w:t>
            </w:r>
            <w:r w:rsidRPr="00550871">
              <w:rPr>
                <w:i/>
                <w:iCs/>
              </w:rPr>
              <w:t>Brill Research Perspectives in International Legal Theory and Practice</w:t>
            </w:r>
            <w:r w:rsidRPr="00550871">
              <w:t xml:space="preserve"> (2017–present; member of the editorial board); </w:t>
            </w:r>
            <w:r w:rsidRPr="00550871">
              <w:rPr>
                <w:i/>
                <w:iCs/>
              </w:rPr>
              <w:t>Journal of Modern Greek Studies</w:t>
            </w:r>
            <w:r w:rsidRPr="00550871">
              <w:t xml:space="preserve"> (2012–2017; member of the editorial board), </w:t>
            </w:r>
            <w:r w:rsidRPr="00550871">
              <w:rPr>
                <w:i/>
                <w:iCs/>
              </w:rPr>
              <w:t>Efarmoges Dimosiou Dikaiou</w:t>
            </w:r>
            <w:r w:rsidRPr="00550871">
              <w:t xml:space="preserve"> (</w:t>
            </w:r>
            <w:r w:rsidRPr="00550871">
              <w:rPr>
                <w:i/>
                <w:iCs/>
              </w:rPr>
              <w:t>Public Law in Practice</w:t>
            </w:r>
            <w:r w:rsidRPr="00550871">
              <w:t>, 1999–2002, member of the editorial board; co-editor in chief since 2001)</w:t>
            </w:r>
          </w:p>
        </w:tc>
      </w:tr>
      <w:tr w:rsidR="008C7ED3" w:rsidRPr="00550871" w:rsidTr="00D86071">
        <w:tc>
          <w:tcPr>
            <w:tcW w:w="1913" w:type="dxa"/>
            <w:tcBorders>
              <w:top w:val="nil"/>
            </w:tcBorders>
            <w:shd w:val="clear" w:color="auto" w:fill="auto"/>
          </w:tcPr>
          <w:p w:rsidR="008C7ED3" w:rsidRPr="00550871" w:rsidRDefault="008C7ED3" w:rsidP="00D86071">
            <w:pPr>
              <w:pStyle w:val="SingleTxtG"/>
              <w:suppressAutoHyphens w:val="0"/>
              <w:spacing w:before="40" w:line="220" w:lineRule="exact"/>
              <w:ind w:left="0" w:right="113"/>
              <w:jc w:val="left"/>
            </w:pPr>
            <w:r w:rsidRPr="00550871">
              <w:lastRenderedPageBreak/>
              <w:t>Reviewer:</w:t>
            </w:r>
          </w:p>
        </w:tc>
        <w:tc>
          <w:tcPr>
            <w:tcW w:w="5457" w:type="dxa"/>
            <w:tcBorders>
              <w:top w:val="nil"/>
            </w:tcBorders>
            <w:shd w:val="clear" w:color="auto" w:fill="auto"/>
          </w:tcPr>
          <w:p w:rsidR="008C7ED3" w:rsidRPr="00550871" w:rsidRDefault="008C7ED3" w:rsidP="00D86071">
            <w:pPr>
              <w:pStyle w:val="SingleTxtG"/>
              <w:keepLines/>
              <w:suppressAutoHyphens w:val="0"/>
              <w:spacing w:before="40" w:line="220" w:lineRule="exact"/>
              <w:ind w:left="0" w:right="113"/>
              <w:jc w:val="left"/>
            </w:pPr>
            <w:r w:rsidRPr="00550871">
              <w:t xml:space="preserve">Among several other: Cambridge University Press, Routledge, </w:t>
            </w:r>
            <w:r w:rsidRPr="00550871">
              <w:rPr>
                <w:i/>
                <w:iCs/>
              </w:rPr>
              <w:t>Leiden Journal of International Law, Netherlands Yearbook for International Law, European Journal of Human Rights, Australian Journal of Human Rights</w:t>
            </w:r>
            <w:r w:rsidRPr="00550871">
              <w:t>, the Dutch Organisation for Scientific Research, Central European University, British Academy (Tackling the UK’s International Challenges 2018), ESRC (research grants; open call – UK), FNRS (National Fund for Scientific Research – Belgium), Czech Science Foundation</w:t>
            </w:r>
          </w:p>
        </w:tc>
      </w:tr>
    </w:tbl>
    <w:p w:rsidR="008C7ED3" w:rsidRPr="00550871" w:rsidRDefault="008C7ED3" w:rsidP="008C7ED3">
      <w:pPr>
        <w:pStyle w:val="HChG"/>
      </w:pPr>
      <w:r w:rsidRPr="00550871">
        <w:tab/>
        <w:t>IV.</w:t>
      </w:r>
      <w:r w:rsidRPr="00550871">
        <w:tab/>
        <w:t>Education</w:t>
      </w:r>
    </w:p>
    <w:tbl>
      <w:tblPr>
        <w:tblW w:w="7370" w:type="dxa"/>
        <w:tblInd w:w="1134" w:type="dxa"/>
        <w:tblBorders>
          <w:top w:val="single" w:sz="4" w:space="0" w:color="auto"/>
          <w:bottom w:val="single" w:sz="12" w:space="0" w:color="auto"/>
        </w:tblBorders>
        <w:tblLayout w:type="fixed"/>
        <w:tblCellMar>
          <w:left w:w="0" w:type="dxa"/>
          <w:right w:w="0" w:type="dxa"/>
        </w:tblCellMar>
        <w:tblLook w:val="04A0" w:firstRow="1" w:lastRow="0" w:firstColumn="1" w:lastColumn="0" w:noHBand="0" w:noVBand="1"/>
      </w:tblPr>
      <w:tblGrid>
        <w:gridCol w:w="1648"/>
        <w:gridCol w:w="5722"/>
      </w:tblGrid>
      <w:tr w:rsidR="008C7ED3" w:rsidRPr="00E61C92" w:rsidTr="00D86071">
        <w:tc>
          <w:tcPr>
            <w:tcW w:w="1648" w:type="dxa"/>
            <w:tcBorders>
              <w:top w:val="single" w:sz="4" w:space="0" w:color="auto"/>
              <w:bottom w:val="nil"/>
            </w:tcBorders>
            <w:shd w:val="clear" w:color="auto" w:fill="auto"/>
          </w:tcPr>
          <w:p w:rsidR="008C7ED3" w:rsidRPr="00550871" w:rsidRDefault="008C7ED3" w:rsidP="00D86071">
            <w:pPr>
              <w:pStyle w:val="SingleTxtG"/>
              <w:suppressAutoHyphens w:val="0"/>
              <w:spacing w:before="40" w:line="220" w:lineRule="exact"/>
              <w:ind w:left="0" w:right="113"/>
              <w:jc w:val="left"/>
            </w:pPr>
            <w:r w:rsidRPr="00550871">
              <w:t>2013</w:t>
            </w:r>
          </w:p>
        </w:tc>
        <w:tc>
          <w:tcPr>
            <w:tcW w:w="5722" w:type="dxa"/>
            <w:tcBorders>
              <w:top w:val="single" w:sz="4" w:space="0" w:color="auto"/>
              <w:bottom w:val="nil"/>
            </w:tcBorders>
            <w:shd w:val="clear" w:color="auto" w:fill="auto"/>
          </w:tcPr>
          <w:p w:rsidR="008C7ED3" w:rsidRPr="00550871" w:rsidRDefault="008C7ED3" w:rsidP="00D86071">
            <w:pPr>
              <w:pStyle w:val="SingleTxtG"/>
              <w:suppressAutoHyphens w:val="0"/>
              <w:spacing w:before="40" w:line="220" w:lineRule="exact"/>
              <w:ind w:left="0" w:right="113"/>
              <w:jc w:val="left"/>
            </w:pPr>
            <w:r w:rsidRPr="00550871">
              <w:t>European University Institute, Florence, Italy (Department of Law)</w:t>
            </w:r>
          </w:p>
          <w:p w:rsidR="008C7ED3" w:rsidRPr="00A419B6" w:rsidRDefault="008C7ED3" w:rsidP="00D86071">
            <w:pPr>
              <w:pStyle w:val="SingleTxtG"/>
              <w:suppressAutoHyphens w:val="0"/>
              <w:spacing w:before="40" w:line="220" w:lineRule="exact"/>
              <w:ind w:left="0" w:right="113"/>
              <w:jc w:val="left"/>
              <w:rPr>
                <w:lang w:val="fr-CH"/>
              </w:rPr>
            </w:pPr>
            <w:r w:rsidRPr="00A419B6">
              <w:rPr>
                <w:lang w:val="fr-CH"/>
              </w:rPr>
              <w:t>PhD in law</w:t>
            </w:r>
          </w:p>
          <w:p w:rsidR="008C7ED3" w:rsidRPr="00A419B6" w:rsidRDefault="008C7ED3" w:rsidP="00D86071">
            <w:pPr>
              <w:pStyle w:val="SingleTxtG"/>
              <w:suppressAutoHyphens w:val="0"/>
              <w:spacing w:before="40" w:line="220" w:lineRule="exact"/>
              <w:ind w:left="0" w:right="113"/>
              <w:jc w:val="left"/>
              <w:rPr>
                <w:lang w:val="fr-CH"/>
              </w:rPr>
            </w:pPr>
            <w:r w:rsidRPr="00A419B6">
              <w:rPr>
                <w:lang w:val="fr-CH"/>
              </w:rPr>
              <w:t xml:space="preserve">Doctoral thesis title: </w:t>
            </w:r>
            <w:r w:rsidRPr="00A419B6">
              <w:rPr>
                <w:i/>
                <w:iCs/>
                <w:lang w:val="fr-CH"/>
              </w:rPr>
              <w:t>La coutume internationale générale entre volonté et nécessité internationales: «… c’était quand même une solution». Un essai de déconstruction des présupposés doctrinaux volontaristes et objectivistes</w:t>
            </w:r>
          </w:p>
        </w:tc>
      </w:tr>
      <w:tr w:rsidR="008C7ED3" w:rsidRPr="00550871" w:rsidTr="00D86071">
        <w:tc>
          <w:tcPr>
            <w:tcW w:w="1648" w:type="dxa"/>
            <w:tcBorders>
              <w:top w:val="nil"/>
            </w:tcBorders>
            <w:shd w:val="clear" w:color="auto" w:fill="auto"/>
          </w:tcPr>
          <w:p w:rsidR="008C7ED3" w:rsidRPr="00550871" w:rsidRDefault="008C7ED3" w:rsidP="00D86071">
            <w:pPr>
              <w:pStyle w:val="SingleTxtG"/>
              <w:suppressAutoHyphens w:val="0"/>
              <w:spacing w:before="40" w:line="220" w:lineRule="exact"/>
              <w:ind w:left="0" w:right="113"/>
              <w:jc w:val="left"/>
            </w:pPr>
            <w:r w:rsidRPr="00550871">
              <w:t>2006</w:t>
            </w:r>
          </w:p>
        </w:tc>
        <w:tc>
          <w:tcPr>
            <w:tcW w:w="5722" w:type="dxa"/>
            <w:tcBorders>
              <w:top w:val="nil"/>
            </w:tcBorders>
            <w:shd w:val="clear" w:color="auto" w:fill="auto"/>
          </w:tcPr>
          <w:p w:rsidR="008C7ED3" w:rsidRPr="00550871" w:rsidRDefault="008C7ED3" w:rsidP="00D86071">
            <w:pPr>
              <w:pStyle w:val="SingleTxtG"/>
              <w:suppressAutoHyphens w:val="0"/>
              <w:spacing w:before="40" w:line="220" w:lineRule="exact"/>
              <w:ind w:left="0" w:right="113"/>
              <w:jc w:val="left"/>
            </w:pPr>
            <w:r w:rsidRPr="00550871">
              <w:t>European University Institute, Florence, Italy (Department of Law)</w:t>
            </w:r>
          </w:p>
          <w:p w:rsidR="008C7ED3" w:rsidRPr="00550871" w:rsidRDefault="008C7ED3" w:rsidP="00D86071">
            <w:pPr>
              <w:pStyle w:val="SingleTxtG"/>
              <w:suppressAutoHyphens w:val="0"/>
              <w:spacing w:before="40" w:line="220" w:lineRule="exact"/>
              <w:ind w:left="0" w:right="113"/>
              <w:jc w:val="left"/>
            </w:pPr>
            <w:r w:rsidRPr="00550871">
              <w:t>MRes in legal research</w:t>
            </w:r>
          </w:p>
        </w:tc>
      </w:tr>
      <w:tr w:rsidR="008C7ED3" w:rsidRPr="00550871" w:rsidTr="00D86071">
        <w:tc>
          <w:tcPr>
            <w:tcW w:w="1648" w:type="dxa"/>
            <w:shd w:val="clear" w:color="auto" w:fill="auto"/>
          </w:tcPr>
          <w:p w:rsidR="008C7ED3" w:rsidRPr="00550871" w:rsidRDefault="008C7ED3" w:rsidP="00D86071">
            <w:pPr>
              <w:pStyle w:val="SingleTxtG"/>
              <w:suppressAutoHyphens w:val="0"/>
              <w:spacing w:before="40" w:line="220" w:lineRule="exact"/>
              <w:ind w:left="0" w:right="113"/>
              <w:jc w:val="left"/>
            </w:pPr>
            <w:r w:rsidRPr="00550871">
              <w:t>2005</w:t>
            </w:r>
          </w:p>
        </w:tc>
        <w:tc>
          <w:tcPr>
            <w:tcW w:w="5722" w:type="dxa"/>
            <w:shd w:val="clear" w:color="auto" w:fill="auto"/>
          </w:tcPr>
          <w:p w:rsidR="008C7ED3" w:rsidRPr="00550871" w:rsidRDefault="008C7ED3" w:rsidP="00D86071">
            <w:pPr>
              <w:pStyle w:val="SingleTxtG"/>
              <w:suppressAutoHyphens w:val="0"/>
              <w:spacing w:before="40" w:line="220" w:lineRule="exact"/>
              <w:ind w:left="0" w:right="113"/>
              <w:jc w:val="left"/>
            </w:pPr>
            <w:r w:rsidRPr="00550871">
              <w:t>College of Europe, Bruges, Belgium (Department of Political Science)</w:t>
            </w:r>
          </w:p>
          <w:p w:rsidR="008C7ED3" w:rsidRPr="00550871" w:rsidRDefault="008C7ED3" w:rsidP="00D86071">
            <w:pPr>
              <w:pStyle w:val="SingleTxtG"/>
              <w:suppressAutoHyphens w:val="0"/>
              <w:spacing w:before="40" w:line="220" w:lineRule="exact"/>
              <w:ind w:left="0" w:right="113"/>
              <w:jc w:val="left"/>
            </w:pPr>
            <w:r w:rsidRPr="00550871">
              <w:t>MA in European Political and Administrative Studies</w:t>
            </w:r>
          </w:p>
        </w:tc>
      </w:tr>
      <w:tr w:rsidR="008C7ED3" w:rsidRPr="00E61C92" w:rsidTr="00D86071">
        <w:tc>
          <w:tcPr>
            <w:tcW w:w="1648" w:type="dxa"/>
            <w:shd w:val="clear" w:color="auto" w:fill="auto"/>
          </w:tcPr>
          <w:p w:rsidR="008C7ED3" w:rsidRPr="00550871" w:rsidRDefault="008C7ED3" w:rsidP="00D86071">
            <w:pPr>
              <w:pStyle w:val="SingleTxtG"/>
              <w:suppressAutoHyphens w:val="0"/>
              <w:spacing w:before="40" w:line="220" w:lineRule="exact"/>
              <w:ind w:left="0" w:right="113"/>
              <w:jc w:val="left"/>
            </w:pPr>
            <w:r w:rsidRPr="00550871">
              <w:t>2003</w:t>
            </w:r>
          </w:p>
        </w:tc>
        <w:tc>
          <w:tcPr>
            <w:tcW w:w="5722" w:type="dxa"/>
            <w:shd w:val="clear" w:color="auto" w:fill="auto"/>
          </w:tcPr>
          <w:p w:rsidR="008C7ED3" w:rsidRPr="00A419B6" w:rsidRDefault="008C7ED3" w:rsidP="00D86071">
            <w:pPr>
              <w:pStyle w:val="SingleTxtG"/>
              <w:suppressAutoHyphens w:val="0"/>
              <w:spacing w:before="40" w:line="220" w:lineRule="exact"/>
              <w:ind w:left="0" w:right="113"/>
              <w:jc w:val="left"/>
              <w:rPr>
                <w:lang w:val="fr-CH"/>
              </w:rPr>
            </w:pPr>
            <w:r w:rsidRPr="00A419B6">
              <w:rPr>
                <w:lang w:val="fr-CH"/>
              </w:rPr>
              <w:t>Université Paris 1 Panthéon – Sorbonne, Paris, France (Department of Law)</w:t>
            </w:r>
          </w:p>
          <w:p w:rsidR="008C7ED3" w:rsidRPr="00A419B6" w:rsidRDefault="008C7ED3" w:rsidP="00D86071">
            <w:pPr>
              <w:pStyle w:val="SingleTxtG"/>
              <w:suppressAutoHyphens w:val="0"/>
              <w:spacing w:before="40" w:line="220" w:lineRule="exact"/>
              <w:ind w:left="0" w:right="113"/>
              <w:jc w:val="left"/>
              <w:rPr>
                <w:lang w:val="fr-CH"/>
              </w:rPr>
            </w:pPr>
            <w:r w:rsidRPr="00A419B6">
              <w:rPr>
                <w:lang w:val="fr-CH"/>
              </w:rPr>
              <w:t>DEA droit international public et organisations internationales</w:t>
            </w:r>
          </w:p>
        </w:tc>
      </w:tr>
      <w:tr w:rsidR="008C7ED3" w:rsidRPr="00550871" w:rsidTr="00D86071">
        <w:tc>
          <w:tcPr>
            <w:tcW w:w="1648" w:type="dxa"/>
            <w:shd w:val="clear" w:color="auto" w:fill="auto"/>
          </w:tcPr>
          <w:p w:rsidR="008C7ED3" w:rsidRPr="00550871" w:rsidRDefault="008C7ED3" w:rsidP="00D86071">
            <w:pPr>
              <w:pStyle w:val="SingleTxtG"/>
              <w:suppressAutoHyphens w:val="0"/>
              <w:spacing w:before="40" w:line="220" w:lineRule="exact"/>
              <w:ind w:left="0" w:right="113"/>
              <w:jc w:val="left"/>
            </w:pPr>
            <w:r w:rsidRPr="00550871">
              <w:t>2002</w:t>
            </w:r>
          </w:p>
        </w:tc>
        <w:tc>
          <w:tcPr>
            <w:tcW w:w="5722" w:type="dxa"/>
            <w:shd w:val="clear" w:color="auto" w:fill="auto"/>
          </w:tcPr>
          <w:p w:rsidR="008C7ED3" w:rsidRPr="00550871" w:rsidRDefault="008C7ED3" w:rsidP="00D86071">
            <w:pPr>
              <w:pStyle w:val="SingleTxtG"/>
              <w:suppressAutoHyphens w:val="0"/>
              <w:spacing w:before="40" w:line="220" w:lineRule="exact"/>
              <w:ind w:left="0" w:right="113"/>
              <w:jc w:val="left"/>
            </w:pPr>
            <w:r w:rsidRPr="00550871">
              <w:t>National and Kapodistrian University of Athens, Athens, Greece (Department of Law)</w:t>
            </w:r>
          </w:p>
          <w:p w:rsidR="008C7ED3" w:rsidRPr="00550871" w:rsidRDefault="008C7ED3" w:rsidP="00D86071">
            <w:pPr>
              <w:pStyle w:val="SingleTxtG"/>
              <w:suppressAutoHyphens w:val="0"/>
              <w:spacing w:before="40" w:line="220" w:lineRule="exact"/>
              <w:ind w:left="0" w:right="113"/>
              <w:jc w:val="left"/>
            </w:pPr>
            <w:r w:rsidRPr="00550871">
              <w:t>LLB (Ptychio)</w:t>
            </w:r>
          </w:p>
        </w:tc>
      </w:tr>
    </w:tbl>
    <w:p w:rsidR="008C7ED3" w:rsidRPr="00550871" w:rsidRDefault="008C7ED3" w:rsidP="008C7ED3">
      <w:pPr>
        <w:pStyle w:val="HChG"/>
      </w:pPr>
      <w:r w:rsidRPr="00550871">
        <w:tab/>
        <w:t>V.</w:t>
      </w:r>
      <w:r w:rsidRPr="00550871">
        <w:tab/>
        <w:t>Current research funding</w:t>
      </w:r>
    </w:p>
    <w:p w:rsidR="008C7ED3" w:rsidRPr="00550871" w:rsidRDefault="008C7ED3" w:rsidP="008C7ED3">
      <w:pPr>
        <w:pStyle w:val="SingleTxtG"/>
      </w:pPr>
      <w:r w:rsidRPr="00550871">
        <w:t>Swiss Network for International Studies</w:t>
      </w:r>
    </w:p>
    <w:p w:rsidR="008C7ED3" w:rsidRPr="00550871" w:rsidRDefault="008C7ED3" w:rsidP="008C7ED3">
      <w:pPr>
        <w:pStyle w:val="SingleTxtG"/>
      </w:pPr>
      <w:r w:rsidRPr="00550871">
        <w:t xml:space="preserve">Research Grant (300.000 Swiss francs); Project title: European consensus (co-investigator; main applicant Professor Slapin; part of a team of lawyers, political scientists and computer scientists creating an algorithm used to identify the use of the consensus method of interpretation in the case law of the European Court of Human Rights and conceptualising said method by means of quantitative analysis) </w:t>
      </w:r>
    </w:p>
    <w:p w:rsidR="008C7ED3" w:rsidRPr="00550871" w:rsidRDefault="008C7ED3" w:rsidP="008C7ED3">
      <w:pPr>
        <w:pStyle w:val="HChG"/>
      </w:pPr>
      <w:r w:rsidRPr="00550871">
        <w:tab/>
        <w:t>VI.</w:t>
      </w:r>
      <w:r w:rsidRPr="00550871">
        <w:tab/>
        <w:t>Languages</w:t>
      </w:r>
    </w:p>
    <w:p w:rsidR="008C7ED3" w:rsidRPr="00550871" w:rsidRDefault="008C7ED3" w:rsidP="008C7ED3">
      <w:pPr>
        <w:pStyle w:val="SingleTxtG"/>
      </w:pPr>
      <w:r w:rsidRPr="00550871">
        <w:t>Greek</w:t>
      </w:r>
      <w:r w:rsidRPr="00550871">
        <w:tab/>
        <w:t>Native speaker</w:t>
      </w:r>
    </w:p>
    <w:p w:rsidR="008C7ED3" w:rsidRPr="00550871" w:rsidRDefault="008C7ED3" w:rsidP="008C7ED3">
      <w:pPr>
        <w:pStyle w:val="SingleTxtG"/>
      </w:pPr>
      <w:r w:rsidRPr="00550871">
        <w:t>English</w:t>
      </w:r>
      <w:r w:rsidRPr="00550871">
        <w:tab/>
        <w:t>Proficient user in understanding, speaking and writing</w:t>
      </w:r>
    </w:p>
    <w:p w:rsidR="008C7ED3" w:rsidRPr="00550871" w:rsidRDefault="008C7ED3" w:rsidP="008C7ED3">
      <w:pPr>
        <w:pStyle w:val="SingleTxtG"/>
      </w:pPr>
      <w:r w:rsidRPr="00550871">
        <w:t>French</w:t>
      </w:r>
      <w:r w:rsidRPr="00550871">
        <w:tab/>
      </w:r>
      <w:r w:rsidRPr="00550871">
        <w:tab/>
        <w:t>Proficient user in understanding, speaking and writing</w:t>
      </w:r>
    </w:p>
    <w:p w:rsidR="008C7ED3" w:rsidRPr="00550871" w:rsidRDefault="008C7ED3" w:rsidP="008C7ED3">
      <w:pPr>
        <w:pStyle w:val="SingleTxtG"/>
        <w:ind w:left="2268" w:hanging="1134"/>
      </w:pPr>
      <w:r w:rsidRPr="00550871">
        <w:t>Italian</w:t>
      </w:r>
      <w:r w:rsidRPr="00550871">
        <w:tab/>
        <w:t>Working knowledge, independent user in understanding, basic user in speaking and writing</w:t>
      </w:r>
    </w:p>
    <w:p w:rsidR="008C7ED3" w:rsidRPr="00550871" w:rsidRDefault="008C7ED3" w:rsidP="008C7ED3">
      <w:pPr>
        <w:pStyle w:val="HChG"/>
      </w:pPr>
      <w:r w:rsidRPr="00550871">
        <w:tab/>
        <w:t>VII.</w:t>
      </w:r>
      <w:r w:rsidRPr="00550871">
        <w:tab/>
        <w:t>Organisation of international conferences and workshops</w:t>
      </w:r>
    </w:p>
    <w:tbl>
      <w:tblPr>
        <w:tblW w:w="7370" w:type="dxa"/>
        <w:tblInd w:w="1134" w:type="dxa"/>
        <w:tblBorders>
          <w:top w:val="single" w:sz="4" w:space="0" w:color="auto"/>
          <w:bottom w:val="single" w:sz="12" w:space="0" w:color="auto"/>
        </w:tblBorders>
        <w:tblLayout w:type="fixed"/>
        <w:tblCellMar>
          <w:left w:w="0" w:type="dxa"/>
          <w:right w:w="0" w:type="dxa"/>
        </w:tblCellMar>
        <w:tblLook w:val="04A0" w:firstRow="1" w:lastRow="0" w:firstColumn="1" w:lastColumn="0" w:noHBand="0" w:noVBand="1"/>
      </w:tblPr>
      <w:tblGrid>
        <w:gridCol w:w="1634"/>
        <w:gridCol w:w="5736"/>
      </w:tblGrid>
      <w:tr w:rsidR="008C7ED3" w:rsidRPr="00550871" w:rsidTr="00D86071">
        <w:tc>
          <w:tcPr>
            <w:tcW w:w="1634" w:type="dxa"/>
            <w:tcBorders>
              <w:top w:val="single" w:sz="4" w:space="0" w:color="auto"/>
              <w:bottom w:val="nil"/>
            </w:tcBorders>
            <w:shd w:val="clear" w:color="auto" w:fill="auto"/>
          </w:tcPr>
          <w:p w:rsidR="008C7ED3" w:rsidRPr="00550871" w:rsidRDefault="008C7ED3" w:rsidP="00D86071">
            <w:pPr>
              <w:pStyle w:val="SingleTxtG"/>
              <w:suppressAutoHyphens w:val="0"/>
              <w:spacing w:before="40" w:line="220" w:lineRule="exact"/>
              <w:ind w:left="0" w:right="113"/>
              <w:jc w:val="left"/>
            </w:pPr>
            <w:r w:rsidRPr="00550871">
              <w:t>2019</w:t>
            </w:r>
          </w:p>
        </w:tc>
        <w:tc>
          <w:tcPr>
            <w:tcW w:w="5736" w:type="dxa"/>
            <w:tcBorders>
              <w:top w:val="single" w:sz="4" w:space="0" w:color="auto"/>
              <w:bottom w:val="nil"/>
            </w:tcBorders>
            <w:shd w:val="clear" w:color="auto" w:fill="auto"/>
          </w:tcPr>
          <w:p w:rsidR="008C7ED3" w:rsidRPr="00550871" w:rsidRDefault="008C7ED3" w:rsidP="00D86071">
            <w:pPr>
              <w:pStyle w:val="SingleTxtG"/>
              <w:suppressAutoHyphens w:val="0"/>
              <w:spacing w:before="40" w:line="220" w:lineRule="exact"/>
              <w:ind w:left="0" w:right="113"/>
              <w:jc w:val="left"/>
            </w:pPr>
            <w:r w:rsidRPr="00550871">
              <w:t xml:space="preserve">The ‘Greek Case’ in the Council of Europe: A Game Changer for International Law and Human Rights? </w:t>
            </w:r>
          </w:p>
          <w:p w:rsidR="008C7ED3" w:rsidRPr="00550871" w:rsidRDefault="008C7ED3" w:rsidP="00D86071">
            <w:pPr>
              <w:pStyle w:val="SingleTxtG"/>
              <w:suppressAutoHyphens w:val="0"/>
              <w:spacing w:before="40" w:line="220" w:lineRule="exact"/>
              <w:ind w:left="0" w:right="113"/>
              <w:jc w:val="left"/>
            </w:pPr>
            <w:r w:rsidRPr="00550871">
              <w:t xml:space="preserve">University of Athens, 12–14/12/2019 [invited member of the </w:t>
            </w:r>
            <w:r w:rsidRPr="00550871">
              <w:lastRenderedPageBreak/>
              <w:t>scientific committee]</w:t>
            </w:r>
          </w:p>
        </w:tc>
      </w:tr>
      <w:tr w:rsidR="008C7ED3" w:rsidRPr="00550871" w:rsidTr="00D86071">
        <w:tc>
          <w:tcPr>
            <w:tcW w:w="1634" w:type="dxa"/>
            <w:tcBorders>
              <w:top w:val="nil"/>
            </w:tcBorders>
            <w:shd w:val="clear" w:color="auto" w:fill="auto"/>
          </w:tcPr>
          <w:p w:rsidR="008C7ED3" w:rsidRPr="00550871" w:rsidRDefault="008C7ED3" w:rsidP="00D86071">
            <w:pPr>
              <w:pStyle w:val="SingleTxtG"/>
              <w:suppressAutoHyphens w:val="0"/>
              <w:spacing w:before="40" w:line="220" w:lineRule="exact"/>
              <w:ind w:left="0" w:right="113"/>
              <w:jc w:val="left"/>
            </w:pPr>
            <w:r w:rsidRPr="00550871">
              <w:lastRenderedPageBreak/>
              <w:t>2019</w:t>
            </w:r>
          </w:p>
        </w:tc>
        <w:tc>
          <w:tcPr>
            <w:tcW w:w="5736" w:type="dxa"/>
            <w:tcBorders>
              <w:top w:val="nil"/>
            </w:tcBorders>
            <w:shd w:val="clear" w:color="auto" w:fill="auto"/>
          </w:tcPr>
          <w:p w:rsidR="008C7ED3" w:rsidRPr="00550871" w:rsidRDefault="008C7ED3" w:rsidP="00D86071">
            <w:pPr>
              <w:pStyle w:val="SingleTxtG"/>
              <w:suppressAutoHyphens w:val="0"/>
              <w:spacing w:before="40" w:line="220" w:lineRule="exact"/>
              <w:ind w:left="0" w:right="113"/>
              <w:jc w:val="left"/>
            </w:pPr>
            <w:r w:rsidRPr="00550871">
              <w:t xml:space="preserve">Loyal Co-Operation within the System of the European Convention on Human Rights </w:t>
            </w:r>
          </w:p>
          <w:p w:rsidR="008C7ED3" w:rsidRPr="00550871" w:rsidRDefault="008C7ED3" w:rsidP="00D86071">
            <w:pPr>
              <w:pStyle w:val="SingleTxtG"/>
              <w:suppressAutoHyphens w:val="0"/>
              <w:spacing w:before="40" w:line="220" w:lineRule="exact"/>
              <w:ind w:left="0" w:right="113"/>
              <w:jc w:val="left"/>
            </w:pPr>
            <w:r w:rsidRPr="00550871">
              <w:t>University of Liverpool, International Law and Human Rights Unit, Liverpool, UK, 10–11/05/2019 [co-organised with Dr Dzehtsiarou]</w:t>
            </w:r>
          </w:p>
        </w:tc>
      </w:tr>
      <w:tr w:rsidR="008C7ED3" w:rsidRPr="00550871" w:rsidTr="00D86071">
        <w:tc>
          <w:tcPr>
            <w:tcW w:w="1634" w:type="dxa"/>
            <w:shd w:val="clear" w:color="auto" w:fill="auto"/>
          </w:tcPr>
          <w:p w:rsidR="008C7ED3" w:rsidRPr="00550871" w:rsidRDefault="008C7ED3" w:rsidP="00D86071">
            <w:pPr>
              <w:pStyle w:val="SingleTxtG"/>
              <w:suppressAutoHyphens w:val="0"/>
              <w:spacing w:before="40" w:line="220" w:lineRule="exact"/>
              <w:ind w:left="0" w:right="113"/>
              <w:jc w:val="left"/>
            </w:pPr>
            <w:r w:rsidRPr="00550871">
              <w:t>2017</w:t>
            </w:r>
          </w:p>
        </w:tc>
        <w:tc>
          <w:tcPr>
            <w:tcW w:w="5736" w:type="dxa"/>
            <w:shd w:val="clear" w:color="auto" w:fill="auto"/>
          </w:tcPr>
          <w:p w:rsidR="008C7ED3" w:rsidRPr="00550871" w:rsidRDefault="008C7ED3" w:rsidP="00D86071">
            <w:pPr>
              <w:pStyle w:val="SingleTxtG"/>
              <w:suppressAutoHyphens w:val="0"/>
              <w:spacing w:before="40" w:line="220" w:lineRule="exact"/>
              <w:ind w:left="0" w:right="113"/>
              <w:jc w:val="left"/>
            </w:pPr>
            <w:r w:rsidRPr="00550871">
              <w:t xml:space="preserve">Extraterritoriality of EU Law and Human Rights After Lisbon: Scope and Boundaries </w:t>
            </w:r>
          </w:p>
          <w:p w:rsidR="008C7ED3" w:rsidRPr="00550871" w:rsidRDefault="008C7ED3" w:rsidP="00D86071">
            <w:pPr>
              <w:pStyle w:val="SingleTxtG"/>
              <w:suppressAutoHyphens w:val="0"/>
              <w:spacing w:before="40" w:line="220" w:lineRule="exact"/>
              <w:ind w:left="0" w:right="113"/>
              <w:jc w:val="left"/>
            </w:pPr>
            <w:r w:rsidRPr="00550871">
              <w:t>University of Sussex, Sussex European Institute, Sussex, UK, 13–14/07/2017 [co-organised with Dr Velluti]</w:t>
            </w:r>
          </w:p>
        </w:tc>
      </w:tr>
      <w:tr w:rsidR="008C7ED3" w:rsidRPr="00550871" w:rsidTr="00D86071">
        <w:tc>
          <w:tcPr>
            <w:tcW w:w="1634" w:type="dxa"/>
            <w:shd w:val="clear" w:color="auto" w:fill="auto"/>
          </w:tcPr>
          <w:p w:rsidR="008C7ED3" w:rsidRPr="00550871" w:rsidRDefault="008C7ED3" w:rsidP="00D86071">
            <w:pPr>
              <w:pStyle w:val="SingleTxtG"/>
              <w:suppressAutoHyphens w:val="0"/>
              <w:spacing w:before="40" w:line="220" w:lineRule="exact"/>
              <w:ind w:left="0" w:right="113"/>
              <w:jc w:val="left"/>
            </w:pPr>
            <w:r w:rsidRPr="00550871">
              <w:t>2016</w:t>
            </w:r>
          </w:p>
        </w:tc>
        <w:tc>
          <w:tcPr>
            <w:tcW w:w="5736" w:type="dxa"/>
            <w:shd w:val="clear" w:color="auto" w:fill="auto"/>
          </w:tcPr>
          <w:p w:rsidR="008C7ED3" w:rsidRPr="00550871" w:rsidRDefault="008C7ED3" w:rsidP="00D86071">
            <w:pPr>
              <w:pStyle w:val="SingleTxtG"/>
              <w:suppressAutoHyphens w:val="0"/>
              <w:spacing w:before="40" w:line="220" w:lineRule="exact"/>
              <w:ind w:left="0" w:right="113"/>
              <w:jc w:val="left"/>
            </w:pPr>
            <w:r w:rsidRPr="00550871">
              <w:t>Building Consensus on European Consensus</w:t>
            </w:r>
          </w:p>
          <w:p w:rsidR="008C7ED3" w:rsidRPr="00550871" w:rsidRDefault="008C7ED3" w:rsidP="00D86071">
            <w:pPr>
              <w:pStyle w:val="SingleTxtG"/>
              <w:suppressAutoHyphens w:val="0"/>
              <w:spacing w:before="40" w:line="220" w:lineRule="exact"/>
              <w:ind w:left="0" w:right="113"/>
              <w:jc w:val="left"/>
            </w:pPr>
            <w:r w:rsidRPr="00550871">
              <w:t>European University Institute, Florence, Italy, 1–2/06/2016 [co-organised with Dr Kapotas and Professor Patterson]</w:t>
            </w:r>
          </w:p>
        </w:tc>
      </w:tr>
      <w:tr w:rsidR="008C7ED3" w:rsidRPr="00550871" w:rsidTr="00D86071">
        <w:tc>
          <w:tcPr>
            <w:tcW w:w="1634" w:type="dxa"/>
            <w:shd w:val="clear" w:color="auto" w:fill="auto"/>
          </w:tcPr>
          <w:p w:rsidR="008C7ED3" w:rsidRPr="00550871" w:rsidRDefault="008C7ED3" w:rsidP="00D86071">
            <w:pPr>
              <w:pStyle w:val="SingleTxtG"/>
              <w:suppressAutoHyphens w:val="0"/>
              <w:spacing w:before="40" w:line="220" w:lineRule="exact"/>
              <w:ind w:left="0" w:right="113"/>
              <w:jc w:val="left"/>
            </w:pPr>
            <w:r w:rsidRPr="00550871">
              <w:t>2015</w:t>
            </w:r>
          </w:p>
        </w:tc>
        <w:tc>
          <w:tcPr>
            <w:tcW w:w="5736" w:type="dxa"/>
            <w:shd w:val="clear" w:color="auto" w:fill="auto"/>
          </w:tcPr>
          <w:p w:rsidR="008C7ED3" w:rsidRPr="00550871" w:rsidRDefault="008C7ED3" w:rsidP="00D86071">
            <w:pPr>
              <w:pStyle w:val="SingleTxtG"/>
              <w:suppressAutoHyphens w:val="0"/>
              <w:spacing w:before="40" w:line="220" w:lineRule="exact"/>
              <w:ind w:left="0" w:right="113"/>
              <w:jc w:val="left"/>
            </w:pPr>
            <w:r w:rsidRPr="00550871">
              <w:t xml:space="preserve">Making International Custom More Tangible </w:t>
            </w:r>
          </w:p>
          <w:p w:rsidR="008C7ED3" w:rsidRPr="00550871" w:rsidRDefault="008C7ED3" w:rsidP="00D86071">
            <w:pPr>
              <w:pStyle w:val="SingleTxtG"/>
              <w:suppressAutoHyphens w:val="0"/>
              <w:spacing w:before="40" w:line="220" w:lineRule="exact"/>
              <w:ind w:left="0" w:right="113"/>
              <w:jc w:val="left"/>
            </w:pPr>
            <w:r w:rsidRPr="00550871">
              <w:t>University of Hull, McCoubrey Centre for International Law, Hull, UK, 2–3/06/2015 [co-organised with Professor Barnes, Professor Moir, Mr Massarella and Ms Rosello]</w:t>
            </w:r>
          </w:p>
        </w:tc>
      </w:tr>
      <w:tr w:rsidR="008C7ED3" w:rsidRPr="00550871" w:rsidTr="00D86071">
        <w:tc>
          <w:tcPr>
            <w:tcW w:w="1634" w:type="dxa"/>
            <w:shd w:val="clear" w:color="auto" w:fill="auto"/>
          </w:tcPr>
          <w:p w:rsidR="008C7ED3" w:rsidRPr="00550871" w:rsidRDefault="008C7ED3" w:rsidP="00D86071">
            <w:pPr>
              <w:pStyle w:val="SingleTxtG"/>
              <w:suppressAutoHyphens w:val="0"/>
              <w:spacing w:before="40" w:line="220" w:lineRule="exact"/>
              <w:ind w:left="0" w:right="113"/>
              <w:jc w:val="left"/>
            </w:pPr>
            <w:r w:rsidRPr="00550871">
              <w:t>2014</w:t>
            </w:r>
          </w:p>
        </w:tc>
        <w:tc>
          <w:tcPr>
            <w:tcW w:w="5736" w:type="dxa"/>
            <w:shd w:val="clear" w:color="auto" w:fill="auto"/>
          </w:tcPr>
          <w:p w:rsidR="008C7ED3" w:rsidRPr="00550871" w:rsidRDefault="008C7ED3" w:rsidP="00D86071">
            <w:pPr>
              <w:pStyle w:val="SingleTxtG"/>
              <w:suppressAutoHyphens w:val="0"/>
              <w:spacing w:before="40" w:line="220" w:lineRule="exact"/>
              <w:ind w:left="0" w:right="113"/>
              <w:jc w:val="left"/>
            </w:pPr>
            <w:r w:rsidRPr="00550871">
              <w:t>Procedural Fairness in International Courts and Tribunals</w:t>
            </w:r>
          </w:p>
          <w:p w:rsidR="008C7ED3" w:rsidRPr="00550871" w:rsidRDefault="008C7ED3" w:rsidP="00D86071">
            <w:pPr>
              <w:pStyle w:val="SingleTxtG"/>
              <w:suppressAutoHyphens w:val="0"/>
              <w:spacing w:before="40" w:line="220" w:lineRule="exact"/>
              <w:ind w:left="0" w:right="113"/>
              <w:jc w:val="left"/>
            </w:pPr>
            <w:r w:rsidRPr="00550871">
              <w:t>University of Surrey, Surrey, UK, 19–20/09/2014 [co-organised with Dr Sarvarian, Dr Fontanelli, Dr Zidar and Dr Baker]</w:t>
            </w:r>
          </w:p>
        </w:tc>
      </w:tr>
      <w:tr w:rsidR="008C7ED3" w:rsidRPr="00550871" w:rsidTr="00D86071">
        <w:tc>
          <w:tcPr>
            <w:tcW w:w="1634" w:type="dxa"/>
            <w:shd w:val="clear" w:color="auto" w:fill="auto"/>
          </w:tcPr>
          <w:p w:rsidR="008C7ED3" w:rsidRPr="00550871" w:rsidRDefault="008C7ED3" w:rsidP="00D86071">
            <w:pPr>
              <w:pStyle w:val="SingleTxtG"/>
              <w:suppressAutoHyphens w:val="0"/>
              <w:spacing w:before="40" w:line="220" w:lineRule="exact"/>
              <w:ind w:left="0" w:right="113"/>
              <w:jc w:val="left"/>
            </w:pPr>
            <w:r w:rsidRPr="00550871">
              <w:t>2013</w:t>
            </w:r>
          </w:p>
        </w:tc>
        <w:tc>
          <w:tcPr>
            <w:tcW w:w="5736" w:type="dxa"/>
            <w:shd w:val="clear" w:color="auto" w:fill="auto"/>
          </w:tcPr>
          <w:p w:rsidR="008C7ED3" w:rsidRPr="00550871" w:rsidRDefault="008C7ED3" w:rsidP="00D86071">
            <w:pPr>
              <w:pStyle w:val="SingleTxtG"/>
              <w:suppressAutoHyphens w:val="0"/>
              <w:spacing w:before="40" w:line="220" w:lineRule="exact"/>
              <w:ind w:left="0" w:right="113"/>
              <w:jc w:val="left"/>
            </w:pPr>
            <w:r w:rsidRPr="00550871">
              <w:t xml:space="preserve">Beyond Responsibility to Protect: Towards Responsible Use of International Law? </w:t>
            </w:r>
          </w:p>
          <w:p w:rsidR="008C7ED3" w:rsidRPr="00550871" w:rsidRDefault="008C7ED3" w:rsidP="00D86071">
            <w:pPr>
              <w:pStyle w:val="SingleTxtG"/>
              <w:suppressAutoHyphens w:val="0"/>
              <w:spacing w:before="40" w:line="220" w:lineRule="exact"/>
              <w:ind w:left="0" w:right="113"/>
              <w:jc w:val="left"/>
            </w:pPr>
            <w:r w:rsidRPr="00550871">
              <w:t>University of Hull, McCoubrey Centre for International Law, Hull, UK, 4–5/06/2013 [co-organised with Professor Barnes, Mr Massarella and Ms Okechukwu]</w:t>
            </w:r>
          </w:p>
        </w:tc>
      </w:tr>
      <w:tr w:rsidR="008C7ED3" w:rsidRPr="00550871" w:rsidTr="00D86071">
        <w:tc>
          <w:tcPr>
            <w:tcW w:w="1634" w:type="dxa"/>
            <w:shd w:val="clear" w:color="auto" w:fill="auto"/>
          </w:tcPr>
          <w:p w:rsidR="008C7ED3" w:rsidRPr="00550871" w:rsidRDefault="008C7ED3" w:rsidP="00D86071">
            <w:pPr>
              <w:pStyle w:val="SingleTxtG"/>
              <w:suppressAutoHyphens w:val="0"/>
              <w:spacing w:before="40" w:line="220" w:lineRule="exact"/>
              <w:ind w:left="0" w:right="113"/>
              <w:jc w:val="left"/>
            </w:pPr>
            <w:r w:rsidRPr="00550871">
              <w:t>2012</w:t>
            </w:r>
          </w:p>
        </w:tc>
        <w:tc>
          <w:tcPr>
            <w:tcW w:w="5736" w:type="dxa"/>
            <w:shd w:val="clear" w:color="auto" w:fill="auto"/>
          </w:tcPr>
          <w:p w:rsidR="008C7ED3" w:rsidRPr="00550871" w:rsidRDefault="008C7ED3" w:rsidP="00D86071">
            <w:pPr>
              <w:pStyle w:val="SingleTxtG"/>
              <w:suppressAutoHyphens w:val="0"/>
              <w:spacing w:before="40" w:line="220" w:lineRule="exact"/>
              <w:ind w:left="0" w:right="113"/>
              <w:jc w:val="left"/>
            </w:pPr>
            <w:r w:rsidRPr="00550871">
              <w:t xml:space="preserve">The EU Accession to the ECHR </w:t>
            </w:r>
          </w:p>
          <w:p w:rsidR="008C7ED3" w:rsidRPr="00550871" w:rsidRDefault="008C7ED3" w:rsidP="00D86071">
            <w:pPr>
              <w:pStyle w:val="SingleTxtG"/>
              <w:suppressAutoHyphens w:val="0"/>
              <w:spacing w:before="40" w:line="220" w:lineRule="exact"/>
              <w:ind w:left="0" w:right="113"/>
              <w:jc w:val="left"/>
            </w:pPr>
            <w:r w:rsidRPr="00550871">
              <w:t>Maastricht University, Brussels, Belgium, 16–17/11/2012 [co-organised with Dr Kosta and Dr Skoutaris]</w:t>
            </w:r>
          </w:p>
        </w:tc>
      </w:tr>
    </w:tbl>
    <w:p w:rsidR="008C7ED3" w:rsidRPr="00550871" w:rsidRDefault="008C7ED3" w:rsidP="008C7ED3">
      <w:pPr>
        <w:pStyle w:val="HChG"/>
      </w:pPr>
      <w:r w:rsidRPr="00550871">
        <w:tab/>
        <w:t>VIII.</w:t>
      </w:r>
      <w:r w:rsidRPr="00550871">
        <w:tab/>
        <w:t>Participation at conferences and workshops</w:t>
      </w:r>
    </w:p>
    <w:tbl>
      <w:tblPr>
        <w:tblW w:w="7370" w:type="dxa"/>
        <w:tblInd w:w="1134" w:type="dxa"/>
        <w:tblBorders>
          <w:top w:val="single" w:sz="4" w:space="0" w:color="auto"/>
          <w:bottom w:val="single" w:sz="12" w:space="0" w:color="auto"/>
        </w:tblBorders>
        <w:tblLayout w:type="fixed"/>
        <w:tblCellMar>
          <w:left w:w="0" w:type="dxa"/>
          <w:right w:w="0" w:type="dxa"/>
        </w:tblCellMar>
        <w:tblLook w:val="04A0" w:firstRow="1" w:lastRow="0" w:firstColumn="1" w:lastColumn="0" w:noHBand="0" w:noVBand="1"/>
      </w:tblPr>
      <w:tblGrid>
        <w:gridCol w:w="1627"/>
        <w:gridCol w:w="5743"/>
      </w:tblGrid>
      <w:tr w:rsidR="008C7ED3" w:rsidRPr="00550871" w:rsidTr="00D86071">
        <w:tc>
          <w:tcPr>
            <w:tcW w:w="1627" w:type="dxa"/>
            <w:tcBorders>
              <w:top w:val="single" w:sz="4" w:space="0" w:color="auto"/>
              <w:bottom w:val="nil"/>
            </w:tcBorders>
            <w:shd w:val="clear" w:color="auto" w:fill="auto"/>
          </w:tcPr>
          <w:p w:rsidR="008C7ED3" w:rsidRPr="00550871" w:rsidRDefault="008C7ED3" w:rsidP="00D86071">
            <w:pPr>
              <w:pStyle w:val="SingleTxtG"/>
              <w:suppressAutoHyphens w:val="0"/>
              <w:spacing w:before="40" w:line="220" w:lineRule="exact"/>
              <w:ind w:left="0" w:right="113"/>
              <w:jc w:val="left"/>
            </w:pPr>
            <w:r w:rsidRPr="00550871">
              <w:t>2019</w:t>
            </w:r>
          </w:p>
        </w:tc>
        <w:tc>
          <w:tcPr>
            <w:tcW w:w="5743" w:type="dxa"/>
            <w:tcBorders>
              <w:top w:val="single" w:sz="4" w:space="0" w:color="auto"/>
              <w:bottom w:val="nil"/>
            </w:tcBorders>
            <w:shd w:val="clear" w:color="auto" w:fill="auto"/>
          </w:tcPr>
          <w:p w:rsidR="008C7ED3" w:rsidRPr="00550871" w:rsidRDefault="008C7ED3" w:rsidP="00D86071">
            <w:pPr>
              <w:pStyle w:val="SingleTxtG"/>
              <w:suppressAutoHyphens w:val="0"/>
              <w:spacing w:before="40" w:line="220" w:lineRule="exact"/>
              <w:ind w:left="0" w:right="113"/>
              <w:jc w:val="left"/>
            </w:pPr>
            <w:r w:rsidRPr="00550871">
              <w:t>Conclusions</w:t>
            </w:r>
          </w:p>
          <w:p w:rsidR="008C7ED3" w:rsidRPr="00550871" w:rsidRDefault="008C7ED3" w:rsidP="00D86071">
            <w:pPr>
              <w:pStyle w:val="SingleTxtG"/>
              <w:suppressAutoHyphens w:val="0"/>
              <w:spacing w:before="40" w:line="220" w:lineRule="exact"/>
              <w:ind w:left="0" w:right="113"/>
              <w:jc w:val="left"/>
              <w:rPr>
                <w:i/>
                <w:iCs/>
              </w:rPr>
            </w:pPr>
            <w:r w:rsidRPr="00550871">
              <w:t xml:space="preserve">Conference: </w:t>
            </w:r>
            <w:r w:rsidRPr="00550871">
              <w:rPr>
                <w:i/>
                <w:iCs/>
              </w:rPr>
              <w:t>The ‘Greek Case’ in the Council of Europe: A Game Changer for International Law and Human Rights?</w:t>
            </w:r>
          </w:p>
          <w:p w:rsidR="008C7ED3" w:rsidRPr="00550871" w:rsidRDefault="008C7ED3" w:rsidP="00D86071">
            <w:pPr>
              <w:pStyle w:val="SingleTxtG"/>
              <w:suppressAutoHyphens w:val="0"/>
              <w:spacing w:before="40" w:line="220" w:lineRule="exact"/>
              <w:ind w:left="0" w:right="113"/>
              <w:jc w:val="left"/>
            </w:pPr>
            <w:r w:rsidRPr="00550871">
              <w:t>The Netherlands Institute at Athens, the Danish Institute at Athens, the Swedish Institute at Athens, the Norwegian Institute at Athens, the Marangopoulos Foundation for Human Rights, University of Athens, Athens, Greece, 12–14/12/2019</w:t>
            </w:r>
          </w:p>
        </w:tc>
      </w:tr>
      <w:tr w:rsidR="008C7ED3" w:rsidRPr="00550871" w:rsidTr="00D86071">
        <w:tc>
          <w:tcPr>
            <w:tcW w:w="1627" w:type="dxa"/>
            <w:tcBorders>
              <w:top w:val="nil"/>
              <w:bottom w:val="nil"/>
            </w:tcBorders>
            <w:shd w:val="clear" w:color="auto" w:fill="auto"/>
          </w:tcPr>
          <w:p w:rsidR="008C7ED3" w:rsidRPr="00550871" w:rsidRDefault="008C7ED3" w:rsidP="00D86071">
            <w:pPr>
              <w:pStyle w:val="SingleTxtG"/>
              <w:suppressAutoHyphens w:val="0"/>
              <w:spacing w:before="40" w:line="220" w:lineRule="exact"/>
              <w:ind w:left="0" w:right="113"/>
              <w:jc w:val="left"/>
            </w:pPr>
            <w:r w:rsidRPr="00550871">
              <w:t>2019</w:t>
            </w:r>
          </w:p>
        </w:tc>
        <w:tc>
          <w:tcPr>
            <w:tcW w:w="5743" w:type="dxa"/>
            <w:tcBorders>
              <w:top w:val="nil"/>
              <w:bottom w:val="nil"/>
            </w:tcBorders>
            <w:shd w:val="clear" w:color="auto" w:fill="auto"/>
          </w:tcPr>
          <w:p w:rsidR="008C7ED3" w:rsidRPr="00550871" w:rsidRDefault="008C7ED3" w:rsidP="00D86071">
            <w:pPr>
              <w:pStyle w:val="SingleTxtG"/>
              <w:suppressAutoHyphens w:val="0"/>
              <w:spacing w:before="40" w:line="220" w:lineRule="exact"/>
              <w:ind w:left="0" w:right="113"/>
              <w:jc w:val="left"/>
            </w:pPr>
            <w:r w:rsidRPr="00550871">
              <w:t>Presentation: The Contribution of the Greek Legal Order to the Shaping of International Standards Pertaining to the Criminalisation of Negationism</w:t>
            </w:r>
          </w:p>
          <w:p w:rsidR="008C7ED3" w:rsidRPr="00550871" w:rsidRDefault="008C7ED3" w:rsidP="00D86071">
            <w:pPr>
              <w:pStyle w:val="SingleTxtG"/>
              <w:suppressAutoHyphens w:val="0"/>
              <w:spacing w:before="40" w:line="220" w:lineRule="exact"/>
              <w:ind w:left="0" w:right="113"/>
              <w:jc w:val="left"/>
              <w:rPr>
                <w:i/>
                <w:iCs/>
              </w:rPr>
            </w:pPr>
            <w:r w:rsidRPr="00550871">
              <w:t xml:space="preserve">Conference: </w:t>
            </w:r>
            <w:r w:rsidRPr="00550871">
              <w:rPr>
                <w:i/>
                <w:iCs/>
              </w:rPr>
              <w:t>The Punishment of Negationism (Memory Law – International Crimes and the Problem of Denial</w:t>
            </w:r>
          </w:p>
          <w:p w:rsidR="008C7ED3" w:rsidRPr="00550871" w:rsidRDefault="008C7ED3" w:rsidP="00D86071">
            <w:pPr>
              <w:pStyle w:val="SingleTxtG"/>
              <w:suppressAutoHyphens w:val="0"/>
              <w:spacing w:before="40" w:line="220" w:lineRule="exact"/>
              <w:ind w:left="0" w:right="113"/>
              <w:jc w:val="left"/>
            </w:pPr>
            <w:r w:rsidRPr="00550871">
              <w:t>University of Warsaw, Faculty of Political Science and International Studies and Justice Institute Warsaw, Poland, 07–08/10/2019</w:t>
            </w:r>
          </w:p>
        </w:tc>
      </w:tr>
      <w:tr w:rsidR="008C7ED3" w:rsidRPr="00550871" w:rsidTr="00D86071">
        <w:tc>
          <w:tcPr>
            <w:tcW w:w="1627" w:type="dxa"/>
            <w:tcBorders>
              <w:top w:val="nil"/>
            </w:tcBorders>
            <w:shd w:val="clear" w:color="auto" w:fill="auto"/>
          </w:tcPr>
          <w:p w:rsidR="008C7ED3" w:rsidRPr="00550871" w:rsidRDefault="008C7ED3" w:rsidP="00D86071">
            <w:pPr>
              <w:pStyle w:val="SingleTxtG"/>
              <w:suppressAutoHyphens w:val="0"/>
              <w:spacing w:before="40" w:line="220" w:lineRule="exact"/>
              <w:ind w:left="0" w:right="113"/>
              <w:jc w:val="left"/>
            </w:pPr>
            <w:r w:rsidRPr="00550871">
              <w:t>2019</w:t>
            </w:r>
          </w:p>
        </w:tc>
        <w:tc>
          <w:tcPr>
            <w:tcW w:w="5743" w:type="dxa"/>
            <w:tcBorders>
              <w:top w:val="nil"/>
            </w:tcBorders>
            <w:shd w:val="clear" w:color="auto" w:fill="auto"/>
          </w:tcPr>
          <w:p w:rsidR="008C7ED3" w:rsidRPr="00550871" w:rsidRDefault="008C7ED3" w:rsidP="00D86071">
            <w:pPr>
              <w:pStyle w:val="SingleTxtG"/>
              <w:suppressAutoHyphens w:val="0"/>
              <w:spacing w:before="40" w:line="220" w:lineRule="exact"/>
              <w:ind w:left="0" w:right="113"/>
              <w:jc w:val="left"/>
            </w:pPr>
            <w:r w:rsidRPr="00550871">
              <w:t>Presentation: Assessing the Impact of Vulnerability on European Public Order in the Case Law of the ECtHR</w:t>
            </w:r>
          </w:p>
          <w:p w:rsidR="008C7ED3" w:rsidRPr="00550871" w:rsidRDefault="008C7ED3" w:rsidP="00D86071">
            <w:pPr>
              <w:pStyle w:val="SingleTxtG"/>
              <w:suppressAutoHyphens w:val="0"/>
              <w:spacing w:before="40" w:line="220" w:lineRule="exact"/>
              <w:ind w:left="0" w:right="113"/>
              <w:jc w:val="left"/>
              <w:rPr>
                <w:i/>
                <w:iCs/>
              </w:rPr>
            </w:pPr>
            <w:r w:rsidRPr="00550871">
              <w:t xml:space="preserve">Conference: </w:t>
            </w:r>
            <w:r w:rsidRPr="00550871">
              <w:rPr>
                <w:i/>
                <w:iCs/>
              </w:rPr>
              <w:t>Public Law in Times of Change</w:t>
            </w:r>
          </w:p>
          <w:p w:rsidR="008C7ED3" w:rsidRPr="00550871" w:rsidRDefault="008C7ED3" w:rsidP="00D86071">
            <w:pPr>
              <w:pStyle w:val="SingleTxtG"/>
              <w:suppressAutoHyphens w:val="0"/>
              <w:spacing w:before="40" w:line="220" w:lineRule="exact"/>
              <w:ind w:left="0" w:right="113"/>
              <w:jc w:val="left"/>
            </w:pPr>
            <w:r w:rsidRPr="00550871">
              <w:t xml:space="preserve">ICON•S International Society of Public Law, Pontifical Catholic </w:t>
            </w:r>
            <w:r w:rsidRPr="00550871">
              <w:lastRenderedPageBreak/>
              <w:t>University of Chile, Santiago, Chile, 01–03/07/2019</w:t>
            </w:r>
          </w:p>
        </w:tc>
      </w:tr>
      <w:tr w:rsidR="008C7ED3" w:rsidRPr="00550871" w:rsidTr="00D86071">
        <w:tc>
          <w:tcPr>
            <w:tcW w:w="1627" w:type="dxa"/>
            <w:shd w:val="clear" w:color="auto" w:fill="auto"/>
          </w:tcPr>
          <w:p w:rsidR="008C7ED3" w:rsidRPr="00550871" w:rsidRDefault="008C7ED3" w:rsidP="00D86071">
            <w:pPr>
              <w:pStyle w:val="SingleTxtG"/>
              <w:suppressAutoHyphens w:val="0"/>
              <w:spacing w:before="40" w:line="220" w:lineRule="exact"/>
              <w:ind w:left="0" w:right="113"/>
              <w:jc w:val="left"/>
            </w:pPr>
            <w:r w:rsidRPr="00550871">
              <w:lastRenderedPageBreak/>
              <w:t>2019</w:t>
            </w:r>
          </w:p>
        </w:tc>
        <w:tc>
          <w:tcPr>
            <w:tcW w:w="5743" w:type="dxa"/>
            <w:shd w:val="clear" w:color="auto" w:fill="auto"/>
          </w:tcPr>
          <w:p w:rsidR="008C7ED3" w:rsidRPr="00550871" w:rsidRDefault="008C7ED3" w:rsidP="00D86071">
            <w:pPr>
              <w:pStyle w:val="SingleTxtG"/>
              <w:suppressAutoHyphens w:val="0"/>
              <w:spacing w:before="40" w:line="220" w:lineRule="exact"/>
              <w:ind w:left="0" w:right="113"/>
              <w:jc w:val="left"/>
            </w:pPr>
            <w:r w:rsidRPr="00550871">
              <w:t>Presentation: Judge-Imposed Standards of Solidarity Vis-à-Vis Vulnerable (Groups of) Individuals: A Critique of the Approach of the ECtHR’s Grand Chamber</w:t>
            </w:r>
          </w:p>
          <w:p w:rsidR="008C7ED3" w:rsidRPr="00550871" w:rsidRDefault="008C7ED3" w:rsidP="00D86071">
            <w:pPr>
              <w:pStyle w:val="SingleTxtG"/>
              <w:suppressAutoHyphens w:val="0"/>
              <w:spacing w:before="40" w:line="220" w:lineRule="exact"/>
              <w:ind w:left="0" w:right="113"/>
              <w:jc w:val="left"/>
              <w:rPr>
                <w:i/>
                <w:iCs/>
              </w:rPr>
            </w:pPr>
            <w:r w:rsidRPr="00550871">
              <w:t xml:space="preserve">Conference: </w:t>
            </w:r>
            <w:r w:rsidRPr="00550871">
              <w:rPr>
                <w:i/>
                <w:iCs/>
              </w:rPr>
              <w:t>Interdisciplinary Perspectives on European Solidarity</w:t>
            </w:r>
          </w:p>
          <w:p w:rsidR="008C7ED3" w:rsidRPr="00550871" w:rsidRDefault="008C7ED3" w:rsidP="00D86071">
            <w:pPr>
              <w:pStyle w:val="SingleTxtG"/>
              <w:suppressAutoHyphens w:val="0"/>
              <w:spacing w:before="40" w:line="220" w:lineRule="exact"/>
              <w:ind w:left="0" w:right="113"/>
              <w:jc w:val="left"/>
            </w:pPr>
            <w:r w:rsidRPr="00550871">
              <w:t>University of the West of England, Bristol, UK, 24–25/07/2019</w:t>
            </w:r>
          </w:p>
        </w:tc>
      </w:tr>
      <w:tr w:rsidR="008C7ED3" w:rsidRPr="00550871" w:rsidTr="00D86071">
        <w:tc>
          <w:tcPr>
            <w:tcW w:w="1627" w:type="dxa"/>
            <w:shd w:val="clear" w:color="auto" w:fill="auto"/>
          </w:tcPr>
          <w:p w:rsidR="008C7ED3" w:rsidRPr="00550871" w:rsidRDefault="008C7ED3" w:rsidP="00D86071">
            <w:pPr>
              <w:pStyle w:val="SingleTxtG"/>
              <w:suppressAutoHyphens w:val="0"/>
              <w:spacing w:before="40" w:line="220" w:lineRule="exact"/>
              <w:ind w:left="0" w:right="113"/>
              <w:jc w:val="left"/>
            </w:pPr>
            <w:r w:rsidRPr="00550871">
              <w:t>2019</w:t>
            </w:r>
          </w:p>
        </w:tc>
        <w:tc>
          <w:tcPr>
            <w:tcW w:w="5743" w:type="dxa"/>
            <w:shd w:val="clear" w:color="auto" w:fill="auto"/>
          </w:tcPr>
          <w:p w:rsidR="008C7ED3" w:rsidRPr="00550871" w:rsidRDefault="008C7ED3" w:rsidP="00D86071">
            <w:pPr>
              <w:pStyle w:val="SingleTxtG"/>
              <w:suppressAutoHyphens w:val="0"/>
              <w:spacing w:before="40" w:line="220" w:lineRule="exact"/>
              <w:ind w:left="0" w:right="113"/>
              <w:jc w:val="left"/>
            </w:pPr>
            <w:r w:rsidRPr="00550871">
              <w:t>Presentation: Walking a Tightrope: The ECtHR’s European Consensus Method of Interpretation as a Balance Stick</w:t>
            </w:r>
          </w:p>
          <w:p w:rsidR="008C7ED3" w:rsidRPr="00550871" w:rsidRDefault="008C7ED3" w:rsidP="00D86071">
            <w:pPr>
              <w:pStyle w:val="SingleTxtG"/>
              <w:suppressAutoHyphens w:val="0"/>
              <w:spacing w:before="40" w:line="220" w:lineRule="exact"/>
              <w:ind w:left="0" w:right="113"/>
              <w:jc w:val="left"/>
              <w:rPr>
                <w:i/>
                <w:iCs/>
              </w:rPr>
            </w:pPr>
            <w:r w:rsidRPr="00550871">
              <w:t xml:space="preserve">Seminar series: </w:t>
            </w:r>
            <w:r w:rsidRPr="00550871">
              <w:rPr>
                <w:i/>
                <w:iCs/>
              </w:rPr>
              <w:t>Public, European and International Law</w:t>
            </w:r>
          </w:p>
          <w:p w:rsidR="008C7ED3" w:rsidRPr="00550871" w:rsidRDefault="008C7ED3" w:rsidP="00D86071">
            <w:pPr>
              <w:pStyle w:val="SingleTxtG"/>
              <w:suppressAutoHyphens w:val="0"/>
              <w:spacing w:before="40" w:line="220" w:lineRule="exact"/>
              <w:ind w:left="0" w:right="113"/>
              <w:jc w:val="left"/>
            </w:pPr>
            <w:r w:rsidRPr="00550871">
              <w:t>University of Milano Bicocca, Milan, Italy, 05/04/2019 [invited speaker]</w:t>
            </w:r>
          </w:p>
        </w:tc>
      </w:tr>
      <w:tr w:rsidR="008C7ED3" w:rsidRPr="00550871" w:rsidTr="00D86071">
        <w:tc>
          <w:tcPr>
            <w:tcW w:w="1627" w:type="dxa"/>
            <w:shd w:val="clear" w:color="auto" w:fill="auto"/>
          </w:tcPr>
          <w:p w:rsidR="008C7ED3" w:rsidRPr="00550871" w:rsidRDefault="008C7ED3" w:rsidP="00D86071">
            <w:pPr>
              <w:pStyle w:val="SingleTxtG"/>
              <w:suppressAutoHyphens w:val="0"/>
              <w:spacing w:before="40" w:line="220" w:lineRule="exact"/>
              <w:ind w:left="0" w:right="113"/>
              <w:jc w:val="left"/>
            </w:pPr>
            <w:r w:rsidRPr="00550871">
              <w:t>2017</w:t>
            </w:r>
          </w:p>
        </w:tc>
        <w:tc>
          <w:tcPr>
            <w:tcW w:w="5743" w:type="dxa"/>
            <w:shd w:val="clear" w:color="auto" w:fill="auto"/>
          </w:tcPr>
          <w:p w:rsidR="008C7ED3" w:rsidRPr="00550871" w:rsidRDefault="008C7ED3" w:rsidP="00D86071">
            <w:pPr>
              <w:pStyle w:val="SingleTxtG"/>
              <w:suppressAutoHyphens w:val="0"/>
              <w:spacing w:before="40" w:line="220" w:lineRule="exact"/>
              <w:ind w:left="0" w:right="113"/>
              <w:jc w:val="left"/>
            </w:pPr>
            <w:r w:rsidRPr="00550871">
              <w:t>Presentation: The ECtHR’s European Consensus Method of Interpretation: Constructed (Il)Legitimacy</w:t>
            </w:r>
          </w:p>
          <w:p w:rsidR="008C7ED3" w:rsidRPr="00550871" w:rsidRDefault="008C7ED3" w:rsidP="00D86071">
            <w:pPr>
              <w:pStyle w:val="SingleTxtG"/>
              <w:suppressAutoHyphens w:val="0"/>
              <w:spacing w:before="40" w:line="220" w:lineRule="exact"/>
              <w:ind w:left="0" w:right="113"/>
              <w:jc w:val="left"/>
            </w:pPr>
            <w:r w:rsidRPr="00550871">
              <w:t xml:space="preserve">Seminar series: </w:t>
            </w:r>
            <w:r w:rsidRPr="00550871">
              <w:rPr>
                <w:i/>
                <w:iCs/>
              </w:rPr>
              <w:t>Human Rights and Social Justice Forum</w:t>
            </w:r>
          </w:p>
          <w:p w:rsidR="008C7ED3" w:rsidRPr="00550871" w:rsidRDefault="008C7ED3" w:rsidP="00D86071">
            <w:pPr>
              <w:pStyle w:val="SingleTxtG"/>
              <w:suppressAutoHyphens w:val="0"/>
              <w:spacing w:before="40" w:line="220" w:lineRule="exact"/>
              <w:ind w:left="0" w:right="113"/>
              <w:jc w:val="left"/>
            </w:pPr>
            <w:r w:rsidRPr="00550871">
              <w:t>University of Newcastle Law School, Newcastle, UK, 17/05/2017 [invited speaker]</w:t>
            </w:r>
          </w:p>
        </w:tc>
      </w:tr>
      <w:tr w:rsidR="008C7ED3" w:rsidRPr="00550871" w:rsidTr="00D86071">
        <w:tc>
          <w:tcPr>
            <w:tcW w:w="1627" w:type="dxa"/>
            <w:shd w:val="clear" w:color="auto" w:fill="auto"/>
          </w:tcPr>
          <w:p w:rsidR="008C7ED3" w:rsidRPr="00550871" w:rsidRDefault="008C7ED3" w:rsidP="00D86071">
            <w:pPr>
              <w:pStyle w:val="SingleTxtG"/>
              <w:suppressAutoHyphens w:val="0"/>
              <w:spacing w:before="40" w:line="220" w:lineRule="exact"/>
              <w:ind w:left="0" w:right="113"/>
              <w:jc w:val="left"/>
            </w:pPr>
            <w:r w:rsidRPr="00550871">
              <w:t>2017</w:t>
            </w:r>
          </w:p>
        </w:tc>
        <w:tc>
          <w:tcPr>
            <w:tcW w:w="5743" w:type="dxa"/>
            <w:shd w:val="clear" w:color="auto" w:fill="auto"/>
          </w:tcPr>
          <w:p w:rsidR="008C7ED3" w:rsidRPr="00550871" w:rsidRDefault="008C7ED3" w:rsidP="00D86071">
            <w:pPr>
              <w:pStyle w:val="SingleTxtG"/>
              <w:suppressAutoHyphens w:val="0"/>
              <w:spacing w:before="40" w:line="220" w:lineRule="exact"/>
              <w:ind w:left="0" w:right="113"/>
              <w:jc w:val="left"/>
            </w:pPr>
            <w:r w:rsidRPr="00550871">
              <w:t>Presentation: Transnational Threats and Concurrent State Responsibility</w:t>
            </w:r>
          </w:p>
          <w:p w:rsidR="008C7ED3" w:rsidRPr="00550871" w:rsidRDefault="008C7ED3" w:rsidP="00D86071">
            <w:pPr>
              <w:pStyle w:val="SingleTxtG"/>
              <w:suppressAutoHyphens w:val="0"/>
              <w:spacing w:before="40" w:line="220" w:lineRule="exact"/>
              <w:ind w:left="0" w:right="113"/>
              <w:jc w:val="left"/>
              <w:rPr>
                <w:i/>
                <w:iCs/>
              </w:rPr>
            </w:pPr>
            <w:r w:rsidRPr="00550871">
              <w:t xml:space="preserve">Conference: </w:t>
            </w:r>
            <w:r w:rsidRPr="00550871">
              <w:rPr>
                <w:i/>
                <w:iCs/>
              </w:rPr>
              <w:t>Transnational Legal and Political Theory Conference</w:t>
            </w:r>
          </w:p>
          <w:p w:rsidR="008C7ED3" w:rsidRPr="00550871" w:rsidRDefault="008C7ED3" w:rsidP="00D86071">
            <w:pPr>
              <w:pStyle w:val="SingleTxtG"/>
              <w:suppressAutoHyphens w:val="0"/>
              <w:spacing w:before="40" w:line="220" w:lineRule="exact"/>
              <w:ind w:left="0" w:right="113"/>
              <w:jc w:val="left"/>
            </w:pPr>
            <w:r w:rsidRPr="00550871">
              <w:t>University of Bar-Ilan, Law Faculty, Israel, Tel Aviv, 07–08/05/2017</w:t>
            </w:r>
          </w:p>
        </w:tc>
      </w:tr>
      <w:tr w:rsidR="008C7ED3" w:rsidRPr="00550871" w:rsidTr="00D86071">
        <w:tc>
          <w:tcPr>
            <w:tcW w:w="1627" w:type="dxa"/>
            <w:shd w:val="clear" w:color="auto" w:fill="auto"/>
          </w:tcPr>
          <w:p w:rsidR="008C7ED3" w:rsidRPr="00550871" w:rsidRDefault="008C7ED3" w:rsidP="00D86071">
            <w:pPr>
              <w:pStyle w:val="SingleTxtG"/>
              <w:suppressAutoHyphens w:val="0"/>
              <w:spacing w:before="40" w:line="220" w:lineRule="exact"/>
              <w:ind w:left="0" w:right="113"/>
              <w:jc w:val="left"/>
            </w:pPr>
            <w:r w:rsidRPr="00550871">
              <w:t>2017</w:t>
            </w:r>
          </w:p>
        </w:tc>
        <w:tc>
          <w:tcPr>
            <w:tcW w:w="5743" w:type="dxa"/>
            <w:shd w:val="clear" w:color="auto" w:fill="auto"/>
          </w:tcPr>
          <w:p w:rsidR="008C7ED3" w:rsidRPr="00550871" w:rsidRDefault="008C7ED3" w:rsidP="00D86071">
            <w:pPr>
              <w:pStyle w:val="SingleTxtG"/>
              <w:suppressAutoHyphens w:val="0"/>
              <w:spacing w:before="40" w:line="220" w:lineRule="exact"/>
              <w:ind w:left="0" w:right="113"/>
              <w:jc w:val="left"/>
            </w:pPr>
            <w:r w:rsidRPr="00550871">
              <w:t>Presentation: Derogations from the ECHR in Military Operations: The UK Proposal</w:t>
            </w:r>
          </w:p>
          <w:p w:rsidR="008C7ED3" w:rsidRPr="00550871" w:rsidRDefault="008C7ED3" w:rsidP="00D86071">
            <w:pPr>
              <w:pStyle w:val="SingleTxtG"/>
              <w:suppressAutoHyphens w:val="0"/>
              <w:spacing w:before="40" w:line="220" w:lineRule="exact"/>
              <w:ind w:left="0" w:right="113"/>
              <w:jc w:val="left"/>
              <w:rPr>
                <w:i/>
                <w:iCs/>
              </w:rPr>
            </w:pPr>
            <w:r w:rsidRPr="00550871">
              <w:t xml:space="preserve">Conference: </w:t>
            </w:r>
            <w:r w:rsidRPr="00550871">
              <w:rPr>
                <w:i/>
                <w:iCs/>
              </w:rPr>
              <w:t>Derogation from the European Convention on Human Rights under Contemporary Situations of Emergency</w:t>
            </w:r>
          </w:p>
          <w:p w:rsidR="008C7ED3" w:rsidRPr="00550871" w:rsidRDefault="008C7ED3" w:rsidP="00D86071">
            <w:pPr>
              <w:pStyle w:val="SingleTxtG"/>
              <w:suppressAutoHyphens w:val="0"/>
              <w:spacing w:before="40" w:line="220" w:lineRule="exact"/>
              <w:ind w:left="0" w:right="113"/>
              <w:jc w:val="left"/>
            </w:pPr>
            <w:r w:rsidRPr="00550871">
              <w:t xml:space="preserve">University of Graz, Institute of International Law and International Relations, Graz, Austria, 04/05/2017 [invited speaker] </w:t>
            </w:r>
          </w:p>
        </w:tc>
      </w:tr>
      <w:tr w:rsidR="008C7ED3" w:rsidRPr="00550871" w:rsidTr="00D86071">
        <w:tc>
          <w:tcPr>
            <w:tcW w:w="1627" w:type="dxa"/>
            <w:tcBorders>
              <w:bottom w:val="nil"/>
            </w:tcBorders>
            <w:shd w:val="clear" w:color="auto" w:fill="auto"/>
          </w:tcPr>
          <w:p w:rsidR="008C7ED3" w:rsidRPr="00550871" w:rsidRDefault="008C7ED3" w:rsidP="00D86071">
            <w:pPr>
              <w:pStyle w:val="SingleTxtG"/>
              <w:suppressAutoHyphens w:val="0"/>
              <w:spacing w:before="40" w:line="220" w:lineRule="exact"/>
              <w:ind w:left="0" w:right="113"/>
              <w:jc w:val="left"/>
            </w:pPr>
            <w:r w:rsidRPr="00550871">
              <w:t>2016</w:t>
            </w:r>
          </w:p>
        </w:tc>
        <w:tc>
          <w:tcPr>
            <w:tcW w:w="5743" w:type="dxa"/>
            <w:tcBorders>
              <w:bottom w:val="nil"/>
            </w:tcBorders>
            <w:shd w:val="clear" w:color="auto" w:fill="auto"/>
          </w:tcPr>
          <w:p w:rsidR="008C7ED3" w:rsidRPr="00550871" w:rsidRDefault="008C7ED3" w:rsidP="00D86071">
            <w:pPr>
              <w:pStyle w:val="SingleTxtG"/>
              <w:suppressAutoHyphens w:val="0"/>
              <w:spacing w:before="40" w:line="220" w:lineRule="exact"/>
              <w:ind w:left="0" w:right="113"/>
              <w:jc w:val="left"/>
            </w:pPr>
            <w:r w:rsidRPr="00550871">
              <w:t>Presentation: Compliance with the ECtHR Judgments by Greece: Selected Case Studies</w:t>
            </w:r>
          </w:p>
          <w:p w:rsidR="008C7ED3" w:rsidRPr="00550871" w:rsidRDefault="008C7ED3" w:rsidP="00D86071">
            <w:pPr>
              <w:pStyle w:val="SingleTxtG"/>
              <w:suppressAutoHyphens w:val="0"/>
              <w:spacing w:before="40" w:line="220" w:lineRule="exact"/>
              <w:ind w:left="0" w:right="113"/>
              <w:jc w:val="left"/>
              <w:rPr>
                <w:i/>
                <w:iCs/>
              </w:rPr>
            </w:pPr>
            <w:r w:rsidRPr="00550871">
              <w:t xml:space="preserve">Conference: </w:t>
            </w:r>
            <w:r w:rsidRPr="00550871">
              <w:rPr>
                <w:i/>
                <w:iCs/>
              </w:rPr>
              <w:t>Regional Challenges in the Implementation of the European Convention on Human Rights</w:t>
            </w:r>
          </w:p>
          <w:p w:rsidR="008C7ED3" w:rsidRPr="00550871" w:rsidRDefault="008C7ED3" w:rsidP="00D86071">
            <w:pPr>
              <w:pStyle w:val="SingleTxtG"/>
              <w:suppressAutoHyphens w:val="0"/>
              <w:spacing w:before="40" w:line="220" w:lineRule="exact"/>
              <w:ind w:left="0" w:right="113"/>
              <w:jc w:val="left"/>
            </w:pPr>
            <w:r w:rsidRPr="00550871">
              <w:t>Council of Europe, Constitutional Court of the Republic of Lithuania, European Humanities University, Vilnius, Lithuania, 08–09/12/2016 [invited speaker]</w:t>
            </w:r>
          </w:p>
        </w:tc>
      </w:tr>
      <w:tr w:rsidR="008C7ED3" w:rsidRPr="00550871" w:rsidTr="00D86071">
        <w:tc>
          <w:tcPr>
            <w:tcW w:w="1627" w:type="dxa"/>
            <w:tcBorders>
              <w:top w:val="nil"/>
              <w:bottom w:val="nil"/>
            </w:tcBorders>
            <w:shd w:val="clear" w:color="auto" w:fill="auto"/>
          </w:tcPr>
          <w:p w:rsidR="008C7ED3" w:rsidRPr="00550871" w:rsidRDefault="008C7ED3" w:rsidP="00D86071">
            <w:pPr>
              <w:pStyle w:val="SingleTxtG"/>
              <w:suppressAutoHyphens w:val="0"/>
              <w:spacing w:before="40" w:line="220" w:lineRule="exact"/>
              <w:ind w:left="0" w:right="113"/>
              <w:jc w:val="left"/>
            </w:pPr>
            <w:r w:rsidRPr="00550871">
              <w:t>2016</w:t>
            </w:r>
          </w:p>
        </w:tc>
        <w:tc>
          <w:tcPr>
            <w:tcW w:w="5743" w:type="dxa"/>
            <w:tcBorders>
              <w:top w:val="nil"/>
              <w:bottom w:val="nil"/>
            </w:tcBorders>
            <w:shd w:val="clear" w:color="auto" w:fill="auto"/>
          </w:tcPr>
          <w:p w:rsidR="008C7ED3" w:rsidRPr="00550871" w:rsidRDefault="008C7ED3" w:rsidP="00D86071">
            <w:pPr>
              <w:pStyle w:val="SingleTxtG"/>
              <w:suppressAutoHyphens w:val="0"/>
              <w:spacing w:before="40" w:line="220" w:lineRule="exact"/>
              <w:ind w:left="0" w:right="113"/>
              <w:jc w:val="left"/>
            </w:pPr>
            <w:r w:rsidRPr="00550871">
              <w:t xml:space="preserve">Presentation: Between Fragmentation and Convergence in European Human Rights Law: The European Consensus Method of Interpretation </w:t>
            </w:r>
          </w:p>
          <w:p w:rsidR="008C7ED3" w:rsidRPr="00550871" w:rsidRDefault="008C7ED3" w:rsidP="00D86071">
            <w:pPr>
              <w:pStyle w:val="SingleTxtG"/>
              <w:suppressAutoHyphens w:val="0"/>
              <w:spacing w:before="40" w:line="220" w:lineRule="exact"/>
              <w:ind w:left="0" w:right="113"/>
              <w:jc w:val="left"/>
              <w:rPr>
                <w:i/>
                <w:iCs/>
              </w:rPr>
            </w:pPr>
            <w:r w:rsidRPr="00550871">
              <w:t xml:space="preserve">Conference: </w:t>
            </w:r>
            <w:r w:rsidRPr="00550871">
              <w:rPr>
                <w:i/>
                <w:iCs/>
              </w:rPr>
              <w:t>12th Annual Conference: How International Law Works in Times of Crisis</w:t>
            </w:r>
          </w:p>
          <w:p w:rsidR="008C7ED3" w:rsidRPr="00550871" w:rsidRDefault="008C7ED3" w:rsidP="00D86071">
            <w:pPr>
              <w:pStyle w:val="SingleTxtG"/>
              <w:suppressAutoHyphens w:val="0"/>
              <w:spacing w:before="40" w:line="220" w:lineRule="exact"/>
              <w:ind w:left="0" w:right="113"/>
              <w:jc w:val="left"/>
            </w:pPr>
            <w:r w:rsidRPr="00550871">
              <w:t>European Society of International Law, Riga, Latvia, 08–10/09/2016</w:t>
            </w:r>
          </w:p>
        </w:tc>
      </w:tr>
      <w:tr w:rsidR="008C7ED3" w:rsidRPr="00550871" w:rsidTr="00D86071">
        <w:tc>
          <w:tcPr>
            <w:tcW w:w="1627" w:type="dxa"/>
            <w:tcBorders>
              <w:top w:val="nil"/>
            </w:tcBorders>
            <w:shd w:val="clear" w:color="auto" w:fill="auto"/>
          </w:tcPr>
          <w:p w:rsidR="008C7ED3" w:rsidRPr="00550871" w:rsidRDefault="008C7ED3" w:rsidP="00D86071">
            <w:pPr>
              <w:pStyle w:val="SingleTxtG"/>
              <w:suppressAutoHyphens w:val="0"/>
              <w:spacing w:before="40" w:line="220" w:lineRule="exact"/>
              <w:ind w:left="0" w:right="113"/>
              <w:jc w:val="left"/>
            </w:pPr>
            <w:r w:rsidRPr="00550871">
              <w:t>2016</w:t>
            </w:r>
          </w:p>
        </w:tc>
        <w:tc>
          <w:tcPr>
            <w:tcW w:w="5743" w:type="dxa"/>
            <w:tcBorders>
              <w:top w:val="nil"/>
            </w:tcBorders>
            <w:shd w:val="clear" w:color="auto" w:fill="auto"/>
          </w:tcPr>
          <w:p w:rsidR="008C7ED3" w:rsidRPr="00550871" w:rsidRDefault="008C7ED3" w:rsidP="00D86071">
            <w:pPr>
              <w:pStyle w:val="SingleTxtG"/>
              <w:keepNext/>
              <w:suppressAutoHyphens w:val="0"/>
              <w:spacing w:before="40" w:line="220" w:lineRule="exact"/>
              <w:ind w:left="0" w:right="113"/>
              <w:jc w:val="left"/>
            </w:pPr>
            <w:r w:rsidRPr="00550871">
              <w:t>Presentation: Concurrent State Responsibility in International Cultural Heritage Law between Erga Omnes Obligations and Territoriality</w:t>
            </w:r>
          </w:p>
          <w:p w:rsidR="008C7ED3" w:rsidRPr="00550871" w:rsidRDefault="008C7ED3" w:rsidP="00D86071">
            <w:pPr>
              <w:pStyle w:val="SingleTxtG"/>
              <w:keepNext/>
              <w:suppressAutoHyphens w:val="0"/>
              <w:spacing w:before="40" w:line="220" w:lineRule="exact"/>
              <w:ind w:left="0" w:right="113"/>
              <w:jc w:val="left"/>
              <w:rPr>
                <w:i/>
                <w:iCs/>
              </w:rPr>
            </w:pPr>
            <w:r w:rsidRPr="00550871">
              <w:t xml:space="preserve">Conference: </w:t>
            </w:r>
            <w:r w:rsidRPr="00550871">
              <w:rPr>
                <w:i/>
                <w:iCs/>
              </w:rPr>
              <w:t>All Art and Cultural Heritage Law Conference</w:t>
            </w:r>
          </w:p>
          <w:p w:rsidR="008C7ED3" w:rsidRPr="00550871" w:rsidRDefault="008C7ED3" w:rsidP="00D86071">
            <w:pPr>
              <w:pStyle w:val="SingleTxtG"/>
              <w:suppressAutoHyphens w:val="0"/>
              <w:spacing w:before="40" w:line="220" w:lineRule="exact"/>
              <w:ind w:left="0" w:right="113"/>
              <w:jc w:val="left"/>
            </w:pPr>
            <w:r w:rsidRPr="00550871">
              <w:t>University of Geneva, Art Law Centre, Geneva, Switzerland, 24–25/06/2016</w:t>
            </w:r>
          </w:p>
        </w:tc>
      </w:tr>
      <w:tr w:rsidR="008C7ED3" w:rsidRPr="00550871" w:rsidTr="00D86071">
        <w:tc>
          <w:tcPr>
            <w:tcW w:w="1627" w:type="dxa"/>
            <w:shd w:val="clear" w:color="auto" w:fill="auto"/>
          </w:tcPr>
          <w:p w:rsidR="008C7ED3" w:rsidRPr="00550871" w:rsidRDefault="008C7ED3" w:rsidP="00D86071">
            <w:pPr>
              <w:pStyle w:val="SingleTxtG"/>
              <w:suppressAutoHyphens w:val="0"/>
              <w:spacing w:before="40" w:line="220" w:lineRule="exact"/>
              <w:ind w:left="0" w:right="113"/>
              <w:jc w:val="left"/>
            </w:pPr>
            <w:r w:rsidRPr="00550871">
              <w:t>2016</w:t>
            </w:r>
          </w:p>
        </w:tc>
        <w:tc>
          <w:tcPr>
            <w:tcW w:w="5743" w:type="dxa"/>
            <w:shd w:val="clear" w:color="auto" w:fill="auto"/>
          </w:tcPr>
          <w:p w:rsidR="008C7ED3" w:rsidRPr="00550871" w:rsidRDefault="008C7ED3" w:rsidP="00D86071">
            <w:pPr>
              <w:pStyle w:val="SingleTxtG"/>
              <w:suppressAutoHyphens w:val="0"/>
              <w:spacing w:before="40" w:line="220" w:lineRule="exact"/>
              <w:ind w:left="0" w:right="113"/>
              <w:jc w:val="left"/>
            </w:pPr>
            <w:r w:rsidRPr="00550871">
              <w:t>Presentation: Lessons from Strasbourg: “European Consensus” and the Role of Judges in European Constitutional Democracy</w:t>
            </w:r>
          </w:p>
          <w:p w:rsidR="008C7ED3" w:rsidRPr="00550871" w:rsidRDefault="008C7ED3" w:rsidP="00D86071">
            <w:pPr>
              <w:pStyle w:val="SingleTxtG"/>
              <w:suppressAutoHyphens w:val="0"/>
              <w:spacing w:before="40" w:line="220" w:lineRule="exact"/>
              <w:ind w:left="0" w:right="113"/>
              <w:jc w:val="left"/>
              <w:rPr>
                <w:i/>
                <w:iCs/>
              </w:rPr>
            </w:pPr>
            <w:r w:rsidRPr="00550871">
              <w:t xml:space="preserve">Conference: </w:t>
            </w:r>
            <w:r w:rsidRPr="00550871">
              <w:rPr>
                <w:i/>
                <w:iCs/>
              </w:rPr>
              <w:t xml:space="preserve">Rethinking European Constitutional Democracy </w:t>
            </w:r>
          </w:p>
          <w:p w:rsidR="008C7ED3" w:rsidRPr="00550871" w:rsidRDefault="008C7ED3" w:rsidP="00D86071">
            <w:pPr>
              <w:pStyle w:val="SingleTxtG"/>
              <w:suppressAutoHyphens w:val="0"/>
              <w:spacing w:before="40" w:line="220" w:lineRule="exact"/>
              <w:ind w:left="0" w:right="113"/>
              <w:jc w:val="left"/>
            </w:pPr>
            <w:r w:rsidRPr="00550871">
              <w:lastRenderedPageBreak/>
              <w:t>ELTE Faculty of Social Sciences, Budapest, Hungary, 23–24/06/2016</w:t>
            </w:r>
          </w:p>
        </w:tc>
      </w:tr>
      <w:tr w:rsidR="008C7ED3" w:rsidRPr="00550871" w:rsidTr="00D86071">
        <w:tc>
          <w:tcPr>
            <w:tcW w:w="1627" w:type="dxa"/>
            <w:shd w:val="clear" w:color="auto" w:fill="auto"/>
          </w:tcPr>
          <w:p w:rsidR="008C7ED3" w:rsidRPr="00550871" w:rsidRDefault="008C7ED3" w:rsidP="00D86071">
            <w:pPr>
              <w:pStyle w:val="SingleTxtG"/>
              <w:suppressAutoHyphens w:val="0"/>
              <w:spacing w:before="40" w:line="220" w:lineRule="exact"/>
              <w:ind w:left="0" w:right="113"/>
              <w:jc w:val="left"/>
            </w:pPr>
            <w:r w:rsidRPr="00550871">
              <w:lastRenderedPageBreak/>
              <w:t>2016</w:t>
            </w:r>
          </w:p>
        </w:tc>
        <w:tc>
          <w:tcPr>
            <w:tcW w:w="5743" w:type="dxa"/>
            <w:shd w:val="clear" w:color="auto" w:fill="auto"/>
          </w:tcPr>
          <w:p w:rsidR="008C7ED3" w:rsidRPr="00550871" w:rsidRDefault="008C7ED3" w:rsidP="00D86071">
            <w:pPr>
              <w:pStyle w:val="SingleTxtG"/>
              <w:suppressAutoHyphens w:val="0"/>
              <w:spacing w:before="40" w:line="220" w:lineRule="exact"/>
              <w:ind w:left="0" w:right="113"/>
              <w:jc w:val="left"/>
            </w:pPr>
            <w:r w:rsidRPr="00550871">
              <w:t>Discussion of papers</w:t>
            </w:r>
          </w:p>
          <w:p w:rsidR="008C7ED3" w:rsidRPr="00550871" w:rsidRDefault="008C7ED3" w:rsidP="00D86071">
            <w:pPr>
              <w:pStyle w:val="SingleTxtG"/>
              <w:suppressAutoHyphens w:val="0"/>
              <w:spacing w:before="40" w:line="220" w:lineRule="exact"/>
              <w:ind w:left="0" w:right="113"/>
              <w:jc w:val="left"/>
              <w:rPr>
                <w:i/>
                <w:iCs/>
              </w:rPr>
            </w:pPr>
            <w:r w:rsidRPr="00550871">
              <w:t xml:space="preserve">Conference: </w:t>
            </w:r>
            <w:r w:rsidRPr="00550871">
              <w:rPr>
                <w:i/>
                <w:iCs/>
              </w:rPr>
              <w:t>Evaluating the Impact of R2P – 10 Years On: An Idea whose Time has Come and Gone?</w:t>
            </w:r>
          </w:p>
          <w:p w:rsidR="008C7ED3" w:rsidRPr="00550871" w:rsidRDefault="008C7ED3" w:rsidP="00D86071">
            <w:pPr>
              <w:pStyle w:val="SingleTxtG"/>
              <w:suppressAutoHyphens w:val="0"/>
              <w:spacing w:before="40" w:line="220" w:lineRule="exact"/>
              <w:ind w:left="0" w:right="113"/>
              <w:jc w:val="left"/>
            </w:pPr>
            <w:r w:rsidRPr="00550871">
              <w:t>University of Lincoln Law School, Lincoln, UK, 22/04/2016 [invited speaker]</w:t>
            </w:r>
          </w:p>
        </w:tc>
      </w:tr>
      <w:tr w:rsidR="008C7ED3" w:rsidRPr="00550871" w:rsidTr="00D86071">
        <w:tc>
          <w:tcPr>
            <w:tcW w:w="1627" w:type="dxa"/>
            <w:shd w:val="clear" w:color="auto" w:fill="auto"/>
          </w:tcPr>
          <w:p w:rsidR="008C7ED3" w:rsidRPr="00550871" w:rsidRDefault="008C7ED3" w:rsidP="00D86071">
            <w:pPr>
              <w:pStyle w:val="SingleTxtG"/>
              <w:suppressAutoHyphens w:val="0"/>
              <w:spacing w:before="40" w:line="220" w:lineRule="exact"/>
              <w:ind w:left="0" w:right="113"/>
              <w:jc w:val="left"/>
            </w:pPr>
            <w:r w:rsidRPr="00550871">
              <w:t>2016</w:t>
            </w:r>
          </w:p>
        </w:tc>
        <w:tc>
          <w:tcPr>
            <w:tcW w:w="5743" w:type="dxa"/>
            <w:shd w:val="clear" w:color="auto" w:fill="auto"/>
          </w:tcPr>
          <w:p w:rsidR="008C7ED3" w:rsidRPr="00550871" w:rsidRDefault="008C7ED3" w:rsidP="00D86071">
            <w:pPr>
              <w:pStyle w:val="SingleTxtG"/>
              <w:suppressAutoHyphens w:val="0"/>
              <w:spacing w:before="40" w:line="220" w:lineRule="exact"/>
              <w:ind w:left="0" w:right="113"/>
              <w:jc w:val="left"/>
            </w:pPr>
            <w:r w:rsidRPr="00550871">
              <w:t>Conclusions</w:t>
            </w:r>
          </w:p>
          <w:p w:rsidR="008C7ED3" w:rsidRPr="00550871" w:rsidRDefault="008C7ED3" w:rsidP="00D86071">
            <w:pPr>
              <w:pStyle w:val="SingleTxtG"/>
              <w:suppressAutoHyphens w:val="0"/>
              <w:spacing w:before="40" w:line="220" w:lineRule="exact"/>
              <w:ind w:left="0" w:right="113"/>
              <w:jc w:val="left"/>
              <w:rPr>
                <w:i/>
                <w:iCs/>
              </w:rPr>
            </w:pPr>
            <w:r w:rsidRPr="00550871">
              <w:t xml:space="preserve">Conference: </w:t>
            </w:r>
            <w:r w:rsidRPr="00550871">
              <w:rPr>
                <w:i/>
                <w:iCs/>
              </w:rPr>
              <w:t xml:space="preserve">The Age of Austerity: A New Challenge for State Powers </w:t>
            </w:r>
          </w:p>
          <w:p w:rsidR="008C7ED3" w:rsidRPr="00550871" w:rsidRDefault="008C7ED3" w:rsidP="00D86071">
            <w:pPr>
              <w:pStyle w:val="SingleTxtG"/>
              <w:suppressAutoHyphens w:val="0"/>
              <w:spacing w:before="40" w:line="220" w:lineRule="exact"/>
              <w:ind w:left="0" w:right="113"/>
              <w:jc w:val="left"/>
            </w:pPr>
            <w:r w:rsidRPr="00550871">
              <w:t>University of Edinburgh, Europa Institute and Edinburgh Centre for Constitutional Law, Edinburgh, UK, 30/03/2016 [invited speaker]</w:t>
            </w:r>
          </w:p>
        </w:tc>
      </w:tr>
      <w:tr w:rsidR="008C7ED3" w:rsidRPr="00550871" w:rsidTr="00D86071">
        <w:tc>
          <w:tcPr>
            <w:tcW w:w="1627" w:type="dxa"/>
            <w:shd w:val="clear" w:color="auto" w:fill="auto"/>
          </w:tcPr>
          <w:p w:rsidR="008C7ED3" w:rsidRPr="00550871" w:rsidRDefault="008C7ED3" w:rsidP="00D86071">
            <w:pPr>
              <w:pStyle w:val="SingleTxtG"/>
              <w:suppressAutoHyphens w:val="0"/>
              <w:spacing w:before="40" w:line="220" w:lineRule="exact"/>
              <w:ind w:left="0" w:right="113"/>
              <w:jc w:val="left"/>
            </w:pPr>
            <w:r w:rsidRPr="00550871">
              <w:t>2016</w:t>
            </w:r>
          </w:p>
        </w:tc>
        <w:tc>
          <w:tcPr>
            <w:tcW w:w="5743" w:type="dxa"/>
            <w:shd w:val="clear" w:color="auto" w:fill="auto"/>
          </w:tcPr>
          <w:p w:rsidR="008C7ED3" w:rsidRPr="00550871" w:rsidRDefault="008C7ED3" w:rsidP="00D86071">
            <w:pPr>
              <w:pStyle w:val="SingleTxtG"/>
              <w:suppressAutoHyphens w:val="0"/>
              <w:spacing w:before="40" w:line="220" w:lineRule="exact"/>
              <w:ind w:left="0" w:right="113"/>
              <w:jc w:val="left"/>
            </w:pPr>
            <w:r w:rsidRPr="00550871">
              <w:t xml:space="preserve">Presentation: Concurrent State Responsibility in International Cultural Heritage Law: Between </w:t>
            </w:r>
            <w:r w:rsidRPr="00550871">
              <w:rPr>
                <w:i/>
                <w:iCs/>
              </w:rPr>
              <w:t>Erga Omnes</w:t>
            </w:r>
            <w:r w:rsidRPr="00550871">
              <w:t xml:space="preserve"> Obligations and Territoriality </w:t>
            </w:r>
          </w:p>
          <w:p w:rsidR="008C7ED3" w:rsidRPr="00550871" w:rsidRDefault="008C7ED3" w:rsidP="00D86071">
            <w:pPr>
              <w:pStyle w:val="SingleTxtG"/>
              <w:suppressAutoHyphens w:val="0"/>
              <w:spacing w:before="40" w:line="220" w:lineRule="exact"/>
              <w:ind w:left="0" w:right="113"/>
              <w:jc w:val="left"/>
            </w:pPr>
            <w:r w:rsidRPr="00550871">
              <w:t xml:space="preserve">Conference: </w:t>
            </w:r>
            <w:r w:rsidRPr="00550871">
              <w:rPr>
                <w:i/>
                <w:iCs/>
              </w:rPr>
              <w:t>Intersections in International Cultural Heritage Law</w:t>
            </w:r>
          </w:p>
          <w:p w:rsidR="008C7ED3" w:rsidRPr="00550871" w:rsidRDefault="008C7ED3" w:rsidP="00D86071">
            <w:pPr>
              <w:pStyle w:val="SingleTxtG"/>
              <w:suppressAutoHyphens w:val="0"/>
              <w:spacing w:before="40" w:line="220" w:lineRule="exact"/>
              <w:ind w:left="0" w:right="113"/>
              <w:jc w:val="left"/>
            </w:pPr>
            <w:r w:rsidRPr="00550871">
              <w:t>Georgetown University Law Center, Washington DC, USA, 29–30/03/2016 [paper presented by co-author]</w:t>
            </w:r>
          </w:p>
        </w:tc>
      </w:tr>
      <w:tr w:rsidR="008C7ED3" w:rsidRPr="00550871" w:rsidTr="00D86071">
        <w:tc>
          <w:tcPr>
            <w:tcW w:w="1627" w:type="dxa"/>
            <w:shd w:val="clear" w:color="auto" w:fill="auto"/>
          </w:tcPr>
          <w:p w:rsidR="008C7ED3" w:rsidRPr="00550871" w:rsidRDefault="008C7ED3" w:rsidP="00D86071">
            <w:pPr>
              <w:pStyle w:val="SingleTxtG"/>
              <w:suppressAutoHyphens w:val="0"/>
              <w:spacing w:before="40" w:line="220" w:lineRule="exact"/>
              <w:ind w:left="0" w:right="113"/>
              <w:jc w:val="left"/>
            </w:pPr>
            <w:r w:rsidRPr="00550871">
              <w:t>2015</w:t>
            </w:r>
          </w:p>
        </w:tc>
        <w:tc>
          <w:tcPr>
            <w:tcW w:w="5743" w:type="dxa"/>
            <w:shd w:val="clear" w:color="auto" w:fill="auto"/>
          </w:tcPr>
          <w:p w:rsidR="008C7ED3" w:rsidRPr="00550871" w:rsidRDefault="008C7ED3" w:rsidP="00D86071">
            <w:pPr>
              <w:pStyle w:val="SingleTxtG"/>
              <w:suppressAutoHyphens w:val="0"/>
              <w:spacing w:before="40" w:line="220" w:lineRule="exact"/>
              <w:ind w:left="0" w:right="113"/>
              <w:jc w:val="left"/>
            </w:pPr>
            <w:r w:rsidRPr="00550871">
              <w:t>Presentation: “Globalising” Reaction to Global Threats in the Areas of Human Rights and Environmental Law: Concurrent Responsibility to Protect</w:t>
            </w:r>
          </w:p>
          <w:p w:rsidR="008C7ED3" w:rsidRPr="00550871" w:rsidRDefault="008C7ED3" w:rsidP="00D86071">
            <w:pPr>
              <w:pStyle w:val="SingleTxtG"/>
              <w:suppressAutoHyphens w:val="0"/>
              <w:spacing w:before="40" w:line="220" w:lineRule="exact"/>
              <w:ind w:left="0" w:right="113"/>
              <w:jc w:val="left"/>
              <w:rPr>
                <w:i/>
                <w:iCs/>
              </w:rPr>
            </w:pPr>
            <w:r w:rsidRPr="00550871">
              <w:t xml:space="preserve">Conference: </w:t>
            </w:r>
            <w:r w:rsidRPr="00550871">
              <w:rPr>
                <w:i/>
                <w:iCs/>
              </w:rPr>
              <w:t>Taming Power in Times of Globalization: What Role for Human Rights</w:t>
            </w:r>
          </w:p>
          <w:p w:rsidR="008C7ED3" w:rsidRPr="00550871" w:rsidRDefault="008C7ED3" w:rsidP="00D86071">
            <w:pPr>
              <w:pStyle w:val="SingleTxtG"/>
              <w:suppressAutoHyphens w:val="0"/>
              <w:spacing w:before="40" w:line="220" w:lineRule="exact"/>
              <w:ind w:left="0" w:right="113"/>
              <w:jc w:val="left"/>
            </w:pPr>
            <w:r w:rsidRPr="00550871">
              <w:t>University of Ireland, Irish Centre for Human Rights National, Galway, Ireland, 30/11–01/12/2015</w:t>
            </w:r>
          </w:p>
        </w:tc>
      </w:tr>
      <w:tr w:rsidR="008C7ED3" w:rsidRPr="00550871" w:rsidTr="00D86071">
        <w:tc>
          <w:tcPr>
            <w:tcW w:w="1627" w:type="dxa"/>
            <w:shd w:val="clear" w:color="auto" w:fill="auto"/>
          </w:tcPr>
          <w:p w:rsidR="008C7ED3" w:rsidRPr="00550871" w:rsidRDefault="008C7ED3" w:rsidP="00D86071">
            <w:pPr>
              <w:pStyle w:val="SingleTxtG"/>
              <w:suppressAutoHyphens w:val="0"/>
              <w:spacing w:before="40" w:line="220" w:lineRule="exact"/>
              <w:ind w:left="0" w:right="113"/>
              <w:jc w:val="left"/>
            </w:pPr>
            <w:r w:rsidRPr="00550871">
              <w:t>2015</w:t>
            </w:r>
          </w:p>
        </w:tc>
        <w:tc>
          <w:tcPr>
            <w:tcW w:w="5743" w:type="dxa"/>
            <w:shd w:val="clear" w:color="auto" w:fill="auto"/>
          </w:tcPr>
          <w:p w:rsidR="008C7ED3" w:rsidRPr="00550871" w:rsidRDefault="008C7ED3" w:rsidP="00D86071">
            <w:pPr>
              <w:pStyle w:val="SingleTxtG"/>
              <w:suppressAutoHyphens w:val="0"/>
              <w:spacing w:before="40" w:line="220" w:lineRule="exact"/>
              <w:ind w:left="0" w:right="113"/>
              <w:jc w:val="left"/>
            </w:pPr>
            <w:r w:rsidRPr="00550871">
              <w:t>Presentation: Migrants at Sea: A Duty to Protect?</w:t>
            </w:r>
          </w:p>
          <w:p w:rsidR="008C7ED3" w:rsidRPr="00550871" w:rsidRDefault="008C7ED3" w:rsidP="00D86071">
            <w:pPr>
              <w:pStyle w:val="SingleTxtG"/>
              <w:suppressAutoHyphens w:val="0"/>
              <w:spacing w:before="40" w:line="220" w:lineRule="exact"/>
              <w:ind w:left="0" w:right="113"/>
              <w:jc w:val="left"/>
            </w:pPr>
            <w:r w:rsidRPr="00550871">
              <w:t xml:space="preserve">Conference: </w:t>
            </w:r>
            <w:r w:rsidRPr="00550871">
              <w:rPr>
                <w:i/>
                <w:iCs/>
              </w:rPr>
              <w:t>Blurring Boundaries: Human Security and Migration</w:t>
            </w:r>
          </w:p>
          <w:p w:rsidR="008C7ED3" w:rsidRPr="00550871" w:rsidRDefault="008C7ED3" w:rsidP="00D86071">
            <w:pPr>
              <w:pStyle w:val="SingleTxtG"/>
              <w:suppressAutoHyphens w:val="0"/>
              <w:spacing w:before="40" w:line="220" w:lineRule="exact"/>
              <w:ind w:left="0" w:right="113"/>
              <w:jc w:val="left"/>
            </w:pPr>
            <w:r w:rsidRPr="00550871">
              <w:t>University of Graz, Graz, Austria, 26–27/11/2015</w:t>
            </w:r>
          </w:p>
        </w:tc>
      </w:tr>
      <w:tr w:rsidR="008C7ED3" w:rsidRPr="00550871" w:rsidTr="00D86071">
        <w:tc>
          <w:tcPr>
            <w:tcW w:w="1627" w:type="dxa"/>
            <w:tcBorders>
              <w:bottom w:val="nil"/>
            </w:tcBorders>
            <w:shd w:val="clear" w:color="auto" w:fill="auto"/>
          </w:tcPr>
          <w:p w:rsidR="008C7ED3" w:rsidRPr="00550871" w:rsidRDefault="008C7ED3" w:rsidP="00D86071">
            <w:pPr>
              <w:pStyle w:val="SingleTxtG"/>
              <w:suppressAutoHyphens w:val="0"/>
              <w:spacing w:before="40" w:line="220" w:lineRule="exact"/>
              <w:ind w:left="0" w:right="113"/>
              <w:jc w:val="left"/>
            </w:pPr>
            <w:r w:rsidRPr="00550871">
              <w:t>2015</w:t>
            </w:r>
          </w:p>
        </w:tc>
        <w:tc>
          <w:tcPr>
            <w:tcW w:w="5743" w:type="dxa"/>
            <w:tcBorders>
              <w:bottom w:val="nil"/>
            </w:tcBorders>
            <w:shd w:val="clear" w:color="auto" w:fill="auto"/>
          </w:tcPr>
          <w:p w:rsidR="008C7ED3" w:rsidRPr="00550871" w:rsidRDefault="008C7ED3" w:rsidP="00D86071">
            <w:pPr>
              <w:pStyle w:val="SingleTxtG"/>
              <w:suppressAutoHyphens w:val="0"/>
              <w:spacing w:before="40" w:line="220" w:lineRule="exact"/>
              <w:ind w:left="0" w:right="113"/>
              <w:jc w:val="left"/>
            </w:pPr>
            <w:r w:rsidRPr="00550871">
              <w:t>Presentation: How to Walk a Tightrope: The ECtHR’s European Consensus Method of Interpretation</w:t>
            </w:r>
          </w:p>
          <w:p w:rsidR="008C7ED3" w:rsidRPr="00550871" w:rsidRDefault="008C7ED3" w:rsidP="00D86071">
            <w:pPr>
              <w:pStyle w:val="SingleTxtG"/>
              <w:suppressAutoHyphens w:val="0"/>
              <w:spacing w:before="40" w:line="220" w:lineRule="exact"/>
              <w:ind w:left="0" w:right="113"/>
              <w:jc w:val="left"/>
            </w:pPr>
            <w:r w:rsidRPr="00550871">
              <w:t xml:space="preserve">Conference: </w:t>
            </w:r>
            <w:r w:rsidRPr="00550871">
              <w:rPr>
                <w:i/>
                <w:iCs/>
              </w:rPr>
              <w:t>In Search of Basic European Values</w:t>
            </w:r>
          </w:p>
          <w:p w:rsidR="008C7ED3" w:rsidRPr="00550871" w:rsidRDefault="008C7ED3" w:rsidP="00D86071">
            <w:pPr>
              <w:pStyle w:val="SingleTxtG"/>
              <w:suppressAutoHyphens w:val="0"/>
              <w:spacing w:before="40" w:line="220" w:lineRule="exact"/>
              <w:ind w:left="0" w:right="113"/>
              <w:jc w:val="left"/>
            </w:pPr>
            <w:r w:rsidRPr="00550871">
              <w:t>European Faculty of Law, Graduate School of Government and European Studies, Ljubljana, Slovenia, 20–21/11/2015</w:t>
            </w:r>
          </w:p>
        </w:tc>
      </w:tr>
      <w:tr w:rsidR="008C7ED3" w:rsidRPr="00550871" w:rsidTr="00D86071">
        <w:tc>
          <w:tcPr>
            <w:tcW w:w="1627" w:type="dxa"/>
            <w:tcBorders>
              <w:top w:val="nil"/>
              <w:bottom w:val="nil"/>
            </w:tcBorders>
            <w:shd w:val="clear" w:color="auto" w:fill="auto"/>
          </w:tcPr>
          <w:p w:rsidR="008C7ED3" w:rsidRPr="00550871" w:rsidRDefault="008C7ED3" w:rsidP="00D86071">
            <w:pPr>
              <w:pStyle w:val="SingleTxtG"/>
              <w:suppressAutoHyphens w:val="0"/>
              <w:spacing w:before="40" w:line="220" w:lineRule="exact"/>
              <w:ind w:left="0" w:right="113"/>
              <w:jc w:val="left"/>
            </w:pPr>
            <w:r w:rsidRPr="00550871">
              <w:t>2015</w:t>
            </w:r>
          </w:p>
        </w:tc>
        <w:tc>
          <w:tcPr>
            <w:tcW w:w="5743" w:type="dxa"/>
            <w:tcBorders>
              <w:top w:val="nil"/>
              <w:bottom w:val="nil"/>
            </w:tcBorders>
            <w:shd w:val="clear" w:color="auto" w:fill="auto"/>
          </w:tcPr>
          <w:p w:rsidR="008C7ED3" w:rsidRPr="00550871" w:rsidRDefault="008C7ED3" w:rsidP="00D86071">
            <w:pPr>
              <w:pStyle w:val="SingleTxtG"/>
              <w:suppressAutoHyphens w:val="0"/>
              <w:spacing w:before="40" w:line="220" w:lineRule="exact"/>
              <w:ind w:left="0" w:right="113"/>
              <w:jc w:val="left"/>
            </w:pPr>
            <w:r w:rsidRPr="00550871">
              <w:t>Presentation: Migrants at Sea: A Duty to Protect?</w:t>
            </w:r>
          </w:p>
          <w:p w:rsidR="008C7ED3" w:rsidRPr="00550871" w:rsidRDefault="008C7ED3" w:rsidP="00D86071">
            <w:pPr>
              <w:pStyle w:val="SingleTxtG"/>
              <w:suppressAutoHyphens w:val="0"/>
              <w:spacing w:before="40" w:line="220" w:lineRule="exact"/>
              <w:ind w:left="0" w:right="113"/>
              <w:jc w:val="left"/>
              <w:rPr>
                <w:i/>
                <w:iCs/>
              </w:rPr>
            </w:pPr>
            <w:r w:rsidRPr="00550871">
              <w:t xml:space="preserve">Conference: </w:t>
            </w:r>
            <w:r w:rsidRPr="00550871">
              <w:rPr>
                <w:i/>
                <w:iCs/>
              </w:rPr>
              <w:t>Europe’s Shared Burden: Collective Responsibility for Migrants at Sea</w:t>
            </w:r>
          </w:p>
          <w:p w:rsidR="008C7ED3" w:rsidRPr="00550871" w:rsidRDefault="008C7ED3" w:rsidP="00D86071">
            <w:pPr>
              <w:pStyle w:val="SingleTxtG"/>
              <w:suppressAutoHyphens w:val="0"/>
              <w:spacing w:before="40" w:line="220" w:lineRule="exact"/>
              <w:ind w:left="0" w:right="113"/>
              <w:jc w:val="left"/>
            </w:pPr>
            <w:r w:rsidRPr="00550871">
              <w:t>UCD Sutherland School of Law, Dublin, Ireland, 9–10/10/2015 [paper presented by co-author]</w:t>
            </w:r>
          </w:p>
        </w:tc>
      </w:tr>
      <w:tr w:rsidR="008C7ED3" w:rsidRPr="00550871" w:rsidTr="00D86071">
        <w:tc>
          <w:tcPr>
            <w:tcW w:w="1627" w:type="dxa"/>
            <w:tcBorders>
              <w:top w:val="nil"/>
            </w:tcBorders>
            <w:shd w:val="clear" w:color="auto" w:fill="auto"/>
          </w:tcPr>
          <w:p w:rsidR="008C7ED3" w:rsidRPr="00550871" w:rsidRDefault="008C7ED3" w:rsidP="00D86071">
            <w:pPr>
              <w:pStyle w:val="SingleTxtG"/>
              <w:suppressAutoHyphens w:val="0"/>
              <w:spacing w:before="40" w:line="220" w:lineRule="exact"/>
              <w:ind w:left="0" w:right="113"/>
              <w:jc w:val="left"/>
            </w:pPr>
            <w:r w:rsidRPr="00550871">
              <w:t>2015</w:t>
            </w:r>
          </w:p>
        </w:tc>
        <w:tc>
          <w:tcPr>
            <w:tcW w:w="5743" w:type="dxa"/>
            <w:tcBorders>
              <w:top w:val="nil"/>
            </w:tcBorders>
            <w:shd w:val="clear" w:color="auto" w:fill="auto"/>
          </w:tcPr>
          <w:p w:rsidR="008C7ED3" w:rsidRPr="00550871" w:rsidRDefault="008C7ED3" w:rsidP="00D86071">
            <w:pPr>
              <w:pStyle w:val="SingleTxtG"/>
              <w:suppressAutoHyphens w:val="0"/>
              <w:spacing w:before="40" w:line="220" w:lineRule="exact"/>
              <w:ind w:left="0" w:right="113"/>
              <w:jc w:val="left"/>
            </w:pPr>
            <w:r w:rsidRPr="00550871">
              <w:t xml:space="preserve">Presentation: State Obligations towards Asylum Seekers under the ECHR: Applying the Principle of ‘Due Diligence’ to Non- Refoulement Cases </w:t>
            </w:r>
          </w:p>
          <w:p w:rsidR="008C7ED3" w:rsidRPr="00550871" w:rsidRDefault="008C7ED3" w:rsidP="00D86071">
            <w:pPr>
              <w:pStyle w:val="SingleTxtG"/>
              <w:suppressAutoHyphens w:val="0"/>
              <w:spacing w:before="40" w:line="220" w:lineRule="exact"/>
              <w:ind w:left="0" w:right="113"/>
              <w:jc w:val="left"/>
              <w:rPr>
                <w:i/>
                <w:iCs/>
              </w:rPr>
            </w:pPr>
            <w:r w:rsidRPr="00550871">
              <w:t xml:space="preserve">Conference: </w:t>
            </w:r>
            <w:r w:rsidRPr="00550871">
              <w:rPr>
                <w:i/>
                <w:iCs/>
              </w:rPr>
              <w:t>Annual Conference: The Society of Legal Scholars</w:t>
            </w:r>
          </w:p>
          <w:p w:rsidR="008C7ED3" w:rsidRPr="00550871" w:rsidRDefault="008C7ED3" w:rsidP="00D86071">
            <w:pPr>
              <w:pStyle w:val="SingleTxtG"/>
              <w:suppressAutoHyphens w:val="0"/>
              <w:spacing w:before="40" w:line="220" w:lineRule="exact"/>
              <w:ind w:left="0" w:right="113"/>
              <w:jc w:val="left"/>
            </w:pPr>
            <w:r w:rsidRPr="00550871">
              <w:t>University of York, York, UK, 01–4/09/2015</w:t>
            </w:r>
          </w:p>
        </w:tc>
      </w:tr>
      <w:tr w:rsidR="008C7ED3" w:rsidRPr="00550871" w:rsidTr="00D86071">
        <w:tc>
          <w:tcPr>
            <w:tcW w:w="1627" w:type="dxa"/>
            <w:shd w:val="clear" w:color="auto" w:fill="auto"/>
          </w:tcPr>
          <w:p w:rsidR="008C7ED3" w:rsidRPr="00550871" w:rsidRDefault="008C7ED3" w:rsidP="00D86071">
            <w:pPr>
              <w:pStyle w:val="SingleTxtG"/>
              <w:suppressAutoHyphens w:val="0"/>
              <w:spacing w:before="40" w:line="220" w:lineRule="exact"/>
              <w:ind w:left="0" w:right="113"/>
              <w:jc w:val="left"/>
            </w:pPr>
            <w:r w:rsidRPr="00550871">
              <w:t>2015</w:t>
            </w:r>
          </w:p>
        </w:tc>
        <w:tc>
          <w:tcPr>
            <w:tcW w:w="5743" w:type="dxa"/>
            <w:shd w:val="clear" w:color="auto" w:fill="auto"/>
          </w:tcPr>
          <w:p w:rsidR="008C7ED3" w:rsidRPr="00550871" w:rsidRDefault="008C7ED3" w:rsidP="00D86071">
            <w:pPr>
              <w:pStyle w:val="SingleTxtG"/>
              <w:suppressAutoHyphens w:val="0"/>
              <w:spacing w:before="40" w:line="220" w:lineRule="exact"/>
              <w:ind w:left="0" w:right="113"/>
              <w:jc w:val="left"/>
            </w:pPr>
            <w:r w:rsidRPr="00550871">
              <w:t>Presentation: Allocation of Responsibility for Breaches of Human Rights and the Effects of the ECtHR’s Practice on the Autonomy of the EU Legal Order</w:t>
            </w:r>
          </w:p>
          <w:p w:rsidR="008C7ED3" w:rsidRPr="00550871" w:rsidRDefault="008C7ED3" w:rsidP="00D86071">
            <w:pPr>
              <w:pStyle w:val="SingleTxtG"/>
              <w:suppressAutoHyphens w:val="0"/>
              <w:spacing w:before="40" w:line="220" w:lineRule="exact"/>
              <w:ind w:left="0" w:right="113"/>
              <w:jc w:val="left"/>
              <w:rPr>
                <w:i/>
                <w:iCs/>
              </w:rPr>
            </w:pPr>
            <w:r w:rsidRPr="00550871">
              <w:t xml:space="preserve">Roundtable: </w:t>
            </w:r>
            <w:r w:rsidRPr="00550871">
              <w:rPr>
                <w:i/>
                <w:iCs/>
              </w:rPr>
              <w:t>Opinion 2/13: Current and Future Challenges for the Protection of Human Rights in Europe</w:t>
            </w:r>
          </w:p>
          <w:p w:rsidR="008C7ED3" w:rsidRPr="00550871" w:rsidRDefault="008C7ED3" w:rsidP="00D86071">
            <w:pPr>
              <w:pStyle w:val="SingleTxtG"/>
              <w:suppressAutoHyphens w:val="0"/>
              <w:spacing w:before="40" w:line="220" w:lineRule="exact"/>
              <w:ind w:left="0" w:right="113"/>
              <w:jc w:val="left"/>
            </w:pPr>
            <w:r w:rsidRPr="00550871">
              <w:t xml:space="preserve">University of Lincoln Law School, Lincoln, UK, 10/04/2015[invited </w:t>
            </w:r>
            <w:r w:rsidRPr="00550871">
              <w:lastRenderedPageBreak/>
              <w:t>speaker]</w:t>
            </w:r>
          </w:p>
        </w:tc>
      </w:tr>
      <w:tr w:rsidR="008C7ED3" w:rsidRPr="00550871" w:rsidTr="00D86071">
        <w:tc>
          <w:tcPr>
            <w:tcW w:w="1627" w:type="dxa"/>
            <w:shd w:val="clear" w:color="auto" w:fill="auto"/>
          </w:tcPr>
          <w:p w:rsidR="008C7ED3" w:rsidRPr="00550871" w:rsidRDefault="008C7ED3" w:rsidP="00D86071">
            <w:pPr>
              <w:pStyle w:val="SingleTxtG"/>
              <w:suppressAutoHyphens w:val="0"/>
              <w:spacing w:before="40" w:line="220" w:lineRule="exact"/>
              <w:ind w:left="0" w:right="113"/>
              <w:jc w:val="left"/>
            </w:pPr>
            <w:r w:rsidRPr="00550871">
              <w:lastRenderedPageBreak/>
              <w:t>2015</w:t>
            </w:r>
          </w:p>
        </w:tc>
        <w:tc>
          <w:tcPr>
            <w:tcW w:w="5743" w:type="dxa"/>
            <w:shd w:val="clear" w:color="auto" w:fill="auto"/>
          </w:tcPr>
          <w:p w:rsidR="008C7ED3" w:rsidRPr="00550871" w:rsidRDefault="008C7ED3" w:rsidP="00D86071">
            <w:pPr>
              <w:pStyle w:val="SingleTxtG"/>
              <w:suppressAutoHyphens w:val="0"/>
              <w:spacing w:before="40" w:line="220" w:lineRule="exact"/>
              <w:ind w:left="0" w:right="113"/>
              <w:jc w:val="left"/>
            </w:pPr>
            <w:r w:rsidRPr="00550871">
              <w:t>Presentation: The Blame Game: Allocation of Responsibility Between the EU and its Member States for Human Rights Breaches under the ECHR: State of Play and the Way Forward</w:t>
            </w:r>
          </w:p>
          <w:p w:rsidR="008C7ED3" w:rsidRPr="00550871" w:rsidRDefault="008C7ED3" w:rsidP="00D86071">
            <w:pPr>
              <w:pStyle w:val="SingleTxtG"/>
              <w:suppressAutoHyphens w:val="0"/>
              <w:spacing w:before="40" w:line="220" w:lineRule="exact"/>
              <w:ind w:left="0" w:right="113"/>
              <w:jc w:val="left"/>
              <w:rPr>
                <w:i/>
                <w:iCs/>
              </w:rPr>
            </w:pPr>
            <w:r w:rsidRPr="00550871">
              <w:t xml:space="preserve">Workshop: </w:t>
            </w:r>
            <w:r w:rsidRPr="00550871">
              <w:rPr>
                <w:i/>
                <w:iCs/>
              </w:rPr>
              <w:t>The EU’s Accession to the ECHR</w:t>
            </w:r>
          </w:p>
          <w:p w:rsidR="008C7ED3" w:rsidRPr="00550871" w:rsidRDefault="008C7ED3" w:rsidP="00D86071">
            <w:pPr>
              <w:pStyle w:val="SingleTxtG"/>
              <w:suppressAutoHyphens w:val="0"/>
              <w:spacing w:before="40" w:line="220" w:lineRule="exact"/>
              <w:ind w:left="0" w:right="113"/>
              <w:jc w:val="left"/>
            </w:pPr>
            <w:r w:rsidRPr="00550871">
              <w:t>University of Liverpool School of Law and Social Justice, Liverpool European Law Unit, Liverpool, UK, 25/03/2015 [invited speaker]</w:t>
            </w:r>
          </w:p>
        </w:tc>
      </w:tr>
      <w:tr w:rsidR="008C7ED3" w:rsidRPr="00550871" w:rsidTr="00D86071">
        <w:tc>
          <w:tcPr>
            <w:tcW w:w="1627" w:type="dxa"/>
            <w:shd w:val="clear" w:color="auto" w:fill="auto"/>
          </w:tcPr>
          <w:p w:rsidR="008C7ED3" w:rsidRPr="00550871" w:rsidRDefault="008C7ED3" w:rsidP="00D86071">
            <w:pPr>
              <w:pStyle w:val="SingleTxtG"/>
              <w:suppressAutoHyphens w:val="0"/>
              <w:spacing w:before="40" w:line="220" w:lineRule="exact"/>
              <w:ind w:left="0" w:right="113"/>
              <w:jc w:val="left"/>
            </w:pPr>
            <w:r w:rsidRPr="00550871">
              <w:t>2014</w:t>
            </w:r>
          </w:p>
        </w:tc>
        <w:tc>
          <w:tcPr>
            <w:tcW w:w="5743" w:type="dxa"/>
            <w:shd w:val="clear" w:color="auto" w:fill="auto"/>
          </w:tcPr>
          <w:p w:rsidR="008C7ED3" w:rsidRPr="00550871" w:rsidRDefault="008C7ED3" w:rsidP="00D86071">
            <w:pPr>
              <w:pStyle w:val="SingleTxtG"/>
              <w:suppressAutoHyphens w:val="0"/>
              <w:spacing w:before="40" w:line="220" w:lineRule="exact"/>
              <w:ind w:left="0" w:right="113"/>
              <w:jc w:val="left"/>
            </w:pPr>
            <w:r w:rsidRPr="00550871">
              <w:t>Intervention: The Role of Judges in Custom Making</w:t>
            </w:r>
          </w:p>
          <w:p w:rsidR="008C7ED3" w:rsidRPr="00550871" w:rsidRDefault="008C7ED3" w:rsidP="00D86071">
            <w:pPr>
              <w:pStyle w:val="SingleTxtG"/>
              <w:suppressAutoHyphens w:val="0"/>
              <w:spacing w:before="40" w:line="220" w:lineRule="exact"/>
              <w:ind w:left="0" w:right="113"/>
              <w:jc w:val="left"/>
              <w:rPr>
                <w:i/>
                <w:iCs/>
              </w:rPr>
            </w:pPr>
            <w:r w:rsidRPr="00550871">
              <w:t xml:space="preserve">Workshop: </w:t>
            </w:r>
            <w:r w:rsidRPr="00550871">
              <w:rPr>
                <w:i/>
                <w:iCs/>
              </w:rPr>
              <w:t xml:space="preserve">Seminar on the Identification of Customary International Law </w:t>
            </w:r>
          </w:p>
          <w:p w:rsidR="008C7ED3" w:rsidRPr="00550871" w:rsidRDefault="008C7ED3" w:rsidP="00D86071">
            <w:pPr>
              <w:pStyle w:val="SingleTxtG"/>
              <w:suppressAutoHyphens w:val="0"/>
              <w:spacing w:before="40" w:line="220" w:lineRule="exact"/>
              <w:ind w:left="0" w:right="113"/>
              <w:jc w:val="left"/>
            </w:pPr>
            <w:r w:rsidRPr="00550871">
              <w:t>University of Lincoln Law School, Lincoln, 13–14/11/2014 [invited speaker]</w:t>
            </w:r>
          </w:p>
        </w:tc>
      </w:tr>
      <w:tr w:rsidR="008C7ED3" w:rsidRPr="00550871" w:rsidTr="00D86071">
        <w:tc>
          <w:tcPr>
            <w:tcW w:w="1627" w:type="dxa"/>
            <w:shd w:val="clear" w:color="auto" w:fill="auto"/>
          </w:tcPr>
          <w:p w:rsidR="008C7ED3" w:rsidRPr="00550871" w:rsidRDefault="008C7ED3" w:rsidP="00D86071">
            <w:pPr>
              <w:pStyle w:val="SingleTxtG"/>
              <w:suppressAutoHyphens w:val="0"/>
              <w:spacing w:before="40" w:line="220" w:lineRule="exact"/>
              <w:ind w:left="0" w:right="113"/>
              <w:jc w:val="left"/>
            </w:pPr>
            <w:r w:rsidRPr="00550871">
              <w:t>2014</w:t>
            </w:r>
          </w:p>
        </w:tc>
        <w:tc>
          <w:tcPr>
            <w:tcW w:w="5743" w:type="dxa"/>
            <w:shd w:val="clear" w:color="auto" w:fill="auto"/>
          </w:tcPr>
          <w:p w:rsidR="008C7ED3" w:rsidRPr="00550871" w:rsidRDefault="008C7ED3" w:rsidP="00D86071">
            <w:pPr>
              <w:pStyle w:val="SingleTxtG"/>
              <w:suppressAutoHyphens w:val="0"/>
              <w:spacing w:before="40" w:line="220" w:lineRule="exact"/>
              <w:ind w:left="0" w:right="113"/>
              <w:jc w:val="left"/>
            </w:pPr>
            <w:r w:rsidRPr="00550871">
              <w:t>Presentation: Concurrent Responsibility of the EU in Human Rights Breaches under the ECHR</w:t>
            </w:r>
          </w:p>
          <w:p w:rsidR="008C7ED3" w:rsidRPr="00550871" w:rsidRDefault="008C7ED3" w:rsidP="00D86071">
            <w:pPr>
              <w:pStyle w:val="SingleTxtG"/>
              <w:suppressAutoHyphens w:val="0"/>
              <w:spacing w:before="40" w:line="220" w:lineRule="exact"/>
              <w:ind w:left="0" w:right="113"/>
              <w:jc w:val="left"/>
              <w:rPr>
                <w:i/>
                <w:iCs/>
              </w:rPr>
            </w:pPr>
            <w:r w:rsidRPr="00550871">
              <w:t xml:space="preserve">Conference: </w:t>
            </w:r>
            <w:r w:rsidRPr="00550871">
              <w:rPr>
                <w:i/>
                <w:iCs/>
              </w:rPr>
              <w:t>Beyond State Obligations in International Human Rights Law: Towards Common Principles on the Obligations of Multiple Actors</w:t>
            </w:r>
          </w:p>
          <w:p w:rsidR="008C7ED3" w:rsidRPr="00550871" w:rsidRDefault="008C7ED3" w:rsidP="00D86071">
            <w:pPr>
              <w:pStyle w:val="SingleTxtG"/>
              <w:suppressAutoHyphens w:val="0"/>
              <w:spacing w:before="40" w:line="220" w:lineRule="exact"/>
              <w:ind w:left="0" w:right="113"/>
              <w:jc w:val="left"/>
            </w:pPr>
            <w:r w:rsidRPr="00550871">
              <w:t>GLOTHRO Final Conference, Åbo Akademi Institute for Human Rights, Åbo/Turku, Finland, 27–29/03/2014</w:t>
            </w:r>
          </w:p>
        </w:tc>
      </w:tr>
      <w:tr w:rsidR="008C7ED3" w:rsidRPr="00550871" w:rsidTr="00D86071">
        <w:tc>
          <w:tcPr>
            <w:tcW w:w="1627" w:type="dxa"/>
            <w:tcBorders>
              <w:bottom w:val="nil"/>
            </w:tcBorders>
            <w:shd w:val="clear" w:color="auto" w:fill="auto"/>
          </w:tcPr>
          <w:p w:rsidR="008C7ED3" w:rsidRPr="00550871" w:rsidRDefault="008C7ED3" w:rsidP="00D86071">
            <w:pPr>
              <w:pStyle w:val="SingleTxtG"/>
              <w:suppressAutoHyphens w:val="0"/>
              <w:spacing w:before="40" w:line="220" w:lineRule="exact"/>
              <w:ind w:left="0" w:right="113"/>
              <w:jc w:val="left"/>
            </w:pPr>
            <w:r w:rsidRPr="00550871">
              <w:t>2013</w:t>
            </w:r>
          </w:p>
        </w:tc>
        <w:tc>
          <w:tcPr>
            <w:tcW w:w="5743" w:type="dxa"/>
            <w:tcBorders>
              <w:bottom w:val="nil"/>
            </w:tcBorders>
            <w:shd w:val="clear" w:color="auto" w:fill="auto"/>
          </w:tcPr>
          <w:p w:rsidR="008C7ED3" w:rsidRPr="00550871" w:rsidRDefault="008C7ED3" w:rsidP="00D86071">
            <w:pPr>
              <w:pStyle w:val="SingleTxtG"/>
              <w:suppressAutoHyphens w:val="0"/>
              <w:spacing w:before="40" w:line="220" w:lineRule="exact"/>
              <w:ind w:left="0" w:right="113"/>
              <w:jc w:val="left"/>
            </w:pPr>
            <w:r w:rsidRPr="00550871">
              <w:t>Presentation: Due Diligence and Concurrent Responsibility in Extraterritorial Environmental Protection</w:t>
            </w:r>
          </w:p>
          <w:p w:rsidR="008C7ED3" w:rsidRPr="00550871" w:rsidRDefault="008C7ED3" w:rsidP="00D86071">
            <w:pPr>
              <w:pStyle w:val="SingleTxtG"/>
              <w:suppressAutoHyphens w:val="0"/>
              <w:spacing w:before="40" w:line="220" w:lineRule="exact"/>
              <w:ind w:left="0" w:right="113"/>
              <w:jc w:val="left"/>
              <w:rPr>
                <w:i/>
                <w:iCs/>
              </w:rPr>
            </w:pPr>
            <w:r w:rsidRPr="00550871">
              <w:t xml:space="preserve">Conference: </w:t>
            </w:r>
            <w:r w:rsidRPr="00550871">
              <w:rPr>
                <w:i/>
                <w:iCs/>
              </w:rPr>
              <w:t>The Changing Nature of International Environmental Law: Evolving Approaches of the United States and the European Union</w:t>
            </w:r>
          </w:p>
          <w:p w:rsidR="008C7ED3" w:rsidRPr="00550871" w:rsidRDefault="008C7ED3" w:rsidP="00D86071">
            <w:pPr>
              <w:pStyle w:val="SingleTxtG"/>
              <w:suppressAutoHyphens w:val="0"/>
              <w:spacing w:before="40" w:line="220" w:lineRule="exact"/>
              <w:ind w:left="0" w:right="113"/>
              <w:jc w:val="left"/>
            </w:pPr>
            <w:r w:rsidRPr="00550871">
              <w:t>Joint Symposium of the American Society of International Law and the European Society of International Law International Environmental Law Interest Groups, Graduate Institute of International and Development Studies, Geneva, Switzerland, 22–23/11/2013</w:t>
            </w:r>
          </w:p>
        </w:tc>
      </w:tr>
      <w:tr w:rsidR="008C7ED3" w:rsidRPr="00550871" w:rsidTr="00D86071">
        <w:tc>
          <w:tcPr>
            <w:tcW w:w="1627" w:type="dxa"/>
            <w:tcBorders>
              <w:top w:val="nil"/>
              <w:bottom w:val="nil"/>
            </w:tcBorders>
            <w:shd w:val="clear" w:color="auto" w:fill="auto"/>
          </w:tcPr>
          <w:p w:rsidR="008C7ED3" w:rsidRPr="00550871" w:rsidRDefault="008C7ED3" w:rsidP="00D86071">
            <w:pPr>
              <w:pStyle w:val="SingleTxtG"/>
              <w:suppressAutoHyphens w:val="0"/>
              <w:spacing w:before="40" w:line="220" w:lineRule="exact"/>
              <w:ind w:left="0" w:right="113"/>
              <w:jc w:val="left"/>
            </w:pPr>
            <w:r w:rsidRPr="00550871">
              <w:t>2013</w:t>
            </w:r>
          </w:p>
        </w:tc>
        <w:tc>
          <w:tcPr>
            <w:tcW w:w="5743" w:type="dxa"/>
            <w:tcBorders>
              <w:top w:val="nil"/>
              <w:bottom w:val="nil"/>
            </w:tcBorders>
            <w:shd w:val="clear" w:color="auto" w:fill="auto"/>
          </w:tcPr>
          <w:p w:rsidR="008C7ED3" w:rsidRPr="00550871" w:rsidRDefault="008C7ED3" w:rsidP="00D86071">
            <w:pPr>
              <w:pStyle w:val="SingleTxtG"/>
              <w:suppressAutoHyphens w:val="0"/>
              <w:spacing w:before="40" w:line="220" w:lineRule="exact"/>
              <w:ind w:left="0" w:right="113"/>
              <w:jc w:val="left"/>
            </w:pPr>
            <w:r w:rsidRPr="00550871">
              <w:t>Presentation: Custom as a Matrix and Custom as a Norm: The Role of the Interpreter in Custom-Making and its Fragmentation</w:t>
            </w:r>
          </w:p>
          <w:p w:rsidR="008C7ED3" w:rsidRPr="00550871" w:rsidRDefault="008C7ED3" w:rsidP="00D86071">
            <w:pPr>
              <w:pStyle w:val="SingleTxtG"/>
              <w:suppressAutoHyphens w:val="0"/>
              <w:spacing w:before="40" w:line="220" w:lineRule="exact"/>
              <w:ind w:left="0" w:right="113"/>
              <w:jc w:val="left"/>
              <w:rPr>
                <w:i/>
                <w:iCs/>
              </w:rPr>
            </w:pPr>
            <w:r w:rsidRPr="00550871">
              <w:t xml:space="preserve">Conference: </w:t>
            </w:r>
            <w:r w:rsidRPr="00550871">
              <w:rPr>
                <w:i/>
                <w:iCs/>
              </w:rPr>
              <w:t>Constitutionalisation and Fragmentation of International Law Revisited</w:t>
            </w:r>
          </w:p>
          <w:p w:rsidR="008C7ED3" w:rsidRPr="00550871" w:rsidRDefault="008C7ED3" w:rsidP="00D86071">
            <w:pPr>
              <w:pStyle w:val="SingleTxtG"/>
              <w:suppressAutoHyphens w:val="0"/>
              <w:spacing w:before="40" w:line="220" w:lineRule="exact"/>
              <w:ind w:left="0" w:right="113"/>
              <w:jc w:val="left"/>
            </w:pPr>
            <w:r w:rsidRPr="00550871">
              <w:t>Polish Academy of Sciences, Institute of Law Studies,</w:t>
            </w:r>
            <w:r w:rsidRPr="00550871">
              <w:br/>
              <w:t>Warsaw, Poland, 18–19/11/2013</w:t>
            </w:r>
          </w:p>
        </w:tc>
      </w:tr>
      <w:tr w:rsidR="008C7ED3" w:rsidRPr="00550871" w:rsidTr="00D86071">
        <w:tc>
          <w:tcPr>
            <w:tcW w:w="1627" w:type="dxa"/>
            <w:tcBorders>
              <w:top w:val="nil"/>
            </w:tcBorders>
            <w:shd w:val="clear" w:color="auto" w:fill="auto"/>
          </w:tcPr>
          <w:p w:rsidR="008C7ED3" w:rsidRPr="00550871" w:rsidRDefault="008C7ED3" w:rsidP="00D86071">
            <w:pPr>
              <w:pStyle w:val="SingleTxtG"/>
              <w:suppressAutoHyphens w:val="0"/>
              <w:spacing w:before="40" w:line="220" w:lineRule="exact"/>
              <w:ind w:left="0" w:right="113"/>
              <w:jc w:val="left"/>
            </w:pPr>
            <w:r w:rsidRPr="00550871">
              <w:t>2013</w:t>
            </w:r>
          </w:p>
        </w:tc>
        <w:tc>
          <w:tcPr>
            <w:tcW w:w="5743" w:type="dxa"/>
            <w:tcBorders>
              <w:top w:val="nil"/>
            </w:tcBorders>
            <w:shd w:val="clear" w:color="auto" w:fill="auto"/>
          </w:tcPr>
          <w:p w:rsidR="008C7ED3" w:rsidRPr="00550871" w:rsidRDefault="008C7ED3" w:rsidP="00D86071">
            <w:pPr>
              <w:pStyle w:val="SingleTxtG"/>
              <w:keepNext/>
              <w:suppressAutoHyphens w:val="0"/>
              <w:spacing w:before="40" w:line="220" w:lineRule="exact"/>
              <w:ind w:left="0" w:right="113"/>
              <w:jc w:val="left"/>
            </w:pPr>
            <w:r w:rsidRPr="00550871">
              <w:t>Presentation: Extraterritoriality in Human Rights Protection and Concurrent International Responsibility</w:t>
            </w:r>
          </w:p>
          <w:p w:rsidR="008C7ED3" w:rsidRPr="00550871" w:rsidRDefault="008C7ED3" w:rsidP="00D86071">
            <w:pPr>
              <w:pStyle w:val="SingleTxtG"/>
              <w:keepNext/>
              <w:suppressAutoHyphens w:val="0"/>
              <w:spacing w:before="40" w:line="220" w:lineRule="exact"/>
              <w:ind w:left="0" w:right="113"/>
              <w:jc w:val="left"/>
              <w:rPr>
                <w:i/>
                <w:iCs/>
              </w:rPr>
            </w:pPr>
            <w:r w:rsidRPr="00550871">
              <w:t xml:space="preserve">Seminar series: </w:t>
            </w:r>
            <w:r w:rsidRPr="00550871">
              <w:rPr>
                <w:i/>
                <w:iCs/>
              </w:rPr>
              <w:t>International and European Law Research Seminar Series</w:t>
            </w:r>
          </w:p>
          <w:p w:rsidR="008C7ED3" w:rsidRPr="00550871" w:rsidRDefault="008C7ED3" w:rsidP="00D86071">
            <w:pPr>
              <w:pStyle w:val="SingleTxtG"/>
              <w:suppressAutoHyphens w:val="0"/>
              <w:spacing w:before="40" w:line="220" w:lineRule="exact"/>
              <w:ind w:left="0" w:right="113"/>
              <w:jc w:val="left"/>
            </w:pPr>
            <w:r w:rsidRPr="00550871">
              <w:t>University of Lincoln Law School, Lincoln, UK, 13/02/2013 [invited speaker]</w:t>
            </w:r>
          </w:p>
        </w:tc>
      </w:tr>
      <w:tr w:rsidR="008C7ED3" w:rsidRPr="00550871" w:rsidTr="00D86071">
        <w:tc>
          <w:tcPr>
            <w:tcW w:w="1627" w:type="dxa"/>
            <w:shd w:val="clear" w:color="auto" w:fill="auto"/>
          </w:tcPr>
          <w:p w:rsidR="008C7ED3" w:rsidRPr="00550871" w:rsidRDefault="008C7ED3" w:rsidP="00D86071">
            <w:pPr>
              <w:pStyle w:val="SingleTxtG"/>
              <w:suppressAutoHyphens w:val="0"/>
              <w:spacing w:before="40" w:line="220" w:lineRule="exact"/>
              <w:ind w:left="0" w:right="113"/>
              <w:jc w:val="left"/>
            </w:pPr>
            <w:r w:rsidRPr="00550871">
              <w:t>2012</w:t>
            </w:r>
          </w:p>
        </w:tc>
        <w:tc>
          <w:tcPr>
            <w:tcW w:w="5743" w:type="dxa"/>
            <w:shd w:val="clear" w:color="auto" w:fill="auto"/>
          </w:tcPr>
          <w:p w:rsidR="008C7ED3" w:rsidRPr="00550871" w:rsidRDefault="008C7ED3" w:rsidP="00D86071">
            <w:pPr>
              <w:pStyle w:val="SingleTxtG"/>
              <w:suppressAutoHyphens w:val="0"/>
              <w:spacing w:before="40" w:line="220" w:lineRule="exact"/>
              <w:ind w:left="0" w:right="113"/>
              <w:jc w:val="left"/>
            </w:pPr>
            <w:r w:rsidRPr="00550871">
              <w:t>Presentation: When Elephants Fight it is the Grass that Suffers: “Hegemonic Struggle” in Europe and its Side-Effects for International Law</w:t>
            </w:r>
          </w:p>
          <w:p w:rsidR="008C7ED3" w:rsidRPr="00550871" w:rsidRDefault="008C7ED3" w:rsidP="00D86071">
            <w:pPr>
              <w:pStyle w:val="SingleTxtG"/>
              <w:suppressAutoHyphens w:val="0"/>
              <w:spacing w:before="40" w:line="220" w:lineRule="exact"/>
              <w:ind w:left="0" w:right="113"/>
              <w:jc w:val="left"/>
              <w:rPr>
                <w:i/>
                <w:iCs/>
              </w:rPr>
            </w:pPr>
            <w:r w:rsidRPr="00550871">
              <w:t xml:space="preserve">Conference: </w:t>
            </w:r>
            <w:r w:rsidRPr="00550871">
              <w:rPr>
                <w:i/>
                <w:iCs/>
              </w:rPr>
              <w:t>A Europe of Rights: the EU and the ECHR</w:t>
            </w:r>
          </w:p>
          <w:p w:rsidR="008C7ED3" w:rsidRPr="00550871" w:rsidRDefault="008C7ED3" w:rsidP="00D86071">
            <w:pPr>
              <w:pStyle w:val="SingleTxtG"/>
              <w:suppressAutoHyphens w:val="0"/>
              <w:spacing w:before="40" w:line="220" w:lineRule="exact"/>
              <w:ind w:left="0" w:right="113"/>
              <w:jc w:val="left"/>
            </w:pPr>
            <w:r w:rsidRPr="00550871">
              <w:t>University of Surrey, School of Law, Guildford, UK, 08–09/06/2012</w:t>
            </w:r>
          </w:p>
        </w:tc>
      </w:tr>
      <w:tr w:rsidR="008C7ED3" w:rsidRPr="00550871" w:rsidTr="00D86071">
        <w:tc>
          <w:tcPr>
            <w:tcW w:w="1627" w:type="dxa"/>
            <w:shd w:val="clear" w:color="auto" w:fill="auto"/>
          </w:tcPr>
          <w:p w:rsidR="008C7ED3" w:rsidRPr="00550871" w:rsidRDefault="008C7ED3" w:rsidP="00D86071">
            <w:pPr>
              <w:pStyle w:val="SingleTxtG"/>
              <w:suppressAutoHyphens w:val="0"/>
              <w:spacing w:before="40" w:line="220" w:lineRule="exact"/>
              <w:ind w:left="0" w:right="113"/>
              <w:jc w:val="left"/>
            </w:pPr>
            <w:r w:rsidRPr="00550871">
              <w:t>2012</w:t>
            </w:r>
          </w:p>
        </w:tc>
        <w:tc>
          <w:tcPr>
            <w:tcW w:w="5743" w:type="dxa"/>
            <w:shd w:val="clear" w:color="auto" w:fill="auto"/>
          </w:tcPr>
          <w:p w:rsidR="008C7ED3" w:rsidRPr="00550871" w:rsidRDefault="008C7ED3" w:rsidP="00D86071">
            <w:pPr>
              <w:pStyle w:val="SingleTxtG"/>
              <w:suppressAutoHyphens w:val="0"/>
              <w:spacing w:before="40" w:line="220" w:lineRule="exact"/>
              <w:ind w:left="0" w:right="113"/>
              <w:jc w:val="left"/>
            </w:pPr>
            <w:r w:rsidRPr="00550871">
              <w:t>Presentation: The Role of Effectiveness in the Exercised Control in Extraterritorial Human Rights Breaches: Due Diligence and Shared Responsibility</w:t>
            </w:r>
          </w:p>
          <w:p w:rsidR="008C7ED3" w:rsidRPr="00550871" w:rsidRDefault="008C7ED3" w:rsidP="00D86071">
            <w:pPr>
              <w:pStyle w:val="SingleTxtG"/>
              <w:suppressAutoHyphens w:val="0"/>
              <w:spacing w:before="40" w:line="220" w:lineRule="exact"/>
              <w:ind w:left="0" w:right="113"/>
              <w:jc w:val="left"/>
              <w:rPr>
                <w:i/>
                <w:iCs/>
              </w:rPr>
            </w:pPr>
            <w:r w:rsidRPr="00550871">
              <w:t xml:space="preserve">Conference: </w:t>
            </w:r>
            <w:r w:rsidRPr="00550871">
              <w:rPr>
                <w:i/>
                <w:iCs/>
              </w:rPr>
              <w:t>State Responsibility: Current and Future Challenges</w:t>
            </w:r>
          </w:p>
          <w:p w:rsidR="008C7ED3" w:rsidRPr="00550871" w:rsidRDefault="008C7ED3" w:rsidP="00D86071">
            <w:pPr>
              <w:pStyle w:val="SingleTxtG"/>
              <w:suppressAutoHyphens w:val="0"/>
              <w:spacing w:before="40" w:line="220" w:lineRule="exact"/>
              <w:ind w:left="0" w:right="113"/>
              <w:jc w:val="left"/>
            </w:pPr>
            <w:r w:rsidRPr="00550871">
              <w:lastRenderedPageBreak/>
              <w:t>International Law Association, Hellenic Branch, Athens, Greece, 09–10/02/2012 [invited speaker]</w:t>
            </w:r>
          </w:p>
        </w:tc>
      </w:tr>
      <w:tr w:rsidR="008C7ED3" w:rsidRPr="00550871" w:rsidTr="00D86071">
        <w:tc>
          <w:tcPr>
            <w:tcW w:w="1627" w:type="dxa"/>
            <w:shd w:val="clear" w:color="auto" w:fill="auto"/>
          </w:tcPr>
          <w:p w:rsidR="008C7ED3" w:rsidRPr="00550871" w:rsidRDefault="008C7ED3" w:rsidP="00D86071">
            <w:pPr>
              <w:pStyle w:val="SingleTxtG"/>
              <w:suppressAutoHyphens w:val="0"/>
              <w:spacing w:before="40" w:line="220" w:lineRule="exact"/>
              <w:ind w:left="0" w:right="113"/>
              <w:jc w:val="left"/>
            </w:pPr>
            <w:r w:rsidRPr="00550871">
              <w:lastRenderedPageBreak/>
              <w:t>2011</w:t>
            </w:r>
          </w:p>
        </w:tc>
        <w:tc>
          <w:tcPr>
            <w:tcW w:w="5743" w:type="dxa"/>
            <w:shd w:val="clear" w:color="auto" w:fill="auto"/>
          </w:tcPr>
          <w:p w:rsidR="008C7ED3" w:rsidRPr="00550871" w:rsidRDefault="008C7ED3" w:rsidP="00D86071">
            <w:pPr>
              <w:pStyle w:val="SingleTxtG"/>
              <w:suppressAutoHyphens w:val="0"/>
              <w:spacing w:before="40" w:line="220" w:lineRule="exact"/>
              <w:ind w:left="0" w:right="113"/>
              <w:jc w:val="left"/>
            </w:pPr>
            <w:r w:rsidRPr="00550871">
              <w:t xml:space="preserve">Presentation: Extraterritorial Judicial Jurisdiction in Human Rights, the Criterion of Effective Control and its Paradoxes. State Fault and Shared Responsibility </w:t>
            </w:r>
          </w:p>
          <w:p w:rsidR="008C7ED3" w:rsidRPr="00550871" w:rsidRDefault="008C7ED3" w:rsidP="00D86071">
            <w:pPr>
              <w:pStyle w:val="SingleTxtG"/>
              <w:suppressAutoHyphens w:val="0"/>
              <w:spacing w:before="40" w:line="220" w:lineRule="exact"/>
              <w:ind w:left="0" w:right="113"/>
              <w:jc w:val="left"/>
              <w:rPr>
                <w:i/>
                <w:iCs/>
              </w:rPr>
            </w:pPr>
            <w:r w:rsidRPr="00550871">
              <w:t xml:space="preserve">Conference: </w:t>
            </w:r>
            <w:r w:rsidRPr="00550871">
              <w:rPr>
                <w:i/>
                <w:iCs/>
              </w:rPr>
              <w:t>Foundations of Shared Responsibility in International Law</w:t>
            </w:r>
          </w:p>
          <w:p w:rsidR="008C7ED3" w:rsidRPr="00550871" w:rsidRDefault="008C7ED3" w:rsidP="00D86071">
            <w:pPr>
              <w:pStyle w:val="SingleTxtG"/>
              <w:suppressAutoHyphens w:val="0"/>
              <w:spacing w:before="40" w:line="220" w:lineRule="exact"/>
              <w:ind w:left="0" w:right="113"/>
              <w:jc w:val="left"/>
            </w:pPr>
            <w:r w:rsidRPr="00550871">
              <w:t>University of Amsterdam, Amsterdam Centre for International Law, Amsterdam, The Netherlands, 17–18/11/2011</w:t>
            </w:r>
          </w:p>
        </w:tc>
      </w:tr>
      <w:tr w:rsidR="008C7ED3" w:rsidRPr="00550871" w:rsidTr="00D86071">
        <w:tc>
          <w:tcPr>
            <w:tcW w:w="1627" w:type="dxa"/>
            <w:shd w:val="clear" w:color="auto" w:fill="auto"/>
          </w:tcPr>
          <w:p w:rsidR="008C7ED3" w:rsidRPr="00550871" w:rsidRDefault="008C7ED3" w:rsidP="00D86071">
            <w:pPr>
              <w:pStyle w:val="SingleTxtG"/>
              <w:suppressAutoHyphens w:val="0"/>
              <w:spacing w:before="40" w:line="220" w:lineRule="exact"/>
              <w:ind w:left="0" w:right="113"/>
              <w:jc w:val="left"/>
            </w:pPr>
            <w:r w:rsidRPr="00550871">
              <w:t>2011</w:t>
            </w:r>
          </w:p>
        </w:tc>
        <w:tc>
          <w:tcPr>
            <w:tcW w:w="5743" w:type="dxa"/>
            <w:shd w:val="clear" w:color="auto" w:fill="auto"/>
          </w:tcPr>
          <w:p w:rsidR="008C7ED3" w:rsidRPr="00550871" w:rsidRDefault="008C7ED3" w:rsidP="00D86071">
            <w:pPr>
              <w:pStyle w:val="SingleTxtG"/>
              <w:suppressAutoHyphens w:val="0"/>
              <w:spacing w:before="40" w:line="220" w:lineRule="exact"/>
              <w:ind w:left="0" w:right="113"/>
              <w:jc w:val="left"/>
            </w:pPr>
            <w:r w:rsidRPr="00550871">
              <w:t>Presentation: Popular and National Sovereignty in the Greek Financial Crisis</w:t>
            </w:r>
          </w:p>
          <w:p w:rsidR="008C7ED3" w:rsidRPr="00550871" w:rsidRDefault="008C7ED3" w:rsidP="00D86071">
            <w:pPr>
              <w:pStyle w:val="SingleTxtG"/>
              <w:suppressAutoHyphens w:val="0"/>
              <w:spacing w:before="40" w:line="220" w:lineRule="exact"/>
              <w:ind w:left="0" w:right="113"/>
              <w:jc w:val="left"/>
              <w:rPr>
                <w:i/>
                <w:iCs/>
              </w:rPr>
            </w:pPr>
            <w:r w:rsidRPr="00550871">
              <w:t xml:space="preserve">Roundtable discussion: </w:t>
            </w:r>
            <w:r w:rsidRPr="00550871">
              <w:rPr>
                <w:i/>
                <w:iCs/>
              </w:rPr>
              <w:t>A Panel Discussion on the Greek Crisis. Social and Political Aspects – Global Implications</w:t>
            </w:r>
          </w:p>
          <w:p w:rsidR="008C7ED3" w:rsidRPr="00550871" w:rsidRDefault="008C7ED3" w:rsidP="00D86071">
            <w:pPr>
              <w:pStyle w:val="SingleTxtG"/>
              <w:suppressAutoHyphens w:val="0"/>
              <w:spacing w:before="40" w:line="220" w:lineRule="exact"/>
              <w:ind w:left="0" w:right="113"/>
              <w:jc w:val="left"/>
            </w:pPr>
            <w:r w:rsidRPr="00550871">
              <w:t>Brown University, Watson Institute for International Studies and the Modern Greek Studies Programme, Providence, USA, 17/10/2011 [invited speaker]</w:t>
            </w:r>
          </w:p>
        </w:tc>
      </w:tr>
      <w:tr w:rsidR="008C7ED3" w:rsidRPr="00550871" w:rsidTr="00D86071">
        <w:tc>
          <w:tcPr>
            <w:tcW w:w="1627" w:type="dxa"/>
            <w:shd w:val="clear" w:color="auto" w:fill="auto"/>
          </w:tcPr>
          <w:p w:rsidR="008C7ED3" w:rsidRPr="00550871" w:rsidRDefault="008C7ED3" w:rsidP="00D86071">
            <w:pPr>
              <w:pStyle w:val="SingleTxtG"/>
              <w:suppressAutoHyphens w:val="0"/>
              <w:spacing w:before="40" w:line="220" w:lineRule="exact"/>
              <w:ind w:left="0" w:right="113"/>
              <w:jc w:val="left"/>
            </w:pPr>
            <w:r w:rsidRPr="00550871">
              <w:t>2011</w:t>
            </w:r>
          </w:p>
        </w:tc>
        <w:tc>
          <w:tcPr>
            <w:tcW w:w="5743" w:type="dxa"/>
            <w:shd w:val="clear" w:color="auto" w:fill="auto"/>
          </w:tcPr>
          <w:p w:rsidR="008C7ED3" w:rsidRPr="00550871" w:rsidRDefault="008C7ED3" w:rsidP="00D86071">
            <w:pPr>
              <w:pStyle w:val="SingleTxtG"/>
              <w:suppressAutoHyphens w:val="0"/>
              <w:spacing w:before="40" w:line="220" w:lineRule="exact"/>
              <w:ind w:left="0" w:right="113"/>
              <w:jc w:val="left"/>
            </w:pPr>
            <w:r w:rsidRPr="00550871">
              <w:t>Presentation: From Popular Sovereignty to Sovereign Debts: A Socio-Legal Perspective</w:t>
            </w:r>
          </w:p>
          <w:p w:rsidR="008C7ED3" w:rsidRPr="00550871" w:rsidRDefault="008C7ED3" w:rsidP="00D86071">
            <w:pPr>
              <w:pStyle w:val="SingleTxtG"/>
              <w:suppressAutoHyphens w:val="0"/>
              <w:spacing w:before="40" w:line="220" w:lineRule="exact"/>
              <w:ind w:left="0" w:right="113"/>
              <w:jc w:val="left"/>
              <w:rPr>
                <w:i/>
                <w:iCs/>
              </w:rPr>
            </w:pPr>
            <w:r w:rsidRPr="00550871">
              <w:t xml:space="preserve">Conference: </w:t>
            </w:r>
            <w:r w:rsidRPr="00550871">
              <w:rPr>
                <w:i/>
                <w:iCs/>
              </w:rPr>
              <w:t>Modern Greek Studies Association Symposium</w:t>
            </w:r>
          </w:p>
          <w:p w:rsidR="008C7ED3" w:rsidRPr="00550871" w:rsidRDefault="008C7ED3" w:rsidP="00D86071">
            <w:pPr>
              <w:pStyle w:val="SingleTxtG"/>
              <w:suppressAutoHyphens w:val="0"/>
              <w:spacing w:before="40" w:line="220" w:lineRule="exact"/>
              <w:ind w:left="0" w:right="113"/>
              <w:jc w:val="left"/>
            </w:pPr>
            <w:r w:rsidRPr="00550871">
              <w:t>Modern Greek Studies Association, New York University, New York City, USA, 13–15/10/2011</w:t>
            </w:r>
          </w:p>
        </w:tc>
      </w:tr>
      <w:tr w:rsidR="008C7ED3" w:rsidRPr="00550871" w:rsidTr="00D86071">
        <w:tc>
          <w:tcPr>
            <w:tcW w:w="1627" w:type="dxa"/>
            <w:tcBorders>
              <w:bottom w:val="nil"/>
            </w:tcBorders>
            <w:shd w:val="clear" w:color="auto" w:fill="auto"/>
          </w:tcPr>
          <w:p w:rsidR="008C7ED3" w:rsidRPr="00550871" w:rsidRDefault="008C7ED3" w:rsidP="00D86071">
            <w:pPr>
              <w:pStyle w:val="SingleTxtG"/>
              <w:suppressAutoHyphens w:val="0"/>
              <w:spacing w:before="40" w:line="220" w:lineRule="exact"/>
              <w:ind w:left="0" w:right="113"/>
              <w:jc w:val="left"/>
            </w:pPr>
            <w:r w:rsidRPr="00550871">
              <w:t>2011</w:t>
            </w:r>
          </w:p>
        </w:tc>
        <w:tc>
          <w:tcPr>
            <w:tcW w:w="5743" w:type="dxa"/>
            <w:tcBorders>
              <w:bottom w:val="nil"/>
            </w:tcBorders>
            <w:shd w:val="clear" w:color="auto" w:fill="auto"/>
          </w:tcPr>
          <w:p w:rsidR="008C7ED3" w:rsidRPr="00550871" w:rsidRDefault="008C7ED3" w:rsidP="00D86071">
            <w:pPr>
              <w:pStyle w:val="SingleTxtG"/>
              <w:suppressAutoHyphens w:val="0"/>
              <w:spacing w:before="40" w:line="220" w:lineRule="exact"/>
              <w:ind w:left="0" w:right="113"/>
              <w:jc w:val="left"/>
            </w:pPr>
            <w:r w:rsidRPr="00550871">
              <w:t>Presentation: If Justice worked</w:t>
            </w:r>
            <w:r>
              <w:t xml:space="preserve"> </w:t>
            </w:r>
            <w:r w:rsidRPr="00550871">
              <w:t>…</w:t>
            </w:r>
          </w:p>
          <w:p w:rsidR="008C7ED3" w:rsidRPr="00550871" w:rsidRDefault="008C7ED3" w:rsidP="00D86071">
            <w:pPr>
              <w:pStyle w:val="SingleTxtG"/>
              <w:suppressAutoHyphens w:val="0"/>
              <w:spacing w:before="40" w:line="220" w:lineRule="exact"/>
              <w:ind w:left="0" w:right="113"/>
              <w:jc w:val="left"/>
              <w:rPr>
                <w:i/>
                <w:iCs/>
              </w:rPr>
            </w:pPr>
            <w:r w:rsidRPr="00550871">
              <w:t xml:space="preserve">Workshop: </w:t>
            </w:r>
            <w:r w:rsidRPr="00550871">
              <w:rPr>
                <w:i/>
                <w:iCs/>
              </w:rPr>
              <w:t>European Institutions in Crisis: Greece in Context</w:t>
            </w:r>
          </w:p>
          <w:p w:rsidR="008C7ED3" w:rsidRPr="00550871" w:rsidRDefault="008C7ED3" w:rsidP="00D86071">
            <w:pPr>
              <w:pStyle w:val="SingleTxtG"/>
              <w:suppressAutoHyphens w:val="0"/>
              <w:spacing w:before="40" w:line="220" w:lineRule="exact"/>
              <w:ind w:left="0" w:right="113"/>
              <w:jc w:val="left"/>
            </w:pPr>
            <w:r w:rsidRPr="00550871">
              <w:t>Greek Public Policy Forum, University of Oxford, Nuffield College, Oxford, UK, 23–24/06/2011 [event organiser]</w:t>
            </w:r>
          </w:p>
        </w:tc>
      </w:tr>
      <w:tr w:rsidR="008C7ED3" w:rsidRPr="00550871" w:rsidTr="00D86071">
        <w:tc>
          <w:tcPr>
            <w:tcW w:w="1627" w:type="dxa"/>
            <w:tcBorders>
              <w:top w:val="nil"/>
              <w:bottom w:val="nil"/>
            </w:tcBorders>
            <w:shd w:val="clear" w:color="auto" w:fill="auto"/>
          </w:tcPr>
          <w:p w:rsidR="008C7ED3" w:rsidRPr="00550871" w:rsidRDefault="008C7ED3" w:rsidP="00D86071">
            <w:pPr>
              <w:pStyle w:val="SingleTxtG"/>
              <w:suppressAutoHyphens w:val="0"/>
              <w:spacing w:before="40" w:line="220" w:lineRule="exact"/>
              <w:ind w:left="0" w:right="113"/>
              <w:jc w:val="left"/>
            </w:pPr>
            <w:r w:rsidRPr="00550871">
              <w:t>2010</w:t>
            </w:r>
          </w:p>
        </w:tc>
        <w:tc>
          <w:tcPr>
            <w:tcW w:w="5743" w:type="dxa"/>
            <w:tcBorders>
              <w:top w:val="nil"/>
              <w:bottom w:val="nil"/>
            </w:tcBorders>
            <w:shd w:val="clear" w:color="auto" w:fill="auto"/>
          </w:tcPr>
          <w:p w:rsidR="008C7ED3" w:rsidRPr="00550871" w:rsidRDefault="008C7ED3" w:rsidP="00D86071">
            <w:pPr>
              <w:pStyle w:val="SingleTxtG"/>
              <w:suppressAutoHyphens w:val="0"/>
              <w:spacing w:before="40" w:line="220" w:lineRule="exact"/>
              <w:ind w:left="0" w:right="113"/>
              <w:jc w:val="left"/>
            </w:pPr>
            <w:r w:rsidRPr="00550871">
              <w:t xml:space="preserve">Presentation: In the Aftermath of the </w:t>
            </w:r>
            <w:r w:rsidRPr="00550871">
              <w:rPr>
                <w:i/>
                <w:iCs/>
              </w:rPr>
              <w:t>Bosphorus-Kadi</w:t>
            </w:r>
            <w:r w:rsidRPr="00550871">
              <w:t xml:space="preserve"> Saga: The “Hegemonic Struggle” of the “Quasi-Constitutional” European Judge, Institutional Fragmentation within the European Subsystem and its Side-Effects for the Broader International System</w:t>
            </w:r>
          </w:p>
          <w:p w:rsidR="008C7ED3" w:rsidRPr="00550871" w:rsidRDefault="008C7ED3" w:rsidP="00D86071">
            <w:pPr>
              <w:pStyle w:val="SingleTxtG"/>
              <w:suppressAutoHyphens w:val="0"/>
              <w:spacing w:before="40" w:line="220" w:lineRule="exact"/>
              <w:ind w:left="0" w:right="113"/>
              <w:jc w:val="left"/>
              <w:rPr>
                <w:i/>
                <w:iCs/>
              </w:rPr>
            </w:pPr>
            <w:r w:rsidRPr="00550871">
              <w:t xml:space="preserve">Conference: </w:t>
            </w:r>
            <w:r w:rsidRPr="00550871">
              <w:rPr>
                <w:i/>
                <w:iCs/>
              </w:rPr>
              <w:t>Concerning States of Mind, Disturbing the Minds of States</w:t>
            </w:r>
          </w:p>
          <w:p w:rsidR="008C7ED3" w:rsidRPr="00550871" w:rsidRDefault="008C7ED3" w:rsidP="00D86071">
            <w:pPr>
              <w:pStyle w:val="SingleTxtG"/>
              <w:suppressAutoHyphens w:val="0"/>
              <w:spacing w:before="40" w:line="220" w:lineRule="exact"/>
              <w:ind w:left="0" w:right="113"/>
              <w:jc w:val="left"/>
            </w:pPr>
            <w:r w:rsidRPr="00550871">
              <w:t>University of Toronto, Faculty of Law, Toronto Group for the Study of International Transnational and Comparative Law, Toronto, Canada, 29–30/01/2010</w:t>
            </w:r>
          </w:p>
        </w:tc>
      </w:tr>
      <w:tr w:rsidR="008C7ED3" w:rsidRPr="00550871" w:rsidTr="00D86071">
        <w:tc>
          <w:tcPr>
            <w:tcW w:w="1627" w:type="dxa"/>
            <w:tcBorders>
              <w:top w:val="nil"/>
            </w:tcBorders>
            <w:shd w:val="clear" w:color="auto" w:fill="auto"/>
          </w:tcPr>
          <w:p w:rsidR="008C7ED3" w:rsidRPr="00550871" w:rsidRDefault="008C7ED3" w:rsidP="00D86071">
            <w:pPr>
              <w:pStyle w:val="SingleTxtG"/>
              <w:suppressAutoHyphens w:val="0"/>
              <w:spacing w:before="40" w:line="220" w:lineRule="exact"/>
              <w:ind w:left="0" w:right="113"/>
              <w:jc w:val="left"/>
            </w:pPr>
            <w:r w:rsidRPr="00550871">
              <w:t>2010</w:t>
            </w:r>
          </w:p>
        </w:tc>
        <w:tc>
          <w:tcPr>
            <w:tcW w:w="5743" w:type="dxa"/>
            <w:tcBorders>
              <w:top w:val="nil"/>
            </w:tcBorders>
            <w:shd w:val="clear" w:color="auto" w:fill="auto"/>
          </w:tcPr>
          <w:p w:rsidR="008C7ED3" w:rsidRPr="00550871" w:rsidRDefault="008C7ED3" w:rsidP="00D86071">
            <w:pPr>
              <w:pStyle w:val="SingleTxtG"/>
              <w:suppressAutoHyphens w:val="0"/>
              <w:spacing w:before="40" w:line="220" w:lineRule="exact"/>
              <w:ind w:left="0" w:right="113"/>
              <w:jc w:val="left"/>
            </w:pPr>
            <w:r w:rsidRPr="00550871">
              <w:t>Presentation: National Judges and Supranational Laws on the Effective Application of the EC Law and the ECHR: The Case of Greece</w:t>
            </w:r>
          </w:p>
          <w:p w:rsidR="008C7ED3" w:rsidRPr="00550871" w:rsidRDefault="008C7ED3" w:rsidP="00D86071">
            <w:pPr>
              <w:pStyle w:val="SingleTxtG"/>
              <w:suppressAutoHyphens w:val="0"/>
              <w:spacing w:before="40" w:line="220" w:lineRule="exact"/>
              <w:ind w:left="0" w:right="113"/>
              <w:jc w:val="left"/>
              <w:rPr>
                <w:i/>
                <w:iCs/>
              </w:rPr>
            </w:pPr>
            <w:r w:rsidRPr="00550871">
              <w:t xml:space="preserve">Workshop: </w:t>
            </w:r>
            <w:r w:rsidRPr="00550871">
              <w:rPr>
                <w:i/>
                <w:iCs/>
              </w:rPr>
              <w:t>National Judges and Supranational Laws on the Effective Application of the EC Law and the ECHR</w:t>
            </w:r>
          </w:p>
          <w:p w:rsidR="008C7ED3" w:rsidRPr="00550871" w:rsidRDefault="008C7ED3" w:rsidP="00D86071">
            <w:pPr>
              <w:pStyle w:val="SingleTxtG"/>
              <w:suppressAutoHyphens w:val="0"/>
              <w:spacing w:before="40" w:line="220" w:lineRule="exact"/>
              <w:ind w:left="0" w:right="113"/>
              <w:jc w:val="left"/>
            </w:pPr>
            <w:r w:rsidRPr="00550871">
              <w:t>Scuola Superiore Sant’Anna, Pisa, Italy, 15–16/01/2010 [invited speaker]</w:t>
            </w:r>
          </w:p>
        </w:tc>
      </w:tr>
      <w:tr w:rsidR="008C7ED3" w:rsidRPr="00550871" w:rsidTr="00D86071">
        <w:tc>
          <w:tcPr>
            <w:tcW w:w="1627" w:type="dxa"/>
            <w:shd w:val="clear" w:color="auto" w:fill="auto"/>
          </w:tcPr>
          <w:p w:rsidR="008C7ED3" w:rsidRPr="00550871" w:rsidRDefault="008C7ED3" w:rsidP="00D86071">
            <w:pPr>
              <w:pStyle w:val="SingleTxtG"/>
              <w:suppressAutoHyphens w:val="0"/>
              <w:spacing w:before="40" w:line="220" w:lineRule="exact"/>
              <w:ind w:left="0" w:right="113"/>
              <w:jc w:val="left"/>
            </w:pPr>
            <w:r w:rsidRPr="00550871">
              <w:t>2009</w:t>
            </w:r>
          </w:p>
        </w:tc>
        <w:tc>
          <w:tcPr>
            <w:tcW w:w="5743" w:type="dxa"/>
            <w:shd w:val="clear" w:color="auto" w:fill="auto"/>
          </w:tcPr>
          <w:p w:rsidR="008C7ED3" w:rsidRPr="00550871" w:rsidRDefault="008C7ED3" w:rsidP="00D86071">
            <w:pPr>
              <w:pStyle w:val="SingleTxtG"/>
              <w:suppressAutoHyphens w:val="0"/>
              <w:spacing w:before="40" w:line="220" w:lineRule="exact"/>
              <w:ind w:left="0" w:right="113"/>
              <w:jc w:val="left"/>
            </w:pPr>
            <w:r w:rsidRPr="00550871">
              <w:t>Presentation: The “Hegemonic Struggle” of the “Quasi-Constitutional” European Judge: Institutional Fragmentation within the European Subsystem</w:t>
            </w:r>
          </w:p>
          <w:p w:rsidR="008C7ED3" w:rsidRPr="00550871" w:rsidRDefault="008C7ED3" w:rsidP="00D86071">
            <w:pPr>
              <w:pStyle w:val="SingleTxtG"/>
              <w:suppressAutoHyphens w:val="0"/>
              <w:spacing w:before="40" w:line="220" w:lineRule="exact"/>
              <w:ind w:left="0" w:right="113"/>
              <w:jc w:val="left"/>
              <w:rPr>
                <w:i/>
                <w:iCs/>
              </w:rPr>
            </w:pPr>
            <w:r w:rsidRPr="00550871">
              <w:t xml:space="preserve">Conference: </w:t>
            </w:r>
            <w:r w:rsidRPr="00550871">
              <w:rPr>
                <w:i/>
                <w:iCs/>
              </w:rPr>
              <w:t>A Unique European Institution: The European Court of Human Rights after 50 Years</w:t>
            </w:r>
          </w:p>
          <w:p w:rsidR="008C7ED3" w:rsidRPr="00550871" w:rsidRDefault="008C7ED3" w:rsidP="00D86071">
            <w:pPr>
              <w:pStyle w:val="SingleTxtG"/>
              <w:suppressAutoHyphens w:val="0"/>
              <w:spacing w:before="40" w:line="220" w:lineRule="exact"/>
              <w:ind w:left="0" w:right="113"/>
              <w:jc w:val="left"/>
            </w:pPr>
            <w:r w:rsidRPr="00550871">
              <w:t>University of Copenhagen, Copenhagen, Denmark, 21–22/03/2009</w:t>
            </w:r>
          </w:p>
        </w:tc>
      </w:tr>
      <w:tr w:rsidR="008C7ED3" w:rsidRPr="00550871" w:rsidTr="00D86071">
        <w:tc>
          <w:tcPr>
            <w:tcW w:w="1627" w:type="dxa"/>
            <w:shd w:val="clear" w:color="auto" w:fill="auto"/>
          </w:tcPr>
          <w:p w:rsidR="008C7ED3" w:rsidRPr="00550871" w:rsidRDefault="008C7ED3" w:rsidP="00D86071">
            <w:pPr>
              <w:pStyle w:val="SingleTxtG"/>
              <w:suppressAutoHyphens w:val="0"/>
              <w:spacing w:before="40" w:line="220" w:lineRule="exact"/>
              <w:ind w:left="0" w:right="113"/>
              <w:jc w:val="left"/>
            </w:pPr>
            <w:r w:rsidRPr="00550871">
              <w:t>2009</w:t>
            </w:r>
          </w:p>
        </w:tc>
        <w:tc>
          <w:tcPr>
            <w:tcW w:w="5743" w:type="dxa"/>
            <w:shd w:val="clear" w:color="auto" w:fill="auto"/>
          </w:tcPr>
          <w:p w:rsidR="008C7ED3" w:rsidRPr="00550871" w:rsidRDefault="008C7ED3" w:rsidP="00D86071">
            <w:pPr>
              <w:pStyle w:val="SingleTxtG"/>
              <w:suppressAutoHyphens w:val="0"/>
              <w:spacing w:before="40" w:line="220" w:lineRule="exact"/>
              <w:ind w:left="0" w:right="113"/>
              <w:jc w:val="left"/>
            </w:pPr>
            <w:r w:rsidRPr="00550871">
              <w:t xml:space="preserve">An Evaluation of the Use of the Systemic Integration Technique of Interpretation within the Case Law of the European Court of Human Rights: Reinforcement of the “Special” Nature of the European Convention on Human Rights or Prevention of the Fragmentation of </w:t>
            </w:r>
            <w:r w:rsidRPr="00550871">
              <w:lastRenderedPageBreak/>
              <w:t>International Law? [in Greek]</w:t>
            </w:r>
          </w:p>
          <w:p w:rsidR="008C7ED3" w:rsidRPr="00550871" w:rsidRDefault="008C7ED3" w:rsidP="00D86071">
            <w:pPr>
              <w:pStyle w:val="SingleTxtG"/>
              <w:suppressAutoHyphens w:val="0"/>
              <w:spacing w:before="40" w:line="220" w:lineRule="exact"/>
              <w:ind w:left="0" w:right="113"/>
              <w:jc w:val="left"/>
              <w:rPr>
                <w:i/>
                <w:iCs/>
              </w:rPr>
            </w:pPr>
            <w:r w:rsidRPr="00550871">
              <w:t xml:space="preserve">Conference: </w:t>
            </w:r>
            <w:r w:rsidRPr="00550871">
              <w:rPr>
                <w:i/>
                <w:iCs/>
              </w:rPr>
              <w:t>International Justice in the 21st Century: Challenges and Perspectives</w:t>
            </w:r>
          </w:p>
          <w:p w:rsidR="008C7ED3" w:rsidRPr="00550871" w:rsidRDefault="008C7ED3" w:rsidP="00D86071">
            <w:pPr>
              <w:pStyle w:val="SingleTxtG"/>
              <w:suppressAutoHyphens w:val="0"/>
              <w:spacing w:before="40" w:line="220" w:lineRule="exact"/>
              <w:ind w:left="0" w:right="113"/>
              <w:jc w:val="left"/>
            </w:pPr>
            <w:r w:rsidRPr="00550871">
              <w:t>Hellenic Society of International Law and International Relations, University of Macedonia, Thessaloniki, Greece, 06–07/03/2009</w:t>
            </w:r>
          </w:p>
        </w:tc>
      </w:tr>
      <w:tr w:rsidR="008C7ED3" w:rsidRPr="00550871" w:rsidTr="00D86071">
        <w:tc>
          <w:tcPr>
            <w:tcW w:w="1627" w:type="dxa"/>
            <w:shd w:val="clear" w:color="auto" w:fill="auto"/>
          </w:tcPr>
          <w:p w:rsidR="008C7ED3" w:rsidRPr="00550871" w:rsidRDefault="008C7ED3" w:rsidP="00D86071">
            <w:pPr>
              <w:pStyle w:val="SingleTxtG"/>
              <w:suppressAutoHyphens w:val="0"/>
              <w:spacing w:before="40" w:line="220" w:lineRule="exact"/>
              <w:ind w:left="0" w:right="113"/>
              <w:jc w:val="left"/>
            </w:pPr>
            <w:r w:rsidRPr="00550871">
              <w:lastRenderedPageBreak/>
              <w:t>2008</w:t>
            </w:r>
          </w:p>
        </w:tc>
        <w:tc>
          <w:tcPr>
            <w:tcW w:w="5743" w:type="dxa"/>
            <w:shd w:val="clear" w:color="auto" w:fill="auto"/>
          </w:tcPr>
          <w:p w:rsidR="008C7ED3" w:rsidRPr="00550871" w:rsidRDefault="008C7ED3" w:rsidP="00D86071">
            <w:pPr>
              <w:pStyle w:val="SingleTxtG"/>
              <w:suppressAutoHyphens w:val="0"/>
              <w:spacing w:before="40" w:line="220" w:lineRule="exact"/>
              <w:ind w:left="0" w:right="113"/>
              <w:jc w:val="left"/>
            </w:pPr>
            <w:r w:rsidRPr="00550871">
              <w:t>Presentation: Legal Pluralism’s Judicial Comity v. De Facto Systemic Hierarchy within the European Subsystem. The “Hegemonic Struggle” of the “Quasi-Constitutional” European Judge</w:t>
            </w:r>
          </w:p>
          <w:p w:rsidR="008C7ED3" w:rsidRPr="00550871" w:rsidRDefault="008C7ED3" w:rsidP="00D86071">
            <w:pPr>
              <w:pStyle w:val="SingleTxtG"/>
              <w:suppressAutoHyphens w:val="0"/>
              <w:spacing w:before="40" w:line="220" w:lineRule="exact"/>
              <w:ind w:left="0" w:right="113"/>
              <w:jc w:val="left"/>
              <w:rPr>
                <w:i/>
                <w:iCs/>
              </w:rPr>
            </w:pPr>
            <w:r w:rsidRPr="00550871">
              <w:t xml:space="preserve">Conference: </w:t>
            </w:r>
            <w:r w:rsidRPr="00550871">
              <w:rPr>
                <w:i/>
                <w:iCs/>
              </w:rPr>
              <w:t>The Next 50 Years: The Future of European Law and Policy</w:t>
            </w:r>
          </w:p>
          <w:p w:rsidR="008C7ED3" w:rsidRPr="00550871" w:rsidRDefault="008C7ED3" w:rsidP="00D86071">
            <w:pPr>
              <w:pStyle w:val="SingleTxtG"/>
              <w:suppressAutoHyphens w:val="0"/>
              <w:spacing w:before="40" w:line="220" w:lineRule="exact"/>
              <w:ind w:left="0" w:right="113"/>
              <w:jc w:val="left"/>
            </w:pPr>
            <w:r w:rsidRPr="00550871">
              <w:t>University of Birmingham Law School, Birmingham, UK, 02–04/07/2008</w:t>
            </w:r>
          </w:p>
        </w:tc>
      </w:tr>
      <w:tr w:rsidR="008C7ED3" w:rsidRPr="00550871" w:rsidTr="00D86071">
        <w:tc>
          <w:tcPr>
            <w:tcW w:w="1627" w:type="dxa"/>
            <w:shd w:val="clear" w:color="auto" w:fill="auto"/>
          </w:tcPr>
          <w:p w:rsidR="008C7ED3" w:rsidRPr="00550871" w:rsidRDefault="008C7ED3" w:rsidP="00D86071">
            <w:pPr>
              <w:pStyle w:val="SingleTxtG"/>
              <w:suppressAutoHyphens w:val="0"/>
              <w:spacing w:before="40" w:line="220" w:lineRule="exact"/>
              <w:ind w:left="0" w:right="113"/>
              <w:jc w:val="left"/>
            </w:pPr>
            <w:r w:rsidRPr="00550871">
              <w:t>2007</w:t>
            </w:r>
          </w:p>
        </w:tc>
        <w:tc>
          <w:tcPr>
            <w:tcW w:w="5743" w:type="dxa"/>
            <w:shd w:val="clear" w:color="auto" w:fill="auto"/>
          </w:tcPr>
          <w:p w:rsidR="008C7ED3" w:rsidRPr="00550871" w:rsidRDefault="008C7ED3" w:rsidP="00D86071">
            <w:pPr>
              <w:pStyle w:val="SingleTxtG"/>
              <w:suppressAutoHyphens w:val="0"/>
              <w:spacing w:before="40" w:line="220" w:lineRule="exact"/>
              <w:ind w:left="0" w:right="113"/>
              <w:jc w:val="left"/>
            </w:pPr>
            <w:r w:rsidRPr="00550871">
              <w:t>Presentation: Beyond Legal Accountability of Rule-Making NGOs at the International Level</w:t>
            </w:r>
          </w:p>
          <w:p w:rsidR="008C7ED3" w:rsidRPr="00550871" w:rsidRDefault="008C7ED3" w:rsidP="00D86071">
            <w:pPr>
              <w:pStyle w:val="SingleTxtG"/>
              <w:suppressAutoHyphens w:val="0"/>
              <w:spacing w:before="40" w:line="220" w:lineRule="exact"/>
              <w:ind w:left="0" w:right="113"/>
              <w:jc w:val="left"/>
              <w:rPr>
                <w:i/>
                <w:iCs/>
              </w:rPr>
            </w:pPr>
            <w:r w:rsidRPr="00550871">
              <w:t xml:space="preserve">Workshop: </w:t>
            </w:r>
            <w:r w:rsidRPr="00550871">
              <w:rPr>
                <w:i/>
                <w:iCs/>
              </w:rPr>
              <w:t>Accountability of Private Organisations</w:t>
            </w:r>
          </w:p>
          <w:p w:rsidR="008C7ED3" w:rsidRPr="00550871" w:rsidRDefault="008C7ED3" w:rsidP="00D86071">
            <w:pPr>
              <w:pStyle w:val="SingleTxtG"/>
              <w:suppressAutoHyphens w:val="0"/>
              <w:spacing w:before="40" w:line="220" w:lineRule="exact"/>
              <w:ind w:left="0" w:right="113"/>
              <w:jc w:val="left"/>
            </w:pPr>
            <w:r w:rsidRPr="00550871">
              <w:t>European University Institute, Florence, Italy, 30/11–01/12/2007 [invited speaker]</w:t>
            </w:r>
          </w:p>
        </w:tc>
      </w:tr>
      <w:tr w:rsidR="008C7ED3" w:rsidRPr="00550871" w:rsidTr="00D86071">
        <w:tc>
          <w:tcPr>
            <w:tcW w:w="1627" w:type="dxa"/>
            <w:tcBorders>
              <w:bottom w:val="nil"/>
            </w:tcBorders>
            <w:shd w:val="clear" w:color="auto" w:fill="auto"/>
          </w:tcPr>
          <w:p w:rsidR="008C7ED3" w:rsidRPr="00550871" w:rsidRDefault="008C7ED3" w:rsidP="00D86071">
            <w:pPr>
              <w:pStyle w:val="SingleTxtG"/>
              <w:suppressAutoHyphens w:val="0"/>
              <w:spacing w:before="40" w:line="220" w:lineRule="exact"/>
              <w:ind w:left="0" w:right="113"/>
              <w:jc w:val="left"/>
            </w:pPr>
            <w:r w:rsidRPr="00550871">
              <w:t>2007</w:t>
            </w:r>
          </w:p>
        </w:tc>
        <w:tc>
          <w:tcPr>
            <w:tcW w:w="5743" w:type="dxa"/>
            <w:tcBorders>
              <w:bottom w:val="nil"/>
            </w:tcBorders>
            <w:shd w:val="clear" w:color="auto" w:fill="auto"/>
          </w:tcPr>
          <w:p w:rsidR="008C7ED3" w:rsidRPr="00550871" w:rsidRDefault="008C7ED3" w:rsidP="00D86071">
            <w:pPr>
              <w:pStyle w:val="SingleTxtG"/>
              <w:suppressAutoHyphens w:val="0"/>
              <w:spacing w:before="40" w:line="220" w:lineRule="exact"/>
              <w:ind w:left="0" w:right="113"/>
              <w:jc w:val="left"/>
            </w:pPr>
            <w:r w:rsidRPr="00550871">
              <w:t>Presentation: An Alternative Reading of the European Court of Human Rights’ Case-Law against Greece: Focusing on the Applicant’s Identity</w:t>
            </w:r>
          </w:p>
          <w:p w:rsidR="008C7ED3" w:rsidRPr="004A2174" w:rsidRDefault="008C7ED3" w:rsidP="008C7ED3">
            <w:pPr>
              <w:pStyle w:val="Bullet1G"/>
              <w:numPr>
                <w:ilvl w:val="0"/>
                <w:numId w:val="23"/>
              </w:numPr>
              <w:tabs>
                <w:tab w:val="clear" w:pos="1701"/>
                <w:tab w:val="num" w:pos="215"/>
              </w:tabs>
              <w:ind w:left="215" w:hanging="215"/>
              <w:rPr>
                <w:i/>
                <w:iCs/>
              </w:rPr>
            </w:pPr>
            <w:r w:rsidRPr="00550871">
              <w:t xml:space="preserve">Symposium: </w:t>
            </w:r>
            <w:r w:rsidRPr="004A2174">
              <w:rPr>
                <w:i/>
                <w:iCs/>
              </w:rPr>
              <w:t>Modern Greek Studies Association Symposium</w:t>
            </w:r>
          </w:p>
          <w:p w:rsidR="008C7ED3" w:rsidRPr="00550871" w:rsidRDefault="008C7ED3" w:rsidP="00D86071">
            <w:pPr>
              <w:pStyle w:val="SingleTxtG"/>
              <w:suppressAutoHyphens w:val="0"/>
              <w:spacing w:before="40" w:line="220" w:lineRule="exact"/>
              <w:ind w:left="0" w:right="113"/>
              <w:jc w:val="left"/>
            </w:pPr>
            <w:r w:rsidRPr="00550871">
              <w:t>Modern Greek Studies Association, Yale University, New Haven, USA, 18–21/10/2007</w:t>
            </w:r>
          </w:p>
        </w:tc>
      </w:tr>
      <w:tr w:rsidR="008C7ED3" w:rsidRPr="00550871" w:rsidTr="00D86071">
        <w:tc>
          <w:tcPr>
            <w:tcW w:w="1627" w:type="dxa"/>
            <w:tcBorders>
              <w:top w:val="nil"/>
              <w:bottom w:val="nil"/>
            </w:tcBorders>
            <w:shd w:val="clear" w:color="auto" w:fill="auto"/>
          </w:tcPr>
          <w:p w:rsidR="008C7ED3" w:rsidRPr="00550871" w:rsidRDefault="008C7ED3" w:rsidP="00D86071">
            <w:pPr>
              <w:pStyle w:val="SingleTxtG"/>
              <w:suppressAutoHyphens w:val="0"/>
              <w:spacing w:before="40" w:line="220" w:lineRule="exact"/>
              <w:ind w:left="0" w:right="113"/>
              <w:jc w:val="left"/>
            </w:pPr>
            <w:r w:rsidRPr="00550871">
              <w:t>2007</w:t>
            </w:r>
          </w:p>
        </w:tc>
        <w:tc>
          <w:tcPr>
            <w:tcW w:w="5743" w:type="dxa"/>
            <w:tcBorders>
              <w:top w:val="nil"/>
              <w:bottom w:val="nil"/>
            </w:tcBorders>
            <w:shd w:val="clear" w:color="auto" w:fill="auto"/>
          </w:tcPr>
          <w:p w:rsidR="008C7ED3" w:rsidRPr="00550871" w:rsidRDefault="008C7ED3" w:rsidP="00D86071">
            <w:pPr>
              <w:pStyle w:val="SingleTxtG"/>
              <w:suppressAutoHyphens w:val="0"/>
              <w:spacing w:before="40" w:line="220" w:lineRule="exact"/>
              <w:ind w:left="0" w:right="113"/>
              <w:jc w:val="left"/>
            </w:pPr>
            <w:r w:rsidRPr="00550871">
              <w:t>Presentation: The Use of Article 31(3)(c) of the Vienna Convention on the Law of Treaties in the Case Law of the European Court of Human Rights: An Effective Anti-Fragmentation Tool or a Selective Loophole Facilitating Judicial Activism?</w:t>
            </w:r>
          </w:p>
          <w:p w:rsidR="008C7ED3" w:rsidRPr="00B84924" w:rsidRDefault="008C7ED3" w:rsidP="008C7ED3">
            <w:pPr>
              <w:pStyle w:val="Bullet1G"/>
              <w:numPr>
                <w:ilvl w:val="0"/>
                <w:numId w:val="23"/>
              </w:numPr>
              <w:tabs>
                <w:tab w:val="clear" w:pos="1701"/>
                <w:tab w:val="num" w:pos="215"/>
              </w:tabs>
              <w:ind w:left="215" w:hanging="215"/>
              <w:rPr>
                <w:i/>
                <w:iCs/>
              </w:rPr>
            </w:pPr>
            <w:r w:rsidRPr="00550871">
              <w:t xml:space="preserve">Conference: </w:t>
            </w:r>
            <w:r w:rsidRPr="00B84924">
              <w:rPr>
                <w:i/>
                <w:iCs/>
              </w:rPr>
              <w:t>The New International Law</w:t>
            </w:r>
          </w:p>
          <w:p w:rsidR="008C7ED3" w:rsidRPr="00550871" w:rsidRDefault="008C7ED3" w:rsidP="00D86071">
            <w:pPr>
              <w:pStyle w:val="SingleTxtG"/>
              <w:suppressAutoHyphens w:val="0"/>
              <w:spacing w:before="40" w:line="220" w:lineRule="exact"/>
              <w:ind w:left="0" w:right="113"/>
              <w:jc w:val="left"/>
            </w:pPr>
            <w:r w:rsidRPr="00550871">
              <w:t>University of Oslo, Oslo, Norway, 15–18/03/2007</w:t>
            </w:r>
          </w:p>
        </w:tc>
      </w:tr>
      <w:tr w:rsidR="008C7ED3" w:rsidRPr="00550871" w:rsidTr="00D86071">
        <w:tc>
          <w:tcPr>
            <w:tcW w:w="1627" w:type="dxa"/>
            <w:tcBorders>
              <w:top w:val="nil"/>
            </w:tcBorders>
            <w:shd w:val="clear" w:color="auto" w:fill="auto"/>
          </w:tcPr>
          <w:p w:rsidR="008C7ED3" w:rsidRPr="00550871" w:rsidRDefault="008C7ED3" w:rsidP="00D86071">
            <w:pPr>
              <w:pStyle w:val="SingleTxtG"/>
              <w:suppressAutoHyphens w:val="0"/>
              <w:spacing w:before="40" w:line="220" w:lineRule="exact"/>
              <w:ind w:left="0" w:right="113"/>
              <w:jc w:val="left"/>
            </w:pPr>
            <w:r w:rsidRPr="00550871">
              <w:t>2006</w:t>
            </w:r>
          </w:p>
        </w:tc>
        <w:tc>
          <w:tcPr>
            <w:tcW w:w="5743" w:type="dxa"/>
            <w:tcBorders>
              <w:top w:val="nil"/>
            </w:tcBorders>
            <w:shd w:val="clear" w:color="auto" w:fill="auto"/>
          </w:tcPr>
          <w:p w:rsidR="008C7ED3" w:rsidRPr="00A419B6" w:rsidRDefault="008C7ED3" w:rsidP="00D86071">
            <w:pPr>
              <w:pStyle w:val="SingleTxtG"/>
              <w:keepNext/>
              <w:suppressAutoHyphens w:val="0"/>
              <w:spacing w:before="40" w:line="220" w:lineRule="exact"/>
              <w:ind w:left="0" w:right="113"/>
              <w:jc w:val="left"/>
              <w:rPr>
                <w:lang w:val="fr-CH"/>
              </w:rPr>
            </w:pPr>
            <w:r w:rsidRPr="00A419B6">
              <w:rPr>
                <w:lang w:val="fr-CH"/>
              </w:rPr>
              <w:t>Presentation: Les circonstances factuelles en droit des investissements internationaux: incompatibles avec les exigences de la sécurité juridique?</w:t>
            </w:r>
          </w:p>
          <w:p w:rsidR="008C7ED3" w:rsidRPr="00A419B6" w:rsidRDefault="008C7ED3" w:rsidP="00D86071">
            <w:pPr>
              <w:pStyle w:val="SingleTxtG"/>
              <w:suppressAutoHyphens w:val="0"/>
              <w:spacing w:before="40" w:line="220" w:lineRule="exact"/>
              <w:ind w:left="0" w:right="113"/>
              <w:jc w:val="left"/>
              <w:rPr>
                <w:i/>
                <w:iCs/>
                <w:lang w:val="fr-CH"/>
              </w:rPr>
            </w:pPr>
            <w:r w:rsidRPr="00A419B6">
              <w:rPr>
                <w:lang w:val="fr-CH"/>
              </w:rPr>
              <w:t xml:space="preserve">Workshop: </w:t>
            </w:r>
            <w:r w:rsidRPr="00A419B6">
              <w:rPr>
                <w:i/>
                <w:iCs/>
                <w:lang w:val="fr-CH"/>
              </w:rPr>
              <w:t>Flexibilité du droit international des investissements: Critères et standards à la disposition de l’arbitre pour l’interprétation et l’application des normes</w:t>
            </w:r>
          </w:p>
          <w:p w:rsidR="008C7ED3" w:rsidRPr="00550871" w:rsidRDefault="008C7ED3" w:rsidP="00D86071">
            <w:pPr>
              <w:pStyle w:val="SingleTxtG"/>
              <w:suppressAutoHyphens w:val="0"/>
              <w:spacing w:before="40" w:line="220" w:lineRule="exact"/>
              <w:ind w:left="0" w:right="113"/>
              <w:jc w:val="left"/>
            </w:pPr>
            <w:r w:rsidRPr="00550871">
              <w:t>European University Institute, Florence, Italy, 25/03/2006</w:t>
            </w:r>
          </w:p>
        </w:tc>
      </w:tr>
      <w:tr w:rsidR="008C7ED3" w:rsidRPr="00550871" w:rsidTr="00D86071">
        <w:tc>
          <w:tcPr>
            <w:tcW w:w="1627" w:type="dxa"/>
            <w:shd w:val="clear" w:color="auto" w:fill="auto"/>
          </w:tcPr>
          <w:p w:rsidR="008C7ED3" w:rsidRPr="00550871" w:rsidRDefault="008C7ED3" w:rsidP="00D86071">
            <w:pPr>
              <w:pStyle w:val="SingleTxtG"/>
              <w:suppressAutoHyphens w:val="0"/>
              <w:spacing w:before="40" w:line="220" w:lineRule="exact"/>
              <w:ind w:left="0" w:right="113"/>
              <w:jc w:val="left"/>
            </w:pPr>
            <w:r w:rsidRPr="00550871">
              <w:t>2002</w:t>
            </w:r>
          </w:p>
        </w:tc>
        <w:tc>
          <w:tcPr>
            <w:tcW w:w="5743" w:type="dxa"/>
            <w:shd w:val="clear" w:color="auto" w:fill="auto"/>
          </w:tcPr>
          <w:p w:rsidR="008C7ED3" w:rsidRPr="00550871" w:rsidRDefault="008C7ED3" w:rsidP="00D86071">
            <w:pPr>
              <w:pStyle w:val="SingleTxtG"/>
              <w:suppressAutoHyphens w:val="0"/>
              <w:spacing w:before="40" w:line="220" w:lineRule="exact"/>
              <w:ind w:left="0" w:right="113"/>
              <w:jc w:val="left"/>
            </w:pPr>
            <w:r w:rsidRPr="00550871">
              <w:t>Presentation: The Case Law of the European Court of Human Rights in Cases against Greece</w:t>
            </w:r>
          </w:p>
          <w:p w:rsidR="008C7ED3" w:rsidRPr="00550871" w:rsidRDefault="008C7ED3" w:rsidP="00D86071">
            <w:pPr>
              <w:pStyle w:val="SingleTxtG"/>
              <w:suppressAutoHyphens w:val="0"/>
              <w:spacing w:before="40" w:line="220" w:lineRule="exact"/>
              <w:ind w:left="0" w:right="113"/>
              <w:jc w:val="left"/>
              <w:rPr>
                <w:i/>
                <w:iCs/>
              </w:rPr>
            </w:pPr>
            <w:r w:rsidRPr="00550871">
              <w:t xml:space="preserve">Conference: </w:t>
            </w:r>
            <w:r w:rsidRPr="00550871">
              <w:rPr>
                <w:i/>
                <w:iCs/>
              </w:rPr>
              <w:t>De-Balkanization in the Balkans: Rethinking the Perceptions</w:t>
            </w:r>
          </w:p>
          <w:p w:rsidR="008C7ED3" w:rsidRPr="00550871" w:rsidRDefault="008C7ED3" w:rsidP="00D86071">
            <w:pPr>
              <w:pStyle w:val="SingleTxtG"/>
              <w:suppressAutoHyphens w:val="0"/>
              <w:spacing w:before="40" w:line="220" w:lineRule="exact"/>
              <w:ind w:left="0" w:right="113"/>
              <w:jc w:val="left"/>
            </w:pPr>
            <w:r w:rsidRPr="00550871">
              <w:t>University of Marmara, Istanbul, Turkey, 30/04/2002 [invited speaker]</w:t>
            </w:r>
          </w:p>
        </w:tc>
      </w:tr>
    </w:tbl>
    <w:p w:rsidR="008C7ED3" w:rsidRPr="00550871" w:rsidRDefault="008C7ED3" w:rsidP="008C7ED3">
      <w:pPr>
        <w:pStyle w:val="HChG"/>
      </w:pPr>
      <w:r w:rsidRPr="00550871">
        <w:lastRenderedPageBreak/>
        <w:tab/>
        <w:t>IX.</w:t>
      </w:r>
      <w:r w:rsidRPr="00550871">
        <w:tab/>
        <w:t>Publications</w:t>
      </w:r>
    </w:p>
    <w:p w:rsidR="008C7ED3" w:rsidRPr="00550871" w:rsidRDefault="008C7ED3" w:rsidP="008C7ED3">
      <w:pPr>
        <w:pStyle w:val="H1G"/>
      </w:pPr>
      <w:r w:rsidRPr="00550871">
        <w:tab/>
        <w:t>A.</w:t>
      </w:r>
      <w:r w:rsidRPr="00550871">
        <w:tab/>
        <w:t xml:space="preserve">Edited books </w:t>
      </w:r>
    </w:p>
    <w:p w:rsidR="008C7ED3" w:rsidRPr="00550871" w:rsidRDefault="008C7ED3" w:rsidP="008C7ED3">
      <w:pPr>
        <w:pStyle w:val="Bullet1G"/>
        <w:numPr>
          <w:ilvl w:val="0"/>
          <w:numId w:val="23"/>
        </w:numPr>
      </w:pPr>
      <w:r w:rsidRPr="00550871">
        <w:rPr>
          <w:i/>
          <w:iCs/>
        </w:rPr>
        <w:t>Building Consensus on European Consensus. Judicial Interpretation of Human Rights in Europe and Beyond</w:t>
      </w:r>
      <w:r w:rsidRPr="00550871">
        <w:t>, P. Kapotas, V.P. Tzevelekos (eds.), CUP, 2019</w:t>
      </w:r>
    </w:p>
    <w:p w:rsidR="008C7ED3" w:rsidRPr="00550871" w:rsidRDefault="008C7ED3" w:rsidP="008C7ED3">
      <w:pPr>
        <w:pStyle w:val="Bullet2G"/>
        <w:numPr>
          <w:ilvl w:val="0"/>
          <w:numId w:val="24"/>
        </w:numPr>
      </w:pPr>
      <w:r w:rsidRPr="00550871">
        <w:t>Review: C. Heri, Human Rights Law Review, vol. 19(4), 2019, pp. 811–816</w:t>
      </w:r>
    </w:p>
    <w:p w:rsidR="008C7ED3" w:rsidRPr="00550871" w:rsidRDefault="008C7ED3" w:rsidP="008C7ED3">
      <w:pPr>
        <w:pStyle w:val="Bullet1G"/>
        <w:numPr>
          <w:ilvl w:val="0"/>
          <w:numId w:val="23"/>
        </w:numPr>
      </w:pPr>
      <w:r w:rsidRPr="00550871">
        <w:rPr>
          <w:i/>
          <w:iCs/>
        </w:rPr>
        <w:t>Beyond Responsibility to Protect. Generating Change in International Law</w:t>
      </w:r>
      <w:r w:rsidRPr="00550871">
        <w:t>, R.A. Barnes, V.P. Tzevelekos (eds.), Intersentia, 2016</w:t>
      </w:r>
    </w:p>
    <w:p w:rsidR="008C7ED3" w:rsidRPr="00A419B6" w:rsidRDefault="008C7ED3" w:rsidP="008C7ED3">
      <w:pPr>
        <w:pStyle w:val="Bullet2G"/>
        <w:numPr>
          <w:ilvl w:val="0"/>
          <w:numId w:val="24"/>
        </w:numPr>
        <w:rPr>
          <w:lang w:val="de-CH"/>
        </w:rPr>
      </w:pPr>
      <w:r w:rsidRPr="00A419B6">
        <w:rPr>
          <w:lang w:val="de-CH"/>
        </w:rPr>
        <w:t>P. Hilpold, Europa Ethnica Zeitschrift für Minderheitenfragen, 2017</w:t>
      </w:r>
    </w:p>
    <w:p w:rsidR="008C7ED3" w:rsidRPr="00550871" w:rsidRDefault="008C7ED3" w:rsidP="008C7ED3">
      <w:pPr>
        <w:pStyle w:val="Bullet1G"/>
        <w:numPr>
          <w:ilvl w:val="0"/>
          <w:numId w:val="23"/>
        </w:numPr>
      </w:pPr>
      <w:r w:rsidRPr="00550871">
        <w:rPr>
          <w:i/>
          <w:iCs/>
        </w:rPr>
        <w:t>Procedural Fairness in International Courts and Tribunals</w:t>
      </w:r>
      <w:r w:rsidRPr="00550871">
        <w:t xml:space="preserve"> (eds.), A. Sarvarian, et al. (eds.), BIICL, 2015</w:t>
      </w:r>
    </w:p>
    <w:p w:rsidR="008C7ED3" w:rsidRPr="00550871" w:rsidRDefault="008C7ED3" w:rsidP="008C7ED3">
      <w:pPr>
        <w:pStyle w:val="Bullet2G"/>
        <w:numPr>
          <w:ilvl w:val="0"/>
          <w:numId w:val="24"/>
        </w:numPr>
      </w:pPr>
      <w:r w:rsidRPr="00550871">
        <w:t xml:space="preserve">J. Simonoff, </w:t>
      </w:r>
      <w:r w:rsidRPr="00550871">
        <w:rPr>
          <w:i/>
          <w:iCs/>
        </w:rPr>
        <w:t>American Journal of International Law</w:t>
      </w:r>
      <w:r w:rsidRPr="00550871">
        <w:t>, vol. 111(3), 2017, pp. 811–816</w:t>
      </w:r>
    </w:p>
    <w:p w:rsidR="008C7ED3" w:rsidRPr="00550871" w:rsidRDefault="008C7ED3" w:rsidP="008C7ED3">
      <w:pPr>
        <w:pStyle w:val="Bullet1G"/>
        <w:numPr>
          <w:ilvl w:val="0"/>
          <w:numId w:val="23"/>
        </w:numPr>
      </w:pPr>
      <w:r w:rsidRPr="00550871">
        <w:rPr>
          <w:i/>
          <w:iCs/>
        </w:rPr>
        <w:t>The EU Accession to the ECHR</w:t>
      </w:r>
      <w:r w:rsidRPr="00550871">
        <w:t>, V. Kosta, N. Skoutaris and V.P. Tzevelekos (eds.), Hart, 2014</w:t>
      </w:r>
    </w:p>
    <w:p w:rsidR="008C7ED3" w:rsidRPr="00550871" w:rsidRDefault="008C7ED3" w:rsidP="008C7ED3">
      <w:pPr>
        <w:pStyle w:val="Bullet2G"/>
        <w:numPr>
          <w:ilvl w:val="0"/>
          <w:numId w:val="24"/>
        </w:numPr>
      </w:pPr>
      <w:r w:rsidRPr="00550871">
        <w:t xml:space="preserve">Review: P. Craigl, “POMFR: The EU Accession to the ECHR”, </w:t>
      </w:r>
      <w:r w:rsidRPr="00550871">
        <w:rPr>
          <w:i/>
          <w:iCs/>
        </w:rPr>
        <w:t>European Law Blog</w:t>
      </w:r>
      <w:r w:rsidRPr="00550871">
        <w:t xml:space="preserve">, </w:t>
      </w:r>
      <w:hyperlink r:id="rId7" w:history="1">
        <w:r w:rsidRPr="00550871">
          <w:t>http://europeanlawblog.eu/?p=2633</w:t>
        </w:r>
      </w:hyperlink>
    </w:p>
    <w:p w:rsidR="008C7ED3" w:rsidRPr="00550871" w:rsidRDefault="008C7ED3" w:rsidP="008C7ED3">
      <w:pPr>
        <w:pStyle w:val="Bullet2G"/>
        <w:numPr>
          <w:ilvl w:val="0"/>
          <w:numId w:val="24"/>
        </w:numPr>
      </w:pPr>
      <w:r w:rsidRPr="00550871">
        <w:t xml:space="preserve">Review: C. Eckes, “EU Accession to the ECHR: </w:t>
      </w:r>
      <w:r w:rsidRPr="00550871">
        <w:rPr>
          <w:i/>
          <w:iCs/>
        </w:rPr>
        <w:t>Ante Portas</w:t>
      </w:r>
      <w:r w:rsidRPr="00550871">
        <w:t xml:space="preserve"> or a Mirage on the Horizon?”, </w:t>
      </w:r>
      <w:r w:rsidRPr="00550871">
        <w:rPr>
          <w:i/>
          <w:iCs/>
        </w:rPr>
        <w:t>I-connect Blog</w:t>
      </w:r>
      <w:r w:rsidRPr="00550871">
        <w:t xml:space="preserve">, </w:t>
      </w:r>
      <w:hyperlink r:id="rId8" w:history="1">
        <w:r w:rsidRPr="00550871">
          <w:t>www.iconnectblog.com/2014/11/eu-accession-to-the-echr-ante-portas-or-a-mirage-on-the-horizon/</w:t>
        </w:r>
      </w:hyperlink>
    </w:p>
    <w:p w:rsidR="008C7ED3" w:rsidRPr="00A419B6" w:rsidRDefault="008C7ED3" w:rsidP="008C7ED3">
      <w:pPr>
        <w:pStyle w:val="Bullet2G"/>
        <w:numPr>
          <w:ilvl w:val="0"/>
          <w:numId w:val="24"/>
        </w:numPr>
        <w:rPr>
          <w:lang w:val="fr-CH"/>
        </w:rPr>
      </w:pPr>
      <w:r w:rsidRPr="00A419B6">
        <w:rPr>
          <w:lang w:val="fr-CH"/>
        </w:rPr>
        <w:t xml:space="preserve">Review: C. Nikolaidis, </w:t>
      </w:r>
      <w:r w:rsidRPr="00A419B6">
        <w:rPr>
          <w:i/>
          <w:iCs/>
          <w:lang w:val="fr-CH"/>
        </w:rPr>
        <w:t>Revue hellénique des droits de l’homme</w:t>
      </w:r>
      <w:r w:rsidRPr="00A419B6">
        <w:rPr>
          <w:lang w:val="fr-CH"/>
        </w:rPr>
        <w:t>, vol. 64, 2015, pp. 471–472</w:t>
      </w:r>
    </w:p>
    <w:p w:rsidR="008C7ED3" w:rsidRPr="00550871" w:rsidRDefault="008C7ED3" w:rsidP="008C7ED3">
      <w:pPr>
        <w:pStyle w:val="Bullet2G"/>
        <w:numPr>
          <w:ilvl w:val="0"/>
          <w:numId w:val="24"/>
        </w:numPr>
      </w:pPr>
      <w:r w:rsidRPr="00550871">
        <w:t xml:space="preserve">Review: S. Inglesias, </w:t>
      </w:r>
      <w:r w:rsidRPr="00550871">
        <w:rPr>
          <w:i/>
          <w:iCs/>
        </w:rPr>
        <w:t>Common Market Law Review</w:t>
      </w:r>
      <w:r w:rsidRPr="00550871">
        <w:t>, vol. 52, 2015, pp. 1722–1723</w:t>
      </w:r>
    </w:p>
    <w:p w:rsidR="008C7ED3" w:rsidRPr="00550871" w:rsidRDefault="008C7ED3" w:rsidP="008C7ED3">
      <w:pPr>
        <w:pStyle w:val="Bullet2G"/>
        <w:numPr>
          <w:ilvl w:val="0"/>
          <w:numId w:val="24"/>
        </w:numPr>
      </w:pPr>
      <w:r w:rsidRPr="00550871">
        <w:t xml:space="preserve">Review: T. Lock, </w:t>
      </w:r>
      <w:r w:rsidRPr="00550871">
        <w:rPr>
          <w:i/>
          <w:iCs/>
        </w:rPr>
        <w:t>European Law Review</w:t>
      </w:r>
      <w:r w:rsidRPr="00550871">
        <w:t>, vol. 41, 2016, pp. 289–291</w:t>
      </w:r>
    </w:p>
    <w:p w:rsidR="008C7ED3" w:rsidRPr="00550871" w:rsidRDefault="008C7ED3" w:rsidP="008C7ED3">
      <w:pPr>
        <w:pStyle w:val="H1G"/>
      </w:pPr>
      <w:r w:rsidRPr="00550871">
        <w:tab/>
        <w:t>B.</w:t>
      </w:r>
      <w:r w:rsidRPr="00550871">
        <w:tab/>
        <w:t>Edited special journal issues</w:t>
      </w:r>
    </w:p>
    <w:p w:rsidR="008C7ED3" w:rsidRPr="00550871" w:rsidRDefault="008C7ED3" w:rsidP="008C7ED3">
      <w:pPr>
        <w:pStyle w:val="Bullet1G"/>
        <w:numPr>
          <w:ilvl w:val="0"/>
          <w:numId w:val="23"/>
        </w:numPr>
      </w:pPr>
      <w:r w:rsidRPr="00550871">
        <w:rPr>
          <w:i/>
          <w:iCs/>
        </w:rPr>
        <w:t>Questions of International Law</w:t>
      </w:r>
      <w:r w:rsidRPr="00550871">
        <w:t xml:space="preserve">, </w:t>
      </w:r>
      <w:r w:rsidRPr="00550871">
        <w:rPr>
          <w:i/>
          <w:iCs/>
        </w:rPr>
        <w:t>Zoom-In</w:t>
      </w:r>
      <w:r w:rsidRPr="00550871">
        <w:t xml:space="preserve">, vol. 65, 2020 [The Meaning and Effects of </w:t>
      </w:r>
      <w:r w:rsidRPr="00550871">
        <w:rPr>
          <w:i/>
          <w:iCs/>
        </w:rPr>
        <w:t>Erga Omnes</w:t>
      </w:r>
      <w:r w:rsidRPr="00550871">
        <w:t xml:space="preserve"> within the Prespa Agreement of 17 June 2018 between Greece and North Macedonia, http://www.qil-qdi.org/the-meaning-and-effects-of-erga-omnes-within-the-prespa-agreement-of-17-june-2018-between-greece-and-north-mace-donia/]</w:t>
      </w:r>
    </w:p>
    <w:p w:rsidR="008C7ED3" w:rsidRPr="00550871" w:rsidRDefault="008C7ED3" w:rsidP="008C7ED3">
      <w:pPr>
        <w:pStyle w:val="Bullet1G"/>
        <w:numPr>
          <w:ilvl w:val="0"/>
          <w:numId w:val="23"/>
        </w:numPr>
      </w:pPr>
      <w:r w:rsidRPr="00550871">
        <w:rPr>
          <w:i/>
          <w:iCs/>
        </w:rPr>
        <w:t>Europe and the World. A Law Review</w:t>
      </w:r>
      <w:r w:rsidRPr="00550871">
        <w:t>, 2018 [Extraterritoriality of EU Law and Human Rights, co-edited with S. Velluti, https://www.scienceopen.com/collection/96617f03-b068-4583-b7e0-fc9a5e9caf6f]</w:t>
      </w:r>
    </w:p>
    <w:p w:rsidR="008C7ED3" w:rsidRPr="00550871" w:rsidRDefault="008C7ED3" w:rsidP="008C7ED3">
      <w:pPr>
        <w:pStyle w:val="Bullet1G"/>
        <w:numPr>
          <w:ilvl w:val="0"/>
          <w:numId w:val="23"/>
        </w:numPr>
      </w:pPr>
      <w:r w:rsidRPr="00550871">
        <w:rPr>
          <w:i/>
          <w:iCs/>
        </w:rPr>
        <w:t>International Community Law Review</w:t>
      </w:r>
      <w:r w:rsidRPr="00550871">
        <w:t>, vol. 19(1), 2017 [International Customary Law]</w:t>
      </w:r>
    </w:p>
    <w:p w:rsidR="008C7ED3" w:rsidRPr="00550871" w:rsidRDefault="008C7ED3" w:rsidP="008C7ED3">
      <w:pPr>
        <w:pStyle w:val="Bullet1G"/>
        <w:numPr>
          <w:ilvl w:val="0"/>
          <w:numId w:val="23"/>
        </w:numPr>
      </w:pPr>
      <w:r w:rsidRPr="00550871">
        <w:rPr>
          <w:i/>
          <w:iCs/>
        </w:rPr>
        <w:t>European Journal of Human Rights</w:t>
      </w:r>
      <w:r w:rsidRPr="00550871">
        <w:t>, 2013(4) [The EU Accession to the ECHR, co-edited with V. Kosta and N. Skoutaris]</w:t>
      </w:r>
    </w:p>
    <w:p w:rsidR="008C7ED3" w:rsidRPr="00550871" w:rsidRDefault="008C7ED3" w:rsidP="008C7ED3">
      <w:pPr>
        <w:pStyle w:val="Bullet1G"/>
        <w:numPr>
          <w:ilvl w:val="0"/>
          <w:numId w:val="23"/>
        </w:numPr>
      </w:pPr>
      <w:r w:rsidRPr="00550871">
        <w:rPr>
          <w:i/>
          <w:iCs/>
        </w:rPr>
        <w:t>Efarmoges Dimosiou Dikaiou</w:t>
      </w:r>
      <w:r w:rsidRPr="00550871">
        <w:t xml:space="preserve">, 2002, special issue I/2002 [The ECtHR Case Law against Greece, co-edited with M. Gkana] </w:t>
      </w:r>
    </w:p>
    <w:p w:rsidR="008C7ED3" w:rsidRPr="00550871" w:rsidRDefault="008C7ED3" w:rsidP="008C7ED3">
      <w:pPr>
        <w:pStyle w:val="H1G"/>
      </w:pPr>
      <w:r w:rsidRPr="00550871">
        <w:tab/>
        <w:t>C.</w:t>
      </w:r>
      <w:r w:rsidRPr="00550871">
        <w:tab/>
        <w:t xml:space="preserve">Journal articles </w:t>
      </w:r>
    </w:p>
    <w:p w:rsidR="008C7ED3" w:rsidRPr="00550871" w:rsidRDefault="008C7ED3" w:rsidP="008C7ED3">
      <w:pPr>
        <w:pStyle w:val="Bullet1G"/>
        <w:numPr>
          <w:ilvl w:val="0"/>
          <w:numId w:val="23"/>
        </w:numPr>
      </w:pPr>
      <w:r w:rsidRPr="00550871">
        <w:t xml:space="preserve">The Meaning and Effects of </w:t>
      </w:r>
      <w:r w:rsidRPr="00550871">
        <w:rPr>
          <w:i/>
          <w:iCs/>
        </w:rPr>
        <w:t>Erga Omnes</w:t>
      </w:r>
      <w:r w:rsidRPr="00550871">
        <w:t xml:space="preserve"> within the Prespa Agreement of 17 June 2018 between Greece and North Macedonia. An Introductory Note – </w:t>
      </w:r>
      <w:r w:rsidRPr="00550871">
        <w:rPr>
          <w:i/>
          <w:iCs/>
        </w:rPr>
        <w:t xml:space="preserve">Questions of </w:t>
      </w:r>
      <w:r w:rsidRPr="00550871">
        <w:rPr>
          <w:i/>
          <w:iCs/>
        </w:rPr>
        <w:lastRenderedPageBreak/>
        <w:t>International Law, Zoom-In</w:t>
      </w:r>
      <w:r w:rsidRPr="00550871">
        <w:t>, vol. 65, 2020, pp. 1–19 [http://www.qil-qdi.org/wp-content/uploads/2020/01/02_PRESPA_TZEVELEKOS_FIN.pdf]</w:t>
      </w:r>
    </w:p>
    <w:p w:rsidR="008C7ED3" w:rsidRPr="00550871" w:rsidRDefault="008C7ED3" w:rsidP="008C7ED3">
      <w:pPr>
        <w:pStyle w:val="Bullet1G"/>
        <w:numPr>
          <w:ilvl w:val="0"/>
          <w:numId w:val="23"/>
        </w:numPr>
      </w:pPr>
      <w:r w:rsidRPr="00550871">
        <w:t xml:space="preserve">The United Kingdom’s Presumption of Derogation from the ECHR Regarding Future Military Operations Overseas: Abuse of Rights, Articles 17 and 18 ECHR, and </w:t>
      </w:r>
      <w:r w:rsidRPr="00550871">
        <w:rPr>
          <w:i/>
          <w:iCs/>
        </w:rPr>
        <w:t>à la carte</w:t>
      </w:r>
      <w:r w:rsidRPr="00550871">
        <w:t xml:space="preserve"> Human Rights Protection – </w:t>
      </w:r>
      <w:r w:rsidRPr="00550871">
        <w:rPr>
          <w:i/>
          <w:iCs/>
        </w:rPr>
        <w:t>Austrian Review of International and European Law</w:t>
      </w:r>
      <w:r w:rsidRPr="00550871">
        <w:t>, vol. 22, 2017 [published in 2019], pp. 137–187</w:t>
      </w:r>
    </w:p>
    <w:p w:rsidR="008C7ED3" w:rsidRPr="00550871" w:rsidRDefault="008C7ED3" w:rsidP="008C7ED3">
      <w:pPr>
        <w:pStyle w:val="Bullet1G"/>
        <w:numPr>
          <w:ilvl w:val="0"/>
          <w:numId w:val="23"/>
        </w:numPr>
      </w:pPr>
      <w:r w:rsidRPr="00550871">
        <w:t xml:space="preserve">Extraterritoriality of EU Law and Human Rights after Lisbon: The Case of Trade and Public Procurement – </w:t>
      </w:r>
      <w:r w:rsidRPr="00550871">
        <w:rPr>
          <w:i/>
          <w:iCs/>
        </w:rPr>
        <w:t>Europe and the World: A Law Review</w:t>
      </w:r>
      <w:r w:rsidRPr="00550871">
        <w:t xml:space="preserve">, 2018(2). [co-authored with S. Velluti, http://discovery.ucl.ac.uk/10059443/] </w:t>
      </w:r>
    </w:p>
    <w:p w:rsidR="008C7ED3" w:rsidRPr="00550871" w:rsidRDefault="008C7ED3" w:rsidP="008C7ED3">
      <w:pPr>
        <w:pStyle w:val="Bullet1G"/>
        <w:numPr>
          <w:ilvl w:val="0"/>
          <w:numId w:val="23"/>
        </w:numPr>
      </w:pPr>
      <w:r w:rsidRPr="00550871">
        <w:t xml:space="preserve">Migrants at Sea. A Duty of Plural States to Protect (Extraterritorially)? – </w:t>
      </w:r>
      <w:r w:rsidRPr="00550871">
        <w:rPr>
          <w:i/>
          <w:iCs/>
        </w:rPr>
        <w:t>Nordic Journal of International Law</w:t>
      </w:r>
      <w:r w:rsidRPr="00550871">
        <w:t>, vol. 86, 2017, pp. 427–469 [co-authored with E. Katselli]</w:t>
      </w:r>
    </w:p>
    <w:p w:rsidR="008C7ED3" w:rsidRPr="00550871" w:rsidRDefault="008C7ED3" w:rsidP="008C7ED3">
      <w:pPr>
        <w:pStyle w:val="Bullet1G"/>
        <w:numPr>
          <w:ilvl w:val="0"/>
          <w:numId w:val="23"/>
        </w:numPr>
      </w:pPr>
      <w:r w:rsidRPr="00550871">
        <w:t xml:space="preserve">Introductory Note. Beyond the Identification of Customary Rules – </w:t>
      </w:r>
      <w:r w:rsidRPr="00550871">
        <w:rPr>
          <w:i/>
          <w:iCs/>
        </w:rPr>
        <w:t>International Community Law Review</w:t>
      </w:r>
      <w:r w:rsidRPr="00550871">
        <w:t>, vol. 19, 2017, pp. 1–8</w:t>
      </w:r>
    </w:p>
    <w:p w:rsidR="008C7ED3" w:rsidRPr="00550871" w:rsidRDefault="008C7ED3" w:rsidP="008C7ED3">
      <w:pPr>
        <w:pStyle w:val="Bullet1G"/>
        <w:numPr>
          <w:ilvl w:val="0"/>
          <w:numId w:val="23"/>
        </w:numPr>
      </w:pPr>
      <w:r w:rsidRPr="00550871">
        <w:t xml:space="preserve">International Custom Making and the ECtHR’s European Consensus Method of Interpretation – </w:t>
      </w:r>
      <w:r w:rsidRPr="00550871">
        <w:rPr>
          <w:i/>
          <w:iCs/>
        </w:rPr>
        <w:t>European Yearbook of Human Rights</w:t>
      </w:r>
      <w:r w:rsidRPr="00550871">
        <w:t>, vol. 16, 2016, pp. 313–344 [co-authored with K. Dzehtsiarou]</w:t>
      </w:r>
    </w:p>
    <w:p w:rsidR="008C7ED3" w:rsidRPr="00550871" w:rsidRDefault="008C7ED3" w:rsidP="008C7ED3">
      <w:pPr>
        <w:pStyle w:val="Bullet1G"/>
        <w:numPr>
          <w:ilvl w:val="0"/>
          <w:numId w:val="23"/>
        </w:numPr>
      </w:pPr>
      <w:r w:rsidRPr="00550871">
        <w:t xml:space="preserve">Towards a Humanized International “Constitution”? – </w:t>
      </w:r>
      <w:r w:rsidRPr="00550871">
        <w:rPr>
          <w:i/>
          <w:iCs/>
        </w:rPr>
        <w:t>Leiden Journal of International Law</w:t>
      </w:r>
      <w:r w:rsidRPr="00550871">
        <w:t>, vol. 29, 2016, pp. 343–364 [co-authored with L. Lixinski]</w:t>
      </w:r>
    </w:p>
    <w:p w:rsidR="008C7ED3" w:rsidRPr="00550871" w:rsidRDefault="008C7ED3" w:rsidP="008C7ED3">
      <w:pPr>
        <w:pStyle w:val="Bullet1G"/>
        <w:numPr>
          <w:ilvl w:val="0"/>
          <w:numId w:val="23"/>
        </w:numPr>
      </w:pPr>
      <w:r w:rsidRPr="00550871">
        <w:t xml:space="preserve">Reconstructing the Effective Control Criterion in Extraterritorial Human Rights Breaches. Direct Attribution of Wrongfulness, Due Diligence, and Concurrent Responsibility – </w:t>
      </w:r>
      <w:r w:rsidRPr="00550871">
        <w:rPr>
          <w:i/>
          <w:iCs/>
        </w:rPr>
        <w:t>Michigan Journal of International Law</w:t>
      </w:r>
      <w:r w:rsidRPr="00550871">
        <w:t>, vol. 36(1), 2015, pp. 129–178</w:t>
      </w:r>
    </w:p>
    <w:p w:rsidR="008C7ED3" w:rsidRPr="00550871" w:rsidRDefault="008C7ED3" w:rsidP="008C7ED3">
      <w:pPr>
        <w:pStyle w:val="Bullet1G"/>
        <w:numPr>
          <w:ilvl w:val="0"/>
          <w:numId w:val="23"/>
        </w:numPr>
      </w:pPr>
      <w:r w:rsidRPr="00550871">
        <w:t xml:space="preserve">A “Systemic” Reading of the ECtHR’s Judgment in MSS v. Belgium and Greece: Concurrent International Responsibility, the Limits of Due Diligence and Questions of Compatibility between the ECHR and EU Law – </w:t>
      </w:r>
      <w:r w:rsidRPr="00550871">
        <w:rPr>
          <w:i/>
          <w:iCs/>
        </w:rPr>
        <w:t>To Syntagma</w:t>
      </w:r>
      <w:r w:rsidRPr="00550871">
        <w:t>, 2013(3-4), pp. 509–559 [in Greek, co-authored with D. Kagiaros]</w:t>
      </w:r>
    </w:p>
    <w:p w:rsidR="008C7ED3" w:rsidRPr="00550871" w:rsidRDefault="008C7ED3" w:rsidP="008C7ED3">
      <w:pPr>
        <w:pStyle w:val="Bullet1G"/>
        <w:numPr>
          <w:ilvl w:val="0"/>
          <w:numId w:val="23"/>
        </w:numPr>
      </w:pPr>
      <w:r w:rsidRPr="00550871">
        <w:t xml:space="preserve">Revisiting the Humanisation of International Law: Limits and Potential. Obligations Erga Omnes, Hierarchy of Rules and the Principle of Due Diligence as the Basis for Further Humanisation – </w:t>
      </w:r>
      <w:r w:rsidRPr="00550871">
        <w:rPr>
          <w:i/>
          <w:iCs/>
        </w:rPr>
        <w:t>Erasmus Law Review</w:t>
      </w:r>
      <w:r w:rsidRPr="00550871">
        <w:t>, vol. 6(1), 2013, pp. 62–76</w:t>
      </w:r>
    </w:p>
    <w:p w:rsidR="008C7ED3" w:rsidRPr="00550871" w:rsidRDefault="008C7ED3" w:rsidP="008C7ED3">
      <w:pPr>
        <w:pStyle w:val="Bullet1G"/>
        <w:numPr>
          <w:ilvl w:val="0"/>
          <w:numId w:val="23"/>
        </w:numPr>
      </w:pPr>
      <w:r w:rsidRPr="00550871">
        <w:t xml:space="preserve">The Use of Article 31(3)(c) of the VCLT in the Case Law of the ECtHR. An Effective Anti-Fragmentation Tool or a Selective Loophole for the Reinforcement of the Teleology of Human Rights? Between Evolution and Systemic Integration – </w:t>
      </w:r>
      <w:r w:rsidRPr="00550871">
        <w:rPr>
          <w:i/>
          <w:iCs/>
        </w:rPr>
        <w:t>Michigan Journal of International Law</w:t>
      </w:r>
      <w:r w:rsidRPr="00550871">
        <w:t>, vol. 31, 2010, pp. 621–690</w:t>
      </w:r>
    </w:p>
    <w:p w:rsidR="008C7ED3" w:rsidRPr="00550871" w:rsidRDefault="008C7ED3" w:rsidP="008C7ED3">
      <w:pPr>
        <w:pStyle w:val="Bullet1G"/>
        <w:numPr>
          <w:ilvl w:val="0"/>
          <w:numId w:val="23"/>
        </w:numPr>
      </w:pPr>
      <w:r w:rsidRPr="00550871">
        <w:t xml:space="preserve">In Search of Alternative Solutions. Can the State of Origin be Held Internationally Responsible for Investors’ Human Rights Abuses which are not Attributable to it? – </w:t>
      </w:r>
      <w:r w:rsidRPr="00550871">
        <w:rPr>
          <w:i/>
          <w:iCs/>
        </w:rPr>
        <w:t>Brooklyn Journal of International Law</w:t>
      </w:r>
      <w:r w:rsidRPr="00550871">
        <w:t>, vol. 35, 2010, pp. 155–231</w:t>
      </w:r>
    </w:p>
    <w:p w:rsidR="008C7ED3" w:rsidRPr="00A419B6" w:rsidRDefault="008C7ED3" w:rsidP="008C7ED3">
      <w:pPr>
        <w:pStyle w:val="Bullet1G"/>
        <w:numPr>
          <w:ilvl w:val="0"/>
          <w:numId w:val="23"/>
        </w:numPr>
        <w:rPr>
          <w:lang w:val="fr-CH"/>
        </w:rPr>
      </w:pPr>
      <w:r w:rsidRPr="00A419B6">
        <w:rPr>
          <w:lang w:val="fr-CH"/>
        </w:rPr>
        <w:t xml:space="preserve">Vers la reconnaissance d’un droit étatique à l’autoprotection? Entre le droit et la politique – </w:t>
      </w:r>
      <w:r w:rsidRPr="00A419B6">
        <w:rPr>
          <w:i/>
          <w:iCs/>
          <w:lang w:val="fr-CH"/>
        </w:rPr>
        <w:t>Revue Générale de Droit International Public, 2008(2)</w:t>
      </w:r>
      <w:r w:rsidRPr="00A419B6">
        <w:rPr>
          <w:lang w:val="fr-CH"/>
        </w:rPr>
        <w:t>, pp. 295–328</w:t>
      </w:r>
    </w:p>
    <w:p w:rsidR="008C7ED3" w:rsidRPr="00550871" w:rsidRDefault="008C7ED3" w:rsidP="008C7ED3">
      <w:pPr>
        <w:pStyle w:val="Bullet1G"/>
        <w:numPr>
          <w:ilvl w:val="0"/>
          <w:numId w:val="23"/>
        </w:numPr>
      </w:pPr>
      <w:r w:rsidRPr="00550871">
        <w:t xml:space="preserve">Perspectives of Systemic Integration within the European Subsystem and its Subordination to the General System. Answers to the Institutional Fragmentation of International Law: Legal Pluralism with No Hierarchy or Limitless Institutional Comity? – </w:t>
      </w:r>
      <w:r w:rsidRPr="00550871">
        <w:rPr>
          <w:i/>
          <w:iCs/>
        </w:rPr>
        <w:t>Efarmoges Dimosiou Dikaiou</w:t>
      </w:r>
      <w:r w:rsidRPr="00550871">
        <w:t>, 2007, special issue, pp. 381–422 [in Greek]</w:t>
      </w:r>
    </w:p>
    <w:p w:rsidR="008C7ED3" w:rsidRPr="00550871" w:rsidRDefault="008C7ED3" w:rsidP="008C7ED3">
      <w:pPr>
        <w:pStyle w:val="Bullet1G"/>
        <w:numPr>
          <w:ilvl w:val="0"/>
          <w:numId w:val="23"/>
        </w:numPr>
      </w:pPr>
      <w:r w:rsidRPr="00550871">
        <w:t>The Unhindered Exercise of the Right of Individuals to Access the ECtHR. The Cyprus Issue: Recent and Current Developments within the Framework of the ECHR System. Reinforcement or Deconstruction of the “</w:t>
      </w:r>
      <w:r w:rsidRPr="00550871">
        <w:rPr>
          <w:i/>
          <w:iCs/>
        </w:rPr>
        <w:t>Acquis</w:t>
      </w:r>
      <w:r w:rsidRPr="00550871">
        <w:t>”?’ [Part II] – Dike, vol. 36, 2005, pp. 1273–1294 [in Greek, co-authored with V. Koutroulis]</w:t>
      </w:r>
    </w:p>
    <w:p w:rsidR="008C7ED3" w:rsidRPr="00550871" w:rsidRDefault="008C7ED3" w:rsidP="008C7ED3">
      <w:pPr>
        <w:pStyle w:val="Bullet1G"/>
        <w:numPr>
          <w:ilvl w:val="0"/>
          <w:numId w:val="23"/>
        </w:numPr>
      </w:pPr>
      <w:r w:rsidRPr="00550871">
        <w:t>Execution of and Compliance with ECtHR Judgments. The Cyprus Issue: Recent and Current Developments within the Framework of the ECHR System. Reinforcement or Deconstruction of the “</w:t>
      </w:r>
      <w:r w:rsidRPr="00550871">
        <w:rPr>
          <w:i/>
          <w:iCs/>
        </w:rPr>
        <w:t>Acquis</w:t>
      </w:r>
      <w:r w:rsidRPr="00550871">
        <w:t>”?’ [Part I] – Dike, vol. 36, 2005, pp. 1148–1175 [in Greek, co-authored with V. Koutroulis]</w:t>
      </w:r>
    </w:p>
    <w:p w:rsidR="008C7ED3" w:rsidRPr="00550871" w:rsidRDefault="008C7ED3" w:rsidP="008C7ED3">
      <w:pPr>
        <w:pStyle w:val="Bullet1G"/>
        <w:numPr>
          <w:ilvl w:val="0"/>
          <w:numId w:val="23"/>
        </w:numPr>
      </w:pPr>
      <w:r w:rsidRPr="00550871">
        <w:lastRenderedPageBreak/>
        <w:t xml:space="preserve">Opening Remarks: The ECHR System of Protection and its Importance for the Greek Legal Order – </w:t>
      </w:r>
      <w:r w:rsidRPr="00550871">
        <w:rPr>
          <w:i/>
          <w:iCs/>
        </w:rPr>
        <w:t>Efarmoges Dimosiou Dikaiou</w:t>
      </w:r>
      <w:r w:rsidRPr="00550871">
        <w:t>, 2002, special issue I/2002, pp. 3–13 [in Greek]</w:t>
      </w:r>
    </w:p>
    <w:p w:rsidR="008C7ED3" w:rsidRPr="00550871" w:rsidRDefault="008C7ED3" w:rsidP="008C7ED3">
      <w:pPr>
        <w:pStyle w:val="Bullet1G"/>
        <w:numPr>
          <w:ilvl w:val="0"/>
          <w:numId w:val="23"/>
        </w:numPr>
      </w:pPr>
      <w:r w:rsidRPr="00550871">
        <w:t xml:space="preserve">The Question of Minorities in the International Political Arena. Dimensions and Perspectives of International Protection – </w:t>
      </w:r>
      <w:r w:rsidRPr="00550871">
        <w:rPr>
          <w:i/>
          <w:iCs/>
        </w:rPr>
        <w:t>Efarmoges Dimosiou Dikaiou</w:t>
      </w:r>
      <w:r w:rsidRPr="00550871">
        <w:t>, 2001, pp. 55–111 [in Greek, co-authored with M. Charokopos]</w:t>
      </w:r>
    </w:p>
    <w:p w:rsidR="008C7ED3" w:rsidRPr="00550871" w:rsidRDefault="008C7ED3" w:rsidP="008C7ED3">
      <w:pPr>
        <w:pStyle w:val="Bullet1G"/>
        <w:numPr>
          <w:ilvl w:val="0"/>
          <w:numId w:val="23"/>
        </w:numPr>
      </w:pPr>
      <w:r w:rsidRPr="00550871">
        <w:t xml:space="preserve">On the Occasion of the </w:t>
      </w:r>
      <w:r w:rsidRPr="00550871">
        <w:rPr>
          <w:i/>
          <w:iCs/>
        </w:rPr>
        <w:t>Loizidou</w:t>
      </w:r>
      <w:r w:rsidRPr="00550871">
        <w:t xml:space="preserve"> and the 4th </w:t>
      </w:r>
      <w:r w:rsidRPr="00550871">
        <w:rPr>
          <w:i/>
          <w:iCs/>
        </w:rPr>
        <w:t xml:space="preserve">Cyprus v. Turkey </w:t>
      </w:r>
      <w:r w:rsidRPr="00B9289F">
        <w:t>Cases</w:t>
      </w:r>
      <w:r w:rsidRPr="00550871">
        <w:t xml:space="preserve">. The Cyprus Issue and its European and International Ordeal – </w:t>
      </w:r>
      <w:r w:rsidRPr="00550871">
        <w:rPr>
          <w:i/>
          <w:iCs/>
        </w:rPr>
        <w:t>Efarmoges Dimosiou Dikaiou</w:t>
      </w:r>
      <w:r w:rsidRPr="00550871">
        <w:t>, 1999, pp. 226–263 [in Greek, co-authored with M. Ioannou]</w:t>
      </w:r>
    </w:p>
    <w:p w:rsidR="008C7ED3" w:rsidRPr="00550871" w:rsidRDefault="008C7ED3" w:rsidP="008C7ED3">
      <w:pPr>
        <w:pStyle w:val="H1G"/>
      </w:pPr>
      <w:r w:rsidRPr="00550871">
        <w:tab/>
        <w:t>D.</w:t>
      </w:r>
      <w:r w:rsidRPr="00550871">
        <w:tab/>
        <w:t>Book chapters</w:t>
      </w:r>
    </w:p>
    <w:p w:rsidR="008C7ED3" w:rsidRPr="00550871" w:rsidRDefault="008C7ED3" w:rsidP="008C7ED3">
      <w:pPr>
        <w:pStyle w:val="Bullet1G"/>
        <w:numPr>
          <w:ilvl w:val="0"/>
          <w:numId w:val="23"/>
        </w:numPr>
      </w:pPr>
      <w:r w:rsidRPr="00550871">
        <w:t xml:space="preserve">The Importance of State Practice in the Shaping of International Standards Pertaining to the Clash between Free Speech and the Banning of Negationism: The Contribution of the Greek Legal Order in P. Grzebyk (ed.), </w:t>
      </w:r>
      <w:r w:rsidRPr="00550871">
        <w:rPr>
          <w:i/>
          <w:iCs/>
        </w:rPr>
        <w:t>Responsibility for Negation of International Crimes</w:t>
      </w:r>
      <w:r w:rsidRPr="00550871">
        <w:t>, Instytut Wymiaru Sprawiedliwośki, Justice Institute, 2020, pp. 259–290 [co-authored with D. Kagiaros]</w:t>
      </w:r>
    </w:p>
    <w:p w:rsidR="008C7ED3" w:rsidRPr="00550871" w:rsidRDefault="008C7ED3" w:rsidP="008C7ED3">
      <w:pPr>
        <w:pStyle w:val="Bullet1G"/>
        <w:numPr>
          <w:ilvl w:val="0"/>
          <w:numId w:val="23"/>
        </w:numPr>
      </w:pPr>
      <w:r w:rsidRPr="00550871">
        <w:t xml:space="preserve">The Case of the Eight Turkish Military Personnel who Sought Asylum in Greece after the Failed 2016 Coup Attempt in Turkey: Fair Trial as a Reason Precluding Non-Refoulement and (Stricto Sensu) Proportionality in L. Kiousopoulou, M. Tsirli, P. Voyatzis (eds.), </w:t>
      </w:r>
      <w:r w:rsidRPr="00550871">
        <w:rPr>
          <w:i/>
          <w:iCs/>
        </w:rPr>
        <w:t>Human Rights in Times of Illiberal Democracies: Liber Amicorum in Memoriam of Stavros Tsakyrakis</w:t>
      </w:r>
      <w:r w:rsidRPr="00550871">
        <w:t>, Nomiki Bibliothiki Publishers, 2020, pp. 57–80 [co-authored with D. Kagiaros]</w:t>
      </w:r>
    </w:p>
    <w:p w:rsidR="008C7ED3" w:rsidRPr="00550871" w:rsidRDefault="008C7ED3" w:rsidP="008C7ED3">
      <w:pPr>
        <w:pStyle w:val="Bullet1G"/>
        <w:numPr>
          <w:ilvl w:val="0"/>
          <w:numId w:val="23"/>
        </w:numPr>
      </w:pPr>
      <w:r w:rsidRPr="00550871">
        <w:t xml:space="preserve">The World Heritage Convention and the Law of State Responsibility: Promises and Pitfalls in A.M. Carstens, E.C. Varner (eds.), </w:t>
      </w:r>
      <w:r w:rsidRPr="00550871">
        <w:rPr>
          <w:i/>
          <w:iCs/>
        </w:rPr>
        <w:t>Intersections in International Cultural Heritage Law</w:t>
      </w:r>
      <w:r w:rsidRPr="00550871">
        <w:t>, OUP, 2020, pp. 247–266 [co-authored with L. Lixinski]</w:t>
      </w:r>
    </w:p>
    <w:p w:rsidR="008C7ED3" w:rsidRPr="00550871" w:rsidRDefault="008C7ED3" w:rsidP="008C7ED3">
      <w:pPr>
        <w:pStyle w:val="Bullet1G"/>
        <w:numPr>
          <w:ilvl w:val="0"/>
          <w:numId w:val="23"/>
        </w:numPr>
      </w:pPr>
      <w:r w:rsidRPr="00550871">
        <w:t xml:space="preserve">How (Difficult Is It) to Build Consensus on (European) Consensus? in P. Kapotas, V.P. Tzevelekos (eds.), </w:t>
      </w:r>
      <w:r w:rsidRPr="00550871">
        <w:rPr>
          <w:i/>
          <w:iCs/>
        </w:rPr>
        <w:t>Building Consensus on European Consensus. Judicial Interpretation of Human Rights in Europe and Beyond</w:t>
      </w:r>
      <w:r w:rsidRPr="00550871">
        <w:t xml:space="preserve">, CUP, 2019, pp. 1–26 [co-authored with P. Kapotas] </w:t>
      </w:r>
    </w:p>
    <w:p w:rsidR="008C7ED3" w:rsidRPr="00550871" w:rsidRDefault="008C7ED3" w:rsidP="008C7ED3">
      <w:pPr>
        <w:pStyle w:val="Bullet1G"/>
        <w:numPr>
          <w:ilvl w:val="0"/>
          <w:numId w:val="23"/>
        </w:numPr>
      </w:pPr>
      <w:r w:rsidRPr="00550871">
        <w:t>The Shared Territory of the ECHR and International Investment Law in Y. Radi (ed.), Research Handbook on Human Rights and Investments, Elgar, 2018, pp. 93–136 [co-authored with M. Fanou]</w:t>
      </w:r>
    </w:p>
    <w:p w:rsidR="008C7ED3" w:rsidRPr="00550871" w:rsidRDefault="008C7ED3" w:rsidP="008C7ED3">
      <w:pPr>
        <w:pStyle w:val="Bullet1G"/>
        <w:numPr>
          <w:ilvl w:val="0"/>
          <w:numId w:val="23"/>
        </w:numPr>
      </w:pPr>
      <w:r w:rsidRPr="00550871">
        <w:t xml:space="preserve">Reparation of the Rights to Property and Home of Displaced Persons Arising from Armed Conflict under the European Convention on Human Rights. Falling Short of the Exigencies of International Law and the Humanistic Purpose of Human Rights in E. Katselli (ed.), </w:t>
      </w:r>
      <w:r w:rsidRPr="00550871">
        <w:rPr>
          <w:i/>
          <w:iCs/>
        </w:rPr>
        <w:t>The Rights of those Displaced by Armed Conflict in the Theory and Practice of Contemporary International Law</w:t>
      </w:r>
      <w:r w:rsidRPr="00550871">
        <w:t>, Routledge, 2018, pp. 84–114</w:t>
      </w:r>
    </w:p>
    <w:p w:rsidR="008C7ED3" w:rsidRPr="00550871" w:rsidRDefault="008C7ED3" w:rsidP="008C7ED3">
      <w:pPr>
        <w:pStyle w:val="Bullet1G"/>
        <w:numPr>
          <w:ilvl w:val="0"/>
          <w:numId w:val="23"/>
        </w:numPr>
      </w:pPr>
      <w:r w:rsidRPr="00550871">
        <w:t xml:space="preserve">The Strained, Elusive and Wide-Ranging Relationship between International Cultural Heritage Law and the Law of State Responsibility. From Collective Enforcement to Concurrent Responsibility in A. Chechi, M.A. Renold (eds.), </w:t>
      </w:r>
      <w:r w:rsidRPr="00550871">
        <w:rPr>
          <w:i/>
          <w:iCs/>
        </w:rPr>
        <w:t>Cultural Heritage Law and Ethics: Mapping Recent Developments</w:t>
      </w:r>
      <w:r w:rsidRPr="00550871">
        <w:t xml:space="preserve">, Études en droit de l’art / Studies in art law / Studien zum Kunstrecht 26, Schulthess – Éditions Romandes, 2017, pp. 7–43 [co-authored with L. Lixinski] </w:t>
      </w:r>
    </w:p>
    <w:p w:rsidR="008C7ED3" w:rsidRPr="00550871" w:rsidRDefault="008C7ED3" w:rsidP="008C7ED3">
      <w:pPr>
        <w:pStyle w:val="Bullet1G"/>
        <w:numPr>
          <w:ilvl w:val="0"/>
          <w:numId w:val="23"/>
        </w:numPr>
      </w:pPr>
      <w:r w:rsidRPr="00550871">
        <w:t xml:space="preserve">Human Security and Shared Responsibility to Fight Transnational Crimes: Resolution 2240 (2015) of the UN Security Council on Smuggling of Migrants and Human Trafficking off the Coast of Libya in </w:t>
      </w:r>
      <w:r w:rsidRPr="00550871">
        <w:rPr>
          <w:i/>
          <w:iCs/>
        </w:rPr>
        <w:t>Blurring Boundaries: Human Security and Forced Migration</w:t>
      </w:r>
      <w:r w:rsidRPr="00550871">
        <w:t xml:space="preserve">, S. Salomon, L. Heschl, G. Oberleitner and W. Benedek (eds.), Brill, 2017, pp. 99–121 </w:t>
      </w:r>
    </w:p>
    <w:p w:rsidR="008C7ED3" w:rsidRPr="00550871" w:rsidRDefault="008C7ED3" w:rsidP="008C7ED3">
      <w:pPr>
        <w:pStyle w:val="Bullet1G"/>
        <w:numPr>
          <w:ilvl w:val="0"/>
          <w:numId w:val="23"/>
        </w:numPr>
      </w:pPr>
      <w:r w:rsidRPr="00550871">
        <w:rPr>
          <w:i/>
          <w:iCs/>
        </w:rPr>
        <w:t>Juris Dicere</w:t>
      </w:r>
      <w:r w:rsidRPr="00550871">
        <w:t xml:space="preserve">: Custom as a Matrix, Custom as a Norm, and the Role of Judges and (Their) Ideology in Custom Making in </w:t>
      </w:r>
      <w:r w:rsidRPr="00550871">
        <w:rPr>
          <w:i/>
          <w:iCs/>
        </w:rPr>
        <w:t>Power of Legality: Practices of International Law and their Politics</w:t>
      </w:r>
      <w:r w:rsidRPr="00550871">
        <w:t xml:space="preserve">, N. Rajkovic, T. Aalberts and T. Gammeltoft-Hansen (eds.), CUP, 2016, pp. 188–208 </w:t>
      </w:r>
    </w:p>
    <w:p w:rsidR="008C7ED3" w:rsidRPr="00550871" w:rsidRDefault="008C7ED3" w:rsidP="008C7ED3">
      <w:pPr>
        <w:pStyle w:val="Bullet1G"/>
        <w:numPr>
          <w:ilvl w:val="0"/>
          <w:numId w:val="23"/>
        </w:numPr>
      </w:pPr>
      <w:r w:rsidRPr="00550871">
        <w:lastRenderedPageBreak/>
        <w:t xml:space="preserve">From the Internationalisation of National Constitutions to the “Constitutionalisation” of International Law in </w:t>
      </w:r>
      <w:r w:rsidRPr="00550871">
        <w:rPr>
          <w:i/>
          <w:iCs/>
        </w:rPr>
        <w:t>Fragmentation vs the Constitutionalisation of International Law</w:t>
      </w:r>
      <w:r w:rsidRPr="00550871">
        <w:t>, A. Jakubowski, K. Wierczyńska (eds.), Routledge, 2016, pp. 32–52 [co-authored with L. Lixinski]</w:t>
      </w:r>
    </w:p>
    <w:p w:rsidR="008C7ED3" w:rsidRPr="00550871" w:rsidRDefault="008C7ED3" w:rsidP="008C7ED3">
      <w:pPr>
        <w:pStyle w:val="Bullet1G"/>
        <w:numPr>
          <w:ilvl w:val="0"/>
          <w:numId w:val="23"/>
        </w:numPr>
      </w:pPr>
      <w:r w:rsidRPr="00550871">
        <w:t xml:space="preserve">The Making of International Human Rights Law in </w:t>
      </w:r>
      <w:r w:rsidRPr="00550871">
        <w:rPr>
          <w:i/>
          <w:iCs/>
        </w:rPr>
        <w:t>Research Handbook on the Theory and Practice of International Law-Making</w:t>
      </w:r>
      <w:r w:rsidRPr="00550871">
        <w:t>, C.M. Brölmann, Y. Radi (eds.), Edward Elgar, 2016, pp. 329–353</w:t>
      </w:r>
    </w:p>
    <w:p w:rsidR="008C7ED3" w:rsidRPr="00550871" w:rsidRDefault="008C7ED3" w:rsidP="008C7ED3">
      <w:pPr>
        <w:pStyle w:val="Bullet1G"/>
        <w:numPr>
          <w:ilvl w:val="0"/>
          <w:numId w:val="23"/>
        </w:numPr>
      </w:pPr>
      <w:r w:rsidRPr="00550871">
        <w:t xml:space="preserve">Beyond Responsibility to Protect. Ceci n’est pas une Pipe in </w:t>
      </w:r>
      <w:r w:rsidRPr="00550871">
        <w:rPr>
          <w:i/>
          <w:iCs/>
        </w:rPr>
        <w:t>Beyond Responsibility to Protect. Generating Change in International Law</w:t>
      </w:r>
      <w:r w:rsidRPr="00550871">
        <w:t>, R.A. Barnes, V.P. Tzevelekos (eds.), Intersentia, 2016, pp. 3–29 [co-authored with R. Barnes]</w:t>
      </w:r>
    </w:p>
    <w:p w:rsidR="008C7ED3" w:rsidRPr="00A419B6" w:rsidRDefault="008C7ED3" w:rsidP="008C7ED3">
      <w:pPr>
        <w:pStyle w:val="Bullet1G"/>
        <w:numPr>
          <w:ilvl w:val="0"/>
          <w:numId w:val="23"/>
        </w:numPr>
        <w:rPr>
          <w:lang w:val="fr-CH"/>
        </w:rPr>
      </w:pPr>
      <w:r w:rsidRPr="00550871">
        <w:tab/>
      </w:r>
      <w:r w:rsidRPr="00A419B6">
        <w:rPr>
          <w:lang w:val="fr-CH"/>
        </w:rPr>
        <w:t>Article 19 – in La convention de Vienne de 1978 sur la succession d’États en matière de traités. Commentaire article par article et études thématiques, Vol. 1, G. Di Stefano, G. Gaggioli, A. Hêche (eds.), 2016, pp. 709–733 [co-authored with P. Mavroidis]</w:t>
      </w:r>
    </w:p>
    <w:p w:rsidR="008C7ED3" w:rsidRPr="00550871" w:rsidRDefault="008C7ED3" w:rsidP="008C7ED3">
      <w:pPr>
        <w:pStyle w:val="Bullet1G"/>
        <w:numPr>
          <w:ilvl w:val="0"/>
          <w:numId w:val="23"/>
        </w:numPr>
      </w:pPr>
      <w:r w:rsidRPr="00550871">
        <w:t xml:space="preserve">The EU Accession to the ECHR </w:t>
      </w:r>
      <w:r w:rsidRPr="00550871">
        <w:rPr>
          <w:i/>
          <w:iCs/>
        </w:rPr>
        <w:t>Ante Portas</w:t>
      </w:r>
      <w:r w:rsidRPr="00550871">
        <w:t xml:space="preserve">: Questions Raised by Europe’s New Human Rights Architecture – in </w:t>
      </w:r>
      <w:r w:rsidRPr="00550871">
        <w:rPr>
          <w:i/>
          <w:iCs/>
        </w:rPr>
        <w:t>The EU Accession to the ECHR</w:t>
      </w:r>
      <w:r w:rsidRPr="00550871">
        <w:t>, V. Kosta, N. Skoutaris, V. Tzevelekos (eds.), Hart, 2014, pp. 1–14 [co-authored with V. Kosta and N. Skoutaris]</w:t>
      </w:r>
    </w:p>
    <w:p w:rsidR="008C7ED3" w:rsidRPr="00550871" w:rsidRDefault="008C7ED3" w:rsidP="008C7ED3">
      <w:pPr>
        <w:pStyle w:val="Bullet1G"/>
        <w:numPr>
          <w:ilvl w:val="0"/>
          <w:numId w:val="23"/>
        </w:numPr>
      </w:pPr>
      <w:r w:rsidRPr="00550871">
        <w:t xml:space="preserve">When Elephants Fight it is the Grass that Suffers. ‘Hegemonic Struggle’ in Europe and its Side-Effects for International Law in </w:t>
      </w:r>
      <w:r w:rsidRPr="00550871">
        <w:rPr>
          <w:i/>
          <w:iCs/>
        </w:rPr>
        <w:t>Human Rights Law in Europe: The Influence, Overlaps and Contradictions of the EU and the ECHR</w:t>
      </w:r>
      <w:r w:rsidRPr="00550871">
        <w:t>, K. Dzehtsiarou, T. Konstantinides, T. Lock and N. O’Meara (eds.), Routledge, 2014, pp. 9–34</w:t>
      </w:r>
    </w:p>
    <w:p w:rsidR="008C7ED3" w:rsidRPr="00550871" w:rsidRDefault="008C7ED3" w:rsidP="008C7ED3">
      <w:pPr>
        <w:pStyle w:val="Bullet1G"/>
        <w:numPr>
          <w:ilvl w:val="0"/>
          <w:numId w:val="23"/>
        </w:numPr>
      </w:pPr>
      <w:r w:rsidRPr="00550871">
        <w:t xml:space="preserve">Report on Greece in </w:t>
      </w:r>
      <w:r w:rsidRPr="00550871">
        <w:rPr>
          <w:i/>
          <w:iCs/>
        </w:rPr>
        <w:t>The National Judicial Treatment of the ECHR and EU Laws. A Constitutional Comparative Perspective</w:t>
      </w:r>
      <w:r w:rsidRPr="00550871">
        <w:t>, G. Martinico and O. Pollicino (eds.), Europa Law Publishing, Groningen, 2010, pp. 225–251 [co-authored with S. Vetsika]</w:t>
      </w:r>
    </w:p>
    <w:p w:rsidR="008C7ED3" w:rsidRPr="00550871" w:rsidRDefault="008C7ED3" w:rsidP="008C7ED3">
      <w:pPr>
        <w:pStyle w:val="H1G"/>
      </w:pPr>
      <w:r w:rsidRPr="00550871">
        <w:tab/>
        <w:t>E.</w:t>
      </w:r>
      <w:r w:rsidRPr="00550871">
        <w:tab/>
        <w:t>Case notes</w:t>
      </w:r>
    </w:p>
    <w:p w:rsidR="008C7ED3" w:rsidRPr="00550871" w:rsidRDefault="008C7ED3" w:rsidP="008C7ED3">
      <w:pPr>
        <w:pStyle w:val="SingleTxtG"/>
      </w:pPr>
      <w:r w:rsidRPr="00550871">
        <w:t xml:space="preserve">The </w:t>
      </w:r>
      <w:r w:rsidRPr="00550871">
        <w:rPr>
          <w:i/>
          <w:iCs/>
        </w:rPr>
        <w:t>Al-Dulimi</w:t>
      </w:r>
      <w:r w:rsidRPr="00550871">
        <w:t xml:space="preserve"> Case before the Grand Chamber of the European Court of Human Rights. Business as Usual? Test of Equivalent Protection, (Constitutional) Hierarchy and Systemic Integration – </w:t>
      </w:r>
      <w:r w:rsidRPr="00550871">
        <w:rPr>
          <w:i/>
          <w:iCs/>
        </w:rPr>
        <w:t>Questions of International Law</w:t>
      </w:r>
      <w:r w:rsidRPr="00550871">
        <w:t xml:space="preserve">, Zoom-In 38, 2017, pp. 5–34 </w:t>
      </w:r>
    </w:p>
    <w:p w:rsidR="008C7ED3" w:rsidRPr="00550871" w:rsidRDefault="008C7ED3" w:rsidP="008C7ED3">
      <w:pPr>
        <w:pStyle w:val="SingleTxtG"/>
      </w:pPr>
      <w:r w:rsidRPr="00550871">
        <w:t xml:space="preserve">ECtHR, </w:t>
      </w:r>
      <w:r w:rsidRPr="00550871">
        <w:rPr>
          <w:i/>
          <w:iCs/>
        </w:rPr>
        <w:t>Serif v. Greece – Efarmoges Dimosiou Dikaiou</w:t>
      </w:r>
      <w:r w:rsidRPr="00550871">
        <w:t>, 2000, pp. 115–129 [in Greek]</w:t>
      </w:r>
    </w:p>
    <w:p w:rsidR="008C7ED3" w:rsidRPr="00550871" w:rsidRDefault="008C7ED3" w:rsidP="008C7ED3">
      <w:pPr>
        <w:pStyle w:val="SingleTxtG"/>
      </w:pPr>
      <w:r w:rsidRPr="00550871">
        <w:t xml:space="preserve">ECtHR, </w:t>
      </w:r>
      <w:r w:rsidRPr="00550871">
        <w:rPr>
          <w:i/>
          <w:iCs/>
        </w:rPr>
        <w:t>Tsavachidis v. Greece – Efarmoges Dimosiou Dikaiou</w:t>
      </w:r>
      <w:r w:rsidRPr="00550871">
        <w:t>, 1999, pp. 325–336 [in Greek]</w:t>
      </w:r>
    </w:p>
    <w:p w:rsidR="008C7ED3" w:rsidRPr="00550871" w:rsidRDefault="008C7ED3" w:rsidP="008C7ED3">
      <w:pPr>
        <w:pStyle w:val="H1G"/>
      </w:pPr>
      <w:r w:rsidRPr="00550871">
        <w:tab/>
        <w:t>F.</w:t>
      </w:r>
      <w:r w:rsidRPr="00550871">
        <w:tab/>
        <w:t>Encyclopedias</w:t>
      </w:r>
    </w:p>
    <w:p w:rsidR="008C7ED3" w:rsidRPr="00550871" w:rsidRDefault="008C7ED3" w:rsidP="008C7ED3">
      <w:pPr>
        <w:pStyle w:val="SingleTxtG"/>
      </w:pPr>
      <w:r w:rsidRPr="00550871">
        <w:t xml:space="preserve">Standing: European Court of Human Rights (ECtHR) – </w:t>
      </w:r>
      <w:r w:rsidRPr="00550871">
        <w:rPr>
          <w:i/>
          <w:iCs/>
        </w:rPr>
        <w:t>Max Planck Encyclopedia of International Procedural Law</w:t>
      </w:r>
      <w:r w:rsidRPr="00550871">
        <w:t>, December 2019</w:t>
      </w:r>
    </w:p>
    <w:p w:rsidR="008C7ED3" w:rsidRPr="00550871" w:rsidRDefault="008C7ED3" w:rsidP="008C7ED3">
      <w:pPr>
        <w:pStyle w:val="H1G"/>
      </w:pPr>
      <w:r w:rsidRPr="00550871">
        <w:tab/>
        <w:t>G.</w:t>
      </w:r>
      <w:r w:rsidRPr="00550871">
        <w:tab/>
        <w:t>Book reviews</w:t>
      </w:r>
    </w:p>
    <w:p w:rsidR="008C7ED3" w:rsidRPr="00550871" w:rsidRDefault="008C7ED3" w:rsidP="008C7ED3">
      <w:pPr>
        <w:pStyle w:val="SingleTxtG"/>
      </w:pPr>
      <w:r w:rsidRPr="00550871">
        <w:t>M. Beham, State Interest and the Sources of International Law: Doctrine, Morality, and Non-Treaty Law, Routledge, 2018 – International Community Law Review, vol. 21, 2019, pp. 485–489</w:t>
      </w:r>
    </w:p>
    <w:p w:rsidR="008C7ED3" w:rsidRPr="00550871" w:rsidRDefault="008C7ED3" w:rsidP="008C7ED3">
      <w:pPr>
        <w:pStyle w:val="SingleTxtG"/>
      </w:pPr>
      <w:r w:rsidRPr="00550871">
        <w:t xml:space="preserve">K. Dzehtsiarou, European Consensus and the Legitimacy of the European Court of Human Rights, Cambridge University Press, 2015 – Common Market Law Review, vol. 53, 2016, pp. 1145–1148 </w:t>
      </w:r>
    </w:p>
    <w:p w:rsidR="008C7ED3" w:rsidRPr="00550871" w:rsidRDefault="008C7ED3" w:rsidP="008C7ED3">
      <w:pPr>
        <w:pStyle w:val="SingleTxtG"/>
      </w:pPr>
      <w:r w:rsidRPr="00550871">
        <w:t xml:space="preserve">A. Sarvarian, Professional Ethics at the International Bar, Oxford University Press, 2013 – International and Comparative Law Quarterly, vol. 64, 2015, pp. 977–978 </w:t>
      </w:r>
    </w:p>
    <w:p w:rsidR="008C7ED3" w:rsidRPr="00550871" w:rsidRDefault="008C7ED3" w:rsidP="008C7ED3">
      <w:pPr>
        <w:pStyle w:val="SingleTxtG"/>
      </w:pPr>
      <w:r w:rsidRPr="00550871">
        <w:lastRenderedPageBreak/>
        <w:t>F. Fontanelli, G. Martinico, P. Carrozza (eds.), Shaping Rule of Law through Dialogue, Europa Law Publishing, 2009 – Common Market Law Review, vol. 47, 2010, pp. 1559–1561</w:t>
      </w:r>
    </w:p>
    <w:p w:rsidR="008C7ED3" w:rsidRPr="00550871" w:rsidRDefault="008C7ED3" w:rsidP="008C7ED3">
      <w:pPr>
        <w:pStyle w:val="H1G"/>
      </w:pPr>
      <w:r w:rsidRPr="00550871">
        <w:tab/>
        <w:t>H.</w:t>
      </w:r>
      <w:r w:rsidRPr="00550871">
        <w:tab/>
        <w:t>Notes in academic blogs</w:t>
      </w:r>
    </w:p>
    <w:p w:rsidR="008C7ED3" w:rsidRPr="00550871" w:rsidRDefault="008C7ED3" w:rsidP="008C7ED3">
      <w:pPr>
        <w:pStyle w:val="SingleTxtG"/>
      </w:pPr>
      <w:r w:rsidRPr="00550871">
        <w:t xml:space="preserve">The Hagia Sophia, Secularism, and International Cultural Heritage Law – </w:t>
      </w:r>
      <w:r w:rsidRPr="00550871">
        <w:rPr>
          <w:i/>
          <w:iCs/>
        </w:rPr>
        <w:t>ASIL Insights</w:t>
      </w:r>
      <w:r w:rsidRPr="00550871">
        <w:t>, September 2020, vol. 24, issue 25, https://www.asil.org/insights/volume/24/issue/25/hagia-sophia-secularism-and-international-cultural-heritage-law [co-authored with L. Lixinski]</w:t>
      </w:r>
    </w:p>
    <w:p w:rsidR="008C7ED3" w:rsidRPr="00550871" w:rsidRDefault="008C7ED3" w:rsidP="008C7ED3">
      <w:pPr>
        <w:pStyle w:val="SingleTxtG"/>
      </w:pPr>
      <w:r w:rsidRPr="00550871">
        <w:t xml:space="preserve">A Way for the ECtHR to Foster the Domestic Oversight of Emergency Measures Against the Pandemic: Procedural Rationality’s Special Mission – </w:t>
      </w:r>
      <w:r w:rsidRPr="00550871">
        <w:rPr>
          <w:i/>
          <w:iCs/>
        </w:rPr>
        <w:t>The ECHR Blog</w:t>
      </w:r>
      <w:r w:rsidRPr="00550871">
        <w:t xml:space="preserve">, May 2020, </w:t>
      </w:r>
      <w:hyperlink r:id="rId9" w:history="1">
        <w:r w:rsidRPr="00550871">
          <w:t>http://echrblog.blogspot.com/2020/05/guest-post-on-european-court-domestic_26.html</w:t>
        </w:r>
      </w:hyperlink>
      <w:r w:rsidRPr="00550871">
        <w:t xml:space="preserve"> [co-authored with K. Istrefi]</w:t>
      </w:r>
    </w:p>
    <w:p w:rsidR="008C7ED3" w:rsidRPr="00550871" w:rsidRDefault="008C7ED3" w:rsidP="008C7ED3">
      <w:pPr>
        <w:pStyle w:val="SingleTxtG"/>
      </w:pPr>
      <w:r w:rsidRPr="00550871">
        <w:t xml:space="preserve">Herd Immunity and Lockdown: The Legitimacy of National Policies Against the Pandemic and Judicial Self-Restraint by the ECtHR – </w:t>
      </w:r>
      <w:r w:rsidRPr="00550871">
        <w:rPr>
          <w:i/>
          <w:iCs/>
        </w:rPr>
        <w:t>Strasbourg Observers</w:t>
      </w:r>
      <w:r w:rsidRPr="00550871">
        <w:t>, May 2020, https://strasbourgobservers.com/2020/05/11/herd-immunity-and-lockdown-the-legitimacy-of-national-policies-against-the-pandemic-and-judicial-self-restraint-by-the-ecthr/</w:t>
      </w:r>
    </w:p>
    <w:p w:rsidR="008C7ED3" w:rsidRPr="00550871" w:rsidRDefault="008C7ED3" w:rsidP="008C7ED3">
      <w:pPr>
        <w:pStyle w:val="SingleTxtG"/>
      </w:pPr>
      <w:r w:rsidRPr="00550871">
        <w:t xml:space="preserve">Respect and Protection of International Law Beyond the Borders (of Human Rights) – </w:t>
      </w:r>
      <w:r w:rsidRPr="00550871">
        <w:rPr>
          <w:i/>
          <w:iCs/>
        </w:rPr>
        <w:t>Völkerrechtsblog</w:t>
      </w:r>
      <w:r w:rsidRPr="00550871">
        <w:t xml:space="preserve">, June 2015, http://voelkerrechtsblog.org/respect-and-protection-of-international-law-beyond-the-borders-of-human-rights/ </w:t>
      </w:r>
    </w:p>
    <w:p w:rsidR="008C7ED3" w:rsidRPr="00550871" w:rsidRDefault="008C7ED3" w:rsidP="008C7ED3">
      <w:pPr>
        <w:pStyle w:val="H1G"/>
      </w:pPr>
      <w:r w:rsidRPr="00550871">
        <w:tab/>
        <w:t>I.</w:t>
      </w:r>
      <w:r w:rsidRPr="00550871">
        <w:tab/>
        <w:t>Editorial notes</w:t>
      </w:r>
    </w:p>
    <w:p w:rsidR="008C7ED3" w:rsidRPr="00550871" w:rsidRDefault="008C7ED3" w:rsidP="008C7ED3">
      <w:pPr>
        <w:pStyle w:val="SingleTxtG"/>
      </w:pPr>
      <w:r w:rsidRPr="00550871">
        <w:t xml:space="preserve">The Conscience of Europe that Landed in Strasbourg: A Circle of Life of the European Court of Human Rights – </w:t>
      </w:r>
      <w:r w:rsidRPr="00550871">
        <w:rPr>
          <w:i/>
          <w:iCs/>
        </w:rPr>
        <w:t>European Convention on Human Rights Law Review</w:t>
      </w:r>
      <w:r w:rsidRPr="00550871">
        <w:t>, vol. 1(1), 2020, pp. 1–6 [co-authored with K. Dzehtsiarou]</w:t>
      </w:r>
    </w:p>
    <w:p w:rsidR="008C7ED3" w:rsidRPr="00550871" w:rsidRDefault="008C7ED3" w:rsidP="008C7ED3">
      <w:pPr>
        <w:pStyle w:val="SingleTxtG"/>
      </w:pPr>
      <w:r w:rsidRPr="00550871">
        <w:t xml:space="preserve">Normal as Usual? Human Rights in Times of Covid-19 – </w:t>
      </w:r>
      <w:r w:rsidRPr="00550871">
        <w:rPr>
          <w:i/>
          <w:iCs/>
        </w:rPr>
        <w:t>European Convention on Human Rights Law Review</w:t>
      </w:r>
      <w:r w:rsidRPr="00550871">
        <w:t>, vol. 1(2), 2020, pp. 141–149 [co-authored with K. Dzehtsiarou]</w:t>
      </w:r>
    </w:p>
    <w:p w:rsidR="008C7ED3" w:rsidRPr="00550871" w:rsidRDefault="008C7ED3" w:rsidP="008C7ED3">
      <w:pPr>
        <w:pStyle w:val="H1G"/>
      </w:pPr>
      <w:r w:rsidRPr="00550871">
        <w:tab/>
        <w:t>J.</w:t>
      </w:r>
      <w:r w:rsidRPr="00550871">
        <w:tab/>
        <w:t>Forthcoming publications</w:t>
      </w:r>
    </w:p>
    <w:p w:rsidR="008C7ED3" w:rsidRPr="00550871" w:rsidRDefault="008C7ED3" w:rsidP="008C7ED3">
      <w:pPr>
        <w:pStyle w:val="SingleTxtG"/>
      </w:pPr>
      <w:r w:rsidRPr="00550871">
        <w:t xml:space="preserve">Sociological Objectivism: Still Relevant? – in R. Deplano, N. Tsagourias (eds.), </w:t>
      </w:r>
      <w:r w:rsidRPr="00550871">
        <w:rPr>
          <w:i/>
          <w:iCs/>
        </w:rPr>
        <w:t>Research Methods in International Law: A Handbook</w:t>
      </w:r>
      <w:r w:rsidRPr="00550871">
        <w:t>, 2020 [co-authored with A. Berkes, 12.000 words]</w:t>
      </w:r>
    </w:p>
    <w:p w:rsidR="008C7ED3" w:rsidRPr="00550871" w:rsidRDefault="008C7ED3" w:rsidP="008C7ED3">
      <w:pPr>
        <w:pStyle w:val="H1G"/>
      </w:pPr>
      <w:r w:rsidRPr="00550871">
        <w:tab/>
        <w:t>K.</w:t>
      </w:r>
      <w:r w:rsidRPr="00550871">
        <w:tab/>
        <w:t>Articles/notes in non-academic journals</w:t>
      </w:r>
    </w:p>
    <w:p w:rsidR="008C7ED3" w:rsidRPr="00550871" w:rsidRDefault="008C7ED3" w:rsidP="008C7ED3">
      <w:pPr>
        <w:pStyle w:val="SingleTxtG"/>
      </w:pPr>
      <w:r w:rsidRPr="00550871">
        <w:t xml:space="preserve">A First Assessment of the Agreement Settling the Macedonia Name Dispute, Portal of </w:t>
      </w:r>
      <w:r w:rsidRPr="00550871">
        <w:rPr>
          <w:i/>
          <w:iCs/>
        </w:rPr>
        <w:t>The Books’ Journal</w:t>
      </w:r>
      <w:r w:rsidRPr="00550871">
        <w:t>, 07-07-2018, http://booksjournal.gr/γνώμες/item/2761-makedoniko-mia-prvth-apotimhsh [in Greek, a detailed commentary of the Prespa Agreement settling the naming dispute between Greece and North Macedonia]</w:t>
      </w:r>
    </w:p>
    <w:p w:rsidR="008C7ED3" w:rsidRPr="00550871" w:rsidRDefault="008C7ED3" w:rsidP="008C7ED3">
      <w:pPr>
        <w:pStyle w:val="SingleTxtG"/>
      </w:pPr>
      <w:r w:rsidRPr="00550871">
        <w:t xml:space="preserve">The Turkish Asylum Seekers and Greece’s Stance, Portal of </w:t>
      </w:r>
      <w:r w:rsidRPr="00550871">
        <w:rPr>
          <w:i/>
          <w:iCs/>
        </w:rPr>
        <w:t>The Books’ Journal</w:t>
      </w:r>
      <w:r w:rsidRPr="00550871">
        <w:t>, 04-01-2017, http://booksjournal.gr/index.php?option=com_k2&amp;view=item&amp;id=2476:oi-tourkoi-iketes-kai-to-agos-ths-elladas&amp;Itemid=365 [in Greek, on non-refoulement and the duty of the Greek state to refrain from extraditing the Turkish military personnel who allegedly participated at the Turkish coup of July 15, 2016]</w:t>
      </w:r>
    </w:p>
    <w:p w:rsidR="008C7ED3" w:rsidRPr="00550871" w:rsidRDefault="008C7ED3" w:rsidP="008C7ED3">
      <w:pPr>
        <w:pStyle w:val="SingleTxtG"/>
      </w:pPr>
      <w:r w:rsidRPr="00550871">
        <w:t xml:space="preserve">WWII Reparations by Germany, </w:t>
      </w:r>
      <w:r w:rsidRPr="00550871">
        <w:rPr>
          <w:i/>
          <w:iCs/>
        </w:rPr>
        <w:t>The Books’ Journal</w:t>
      </w:r>
      <w:r w:rsidRPr="00550871">
        <w:t xml:space="preserve">, vol. 54, 2015, pp. 24–27 [in Greek] </w:t>
      </w:r>
    </w:p>
    <w:p w:rsidR="008C7ED3" w:rsidRPr="00550871" w:rsidRDefault="008C7ED3" w:rsidP="008C7ED3">
      <w:pPr>
        <w:pStyle w:val="SingleTxtG"/>
      </w:pPr>
      <w:r w:rsidRPr="00550871">
        <w:t xml:space="preserve">The Greek Constitution: What Ought to Be Changed, </w:t>
      </w:r>
      <w:r w:rsidRPr="00550871">
        <w:rPr>
          <w:i/>
          <w:iCs/>
        </w:rPr>
        <w:t>The Books’ Journal</w:t>
      </w:r>
      <w:r w:rsidRPr="00550871">
        <w:t>, vol. 50, 2014, pp. 20–30 [in Greek, co-authored with E. Dinas, A. Georgopoulos, D. Kagiaros and N. Konstantinidis]</w:t>
      </w:r>
    </w:p>
    <w:p w:rsidR="008C7ED3" w:rsidRPr="00550871" w:rsidRDefault="008C7ED3" w:rsidP="008C7ED3">
      <w:pPr>
        <w:pStyle w:val="SingleTxtG"/>
      </w:pPr>
      <w:r w:rsidRPr="00550871">
        <w:t xml:space="preserve">Hell is Us: Three Arguments Regarding the ECtHR Judgment on the Exclusion of Same-Sex Couples from Civil Partnership Legislation in Greece, </w:t>
      </w:r>
      <w:r w:rsidRPr="00550871">
        <w:rPr>
          <w:i/>
          <w:iCs/>
        </w:rPr>
        <w:t>The Books’ Journal</w:t>
      </w:r>
      <w:r w:rsidRPr="00550871">
        <w:t xml:space="preserve">, vol. 39, </w:t>
      </w:r>
      <w:r w:rsidRPr="00550871">
        <w:lastRenderedPageBreak/>
        <w:t>2014, http://booksjournal.gr/παρεμβάσεις/item/65-η-κόλαση-είμαστε-εμείς [in Greek, co-authored with P. Kapotas]</w:t>
      </w:r>
    </w:p>
    <w:p w:rsidR="008C7ED3" w:rsidRPr="00550871" w:rsidRDefault="008C7ED3" w:rsidP="008C7ED3">
      <w:pPr>
        <w:pStyle w:val="SingleTxtG"/>
      </w:pPr>
      <w:r w:rsidRPr="00550871">
        <w:t xml:space="preserve">When the Elephant in the Room Can No More Be Ignored: Black Violence, Red Excuses, Means and Ends in a Quasi-Failed State, </w:t>
      </w:r>
      <w:r w:rsidRPr="00550871">
        <w:rPr>
          <w:i/>
          <w:iCs/>
        </w:rPr>
        <w:t>Anamorfosis</w:t>
      </w:r>
      <w:r w:rsidRPr="00550871">
        <w:t>, 29-11-2012, http://anamorfosis.net/blog/?author=481 [in Greek, on means of democratic reaction against extremist political parties]</w:t>
      </w:r>
    </w:p>
    <w:p w:rsidR="008C7ED3" w:rsidRPr="00550871" w:rsidRDefault="008C7ED3" w:rsidP="008C7ED3">
      <w:pPr>
        <w:pStyle w:val="SingleTxtG"/>
      </w:pPr>
      <w:r w:rsidRPr="00550871">
        <w:rPr>
          <w:i/>
          <w:iCs/>
        </w:rPr>
        <w:t>Ibis redibis non morieris in bello</w:t>
      </w:r>
      <w:r w:rsidRPr="00550871">
        <w:t xml:space="preserve">. The ICJ Advisory Opinion on Kosovo’s Declaration of Independence, </w:t>
      </w:r>
      <w:r w:rsidRPr="00550871">
        <w:rPr>
          <w:i/>
          <w:iCs/>
        </w:rPr>
        <w:t>Revma</w:t>
      </w:r>
      <w:r w:rsidRPr="00550871">
        <w:t>, vol. 8, 2010, pp. 48–51 [in Greek]</w:t>
      </w:r>
    </w:p>
    <w:p w:rsidR="008C7ED3" w:rsidRPr="00550871" w:rsidRDefault="008C7ED3" w:rsidP="008C7ED3">
      <w:pPr>
        <w:pStyle w:val="SingleTxtG"/>
      </w:pPr>
      <w:r w:rsidRPr="00550871">
        <w:t xml:space="preserve">Towards a “Parliamentarisation” of the EU?, </w:t>
      </w:r>
      <w:r w:rsidRPr="00550871">
        <w:rPr>
          <w:i/>
          <w:iCs/>
        </w:rPr>
        <w:t>Evropaiki Ekfrassi</w:t>
      </w:r>
      <w:r w:rsidRPr="00550871">
        <w:t>, vol. 66, 2007, pp. 39–44</w:t>
      </w:r>
    </w:p>
    <w:p w:rsidR="008C7ED3" w:rsidRPr="00550871" w:rsidRDefault="008C7ED3" w:rsidP="008C7ED3">
      <w:pPr>
        <w:pStyle w:val="SingleTxtG"/>
      </w:pPr>
      <w:r w:rsidRPr="00550871">
        <w:t xml:space="preserve">An Eventual Cyprus Accession to the EU as a Driving Force towards the Settlement of the Cyprus Issue, </w:t>
      </w:r>
      <w:r w:rsidRPr="00550871">
        <w:rPr>
          <w:i/>
          <w:iCs/>
        </w:rPr>
        <w:t>Evropaiki Ekfrassi</w:t>
      </w:r>
      <w:r w:rsidRPr="00550871">
        <w:t>, 2003, vol. 48, pp. 13–17 [in Greek]</w:t>
      </w:r>
    </w:p>
    <w:p w:rsidR="00446FE5" w:rsidRPr="008C7ED3" w:rsidRDefault="00446FE5" w:rsidP="00B55090"/>
    <w:sectPr w:rsidR="00446FE5" w:rsidRPr="008C7ED3" w:rsidSect="00382A1F">
      <w:endnotePr>
        <w:numFmt w:val="decimal"/>
      </w:endnotePr>
      <w:pgSz w:w="11906" w:h="16838" w:code="9"/>
      <w:pgMar w:top="1418" w:right="1134" w:bottom="1134" w:left="1134"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7ED3" w:rsidRDefault="008C7ED3" w:rsidP="00F95C08"/>
  </w:endnote>
  <w:endnote w:type="continuationSeparator" w:id="0">
    <w:p w:rsidR="008C7ED3" w:rsidRPr="00AC3823" w:rsidRDefault="008C7ED3" w:rsidP="00AC3823">
      <w:pPr>
        <w:pStyle w:val="Footer"/>
      </w:pPr>
    </w:p>
  </w:endnote>
  <w:endnote w:type="continuationNotice" w:id="1">
    <w:p w:rsidR="008C7ED3" w:rsidRDefault="008C7E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7ED3" w:rsidRPr="00AC3823" w:rsidRDefault="008C7ED3" w:rsidP="00AC3823">
      <w:pPr>
        <w:pStyle w:val="Footer"/>
        <w:tabs>
          <w:tab w:val="right" w:pos="2155"/>
        </w:tabs>
        <w:spacing w:after="80"/>
        <w:ind w:left="680"/>
        <w:rPr>
          <w:u w:val="single"/>
        </w:rPr>
      </w:pPr>
      <w:r>
        <w:rPr>
          <w:u w:val="single"/>
        </w:rPr>
        <w:tab/>
      </w:r>
    </w:p>
  </w:footnote>
  <w:footnote w:type="continuationSeparator" w:id="0">
    <w:p w:rsidR="008C7ED3" w:rsidRPr="00AC3823" w:rsidRDefault="008C7ED3" w:rsidP="00AC3823">
      <w:pPr>
        <w:pStyle w:val="Footer"/>
        <w:tabs>
          <w:tab w:val="right" w:pos="2155"/>
        </w:tabs>
        <w:spacing w:after="80"/>
        <w:ind w:left="680"/>
        <w:rPr>
          <w:u w:val="single"/>
        </w:rPr>
      </w:pPr>
      <w:r>
        <w:rPr>
          <w:u w:val="single"/>
        </w:rPr>
        <w:tab/>
      </w:r>
    </w:p>
  </w:footnote>
  <w:footnote w:type="continuationNotice" w:id="1">
    <w:p w:rsidR="008C7ED3" w:rsidRPr="00AC3823" w:rsidRDefault="008C7ED3">
      <w:pPr>
        <w:rPr>
          <w:sz w:val="2"/>
          <w:szCs w:val="2"/>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834EEA8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B0844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D5003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44CBCB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4A6243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F9AED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A9AA6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1AE61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45C69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B0402C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0C49F8"/>
    <w:multiLevelType w:val="hybridMultilevel"/>
    <w:tmpl w:val="FFD08D26"/>
    <w:lvl w:ilvl="0" w:tplc="2FB47626">
      <w:start w:val="1"/>
      <w:numFmt w:val="decimal"/>
      <w:pStyle w:val="ParaNoG"/>
      <w:lvlText w:val="%1."/>
      <w:lvlJc w:val="left"/>
      <w:pPr>
        <w:tabs>
          <w:tab w:val="num" w:pos="0"/>
        </w:tabs>
        <w:ind w:left="1134" w:firstLine="0"/>
      </w:pPr>
      <w:rPr>
        <w:rFonts w:ascii="Times New Roman" w:hAnsi="Times New Roman"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3F2036B"/>
    <w:multiLevelType w:val="hybridMultilevel"/>
    <w:tmpl w:val="B22E0BFA"/>
    <w:lvl w:ilvl="0" w:tplc="9008FA9E">
      <w:start w:val="1"/>
      <w:numFmt w:val="bullet"/>
      <w:pStyle w:val="Bullet1G"/>
      <w:lvlText w:val="•"/>
      <w:lvlJc w:val="left"/>
      <w:pPr>
        <w:tabs>
          <w:tab w:val="num" w:pos="1701"/>
        </w:tabs>
        <w:ind w:left="1701" w:hanging="170"/>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D954887"/>
    <w:multiLevelType w:val="hybridMultilevel"/>
    <w:tmpl w:val="5A48E46A"/>
    <w:lvl w:ilvl="0" w:tplc="F560206C">
      <w:start w:val="1"/>
      <w:numFmt w:val="decimal"/>
      <w:pStyle w:val="ParNoG"/>
      <w:lvlText w:val="%1."/>
      <w:lvlJc w:val="left"/>
      <w:pPr>
        <w:tabs>
          <w:tab w:val="num" w:pos="1701"/>
        </w:tabs>
        <w:ind w:left="1134" w:firstLine="0"/>
      </w:pPr>
      <w:rPr>
        <w:rFonts w:ascii="Times New Roman" w:hAnsi="Times New Roman" w:hint="default"/>
        <w:b w:val="0"/>
        <w:i w:val="0"/>
        <w:sz w:val="2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3" w15:restartNumberingAfterBreak="0">
    <w:nsid w:val="15DD6575"/>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1E253887"/>
    <w:multiLevelType w:val="hybridMultilevel"/>
    <w:tmpl w:val="497EC7CC"/>
    <w:lvl w:ilvl="0" w:tplc="FAE4B376">
      <w:start w:val="1"/>
      <w:numFmt w:val="bullet"/>
      <w:lvlText w:val="•"/>
      <w:lvlJc w:val="left"/>
      <w:pPr>
        <w:tabs>
          <w:tab w:val="num" w:pos="2268"/>
        </w:tabs>
        <w:ind w:left="2268" w:hanging="17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1A12325"/>
    <w:multiLevelType w:val="hybridMultilevel"/>
    <w:tmpl w:val="FF0E5B48"/>
    <w:lvl w:ilvl="0" w:tplc="6D5E22D8">
      <w:start w:val="1"/>
      <w:numFmt w:val="bullet"/>
      <w:lvlText w:val="•"/>
      <w:lvlJc w:val="left"/>
      <w:pPr>
        <w:tabs>
          <w:tab w:val="num" w:pos="1701"/>
        </w:tabs>
        <w:ind w:left="1701" w:hanging="170"/>
      </w:pPr>
      <w:rPr>
        <w:rFonts w:ascii="Times New Roman" w:hAnsi="Times New Roman" w:cs="Times New Roman" w:hint="default"/>
        <w:b w:val="0"/>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ACF4EB2"/>
    <w:multiLevelType w:val="hybridMultilevel"/>
    <w:tmpl w:val="3F2CCC0E"/>
    <w:lvl w:ilvl="0" w:tplc="78607ACC">
      <w:start w:val="1"/>
      <w:numFmt w:val="bullet"/>
      <w:pStyle w:val="Bullet2G"/>
      <w:lvlText w:val="•"/>
      <w:lvlJc w:val="left"/>
      <w:pPr>
        <w:tabs>
          <w:tab w:val="num" w:pos="2268"/>
        </w:tabs>
        <w:ind w:left="2268" w:hanging="170"/>
      </w:pPr>
      <w:rPr>
        <w:rFonts w:ascii="Times New Roman" w:hAnsi="Times New Roman" w:cs="Times New Roman" w:hint="default"/>
      </w:rPr>
    </w:lvl>
    <w:lvl w:ilvl="1" w:tplc="040C0003" w:tentative="1">
      <w:start w:val="1"/>
      <w:numFmt w:val="bullet"/>
      <w:lvlText w:val="o"/>
      <w:lvlJc w:val="left"/>
      <w:pPr>
        <w:tabs>
          <w:tab w:val="num" w:pos="3708"/>
        </w:tabs>
        <w:ind w:left="3708" w:hanging="360"/>
      </w:pPr>
      <w:rPr>
        <w:rFonts w:ascii="Courier New" w:hAnsi="Courier New" w:hint="default"/>
      </w:rPr>
    </w:lvl>
    <w:lvl w:ilvl="2" w:tplc="040C0005" w:tentative="1">
      <w:start w:val="1"/>
      <w:numFmt w:val="bullet"/>
      <w:lvlText w:val=""/>
      <w:lvlJc w:val="left"/>
      <w:pPr>
        <w:tabs>
          <w:tab w:val="num" w:pos="4428"/>
        </w:tabs>
        <w:ind w:left="4428" w:hanging="360"/>
      </w:pPr>
      <w:rPr>
        <w:rFonts w:ascii="Wingdings" w:hAnsi="Wingdings" w:hint="default"/>
      </w:rPr>
    </w:lvl>
    <w:lvl w:ilvl="3" w:tplc="040C0001" w:tentative="1">
      <w:start w:val="1"/>
      <w:numFmt w:val="bullet"/>
      <w:lvlText w:val=""/>
      <w:lvlJc w:val="left"/>
      <w:pPr>
        <w:tabs>
          <w:tab w:val="num" w:pos="5148"/>
        </w:tabs>
        <w:ind w:left="5148" w:hanging="360"/>
      </w:pPr>
      <w:rPr>
        <w:rFonts w:ascii="Symbol" w:hAnsi="Symbol" w:hint="default"/>
      </w:rPr>
    </w:lvl>
    <w:lvl w:ilvl="4" w:tplc="040C0003" w:tentative="1">
      <w:start w:val="1"/>
      <w:numFmt w:val="bullet"/>
      <w:lvlText w:val="o"/>
      <w:lvlJc w:val="left"/>
      <w:pPr>
        <w:tabs>
          <w:tab w:val="num" w:pos="5868"/>
        </w:tabs>
        <w:ind w:left="5868" w:hanging="360"/>
      </w:pPr>
      <w:rPr>
        <w:rFonts w:ascii="Courier New" w:hAnsi="Courier New" w:hint="default"/>
      </w:rPr>
    </w:lvl>
    <w:lvl w:ilvl="5" w:tplc="040C0005" w:tentative="1">
      <w:start w:val="1"/>
      <w:numFmt w:val="bullet"/>
      <w:lvlText w:val=""/>
      <w:lvlJc w:val="left"/>
      <w:pPr>
        <w:tabs>
          <w:tab w:val="num" w:pos="6588"/>
        </w:tabs>
        <w:ind w:left="6588" w:hanging="360"/>
      </w:pPr>
      <w:rPr>
        <w:rFonts w:ascii="Wingdings" w:hAnsi="Wingdings" w:hint="default"/>
      </w:rPr>
    </w:lvl>
    <w:lvl w:ilvl="6" w:tplc="040C0001" w:tentative="1">
      <w:start w:val="1"/>
      <w:numFmt w:val="bullet"/>
      <w:lvlText w:val=""/>
      <w:lvlJc w:val="left"/>
      <w:pPr>
        <w:tabs>
          <w:tab w:val="num" w:pos="7308"/>
        </w:tabs>
        <w:ind w:left="7308" w:hanging="360"/>
      </w:pPr>
      <w:rPr>
        <w:rFonts w:ascii="Symbol" w:hAnsi="Symbol" w:hint="default"/>
      </w:rPr>
    </w:lvl>
    <w:lvl w:ilvl="7" w:tplc="040C0003" w:tentative="1">
      <w:start w:val="1"/>
      <w:numFmt w:val="bullet"/>
      <w:lvlText w:val="o"/>
      <w:lvlJc w:val="left"/>
      <w:pPr>
        <w:tabs>
          <w:tab w:val="num" w:pos="8028"/>
        </w:tabs>
        <w:ind w:left="8028" w:hanging="360"/>
      </w:pPr>
      <w:rPr>
        <w:rFonts w:ascii="Courier New" w:hAnsi="Courier New" w:hint="default"/>
      </w:rPr>
    </w:lvl>
    <w:lvl w:ilvl="8" w:tplc="040C0005" w:tentative="1">
      <w:start w:val="1"/>
      <w:numFmt w:val="bullet"/>
      <w:lvlText w:val=""/>
      <w:lvlJc w:val="left"/>
      <w:pPr>
        <w:tabs>
          <w:tab w:val="num" w:pos="8748"/>
        </w:tabs>
        <w:ind w:left="8748" w:hanging="360"/>
      </w:pPr>
      <w:rPr>
        <w:rFonts w:ascii="Wingdings" w:hAnsi="Wingdings" w:hint="default"/>
      </w:rPr>
    </w:lvl>
  </w:abstractNum>
  <w:abstractNum w:abstractNumId="17" w15:restartNumberingAfterBreak="0">
    <w:nsid w:val="5E41230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06677A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9" w15:restartNumberingAfterBreak="0">
    <w:nsid w:val="63C95284"/>
    <w:multiLevelType w:val="hybridMultilevel"/>
    <w:tmpl w:val="B4A01022"/>
    <w:lvl w:ilvl="0" w:tplc="A7C84148">
      <w:start w:val="1"/>
      <w:numFmt w:val="decimal"/>
      <w:lvlText w:val="%1."/>
      <w:lvlJc w:val="left"/>
      <w:pPr>
        <w:ind w:left="1854" w:hanging="360"/>
      </w:pPr>
      <w:rPr>
        <w:rFonts w:hint="default"/>
      </w:rPr>
    </w:lvl>
    <w:lvl w:ilvl="1" w:tplc="040C0019" w:tentative="1">
      <w:start w:val="1"/>
      <w:numFmt w:val="lowerLetter"/>
      <w:lvlText w:val="%2."/>
      <w:lvlJc w:val="left"/>
      <w:pPr>
        <w:ind w:left="1440" w:hanging="360"/>
      </w:pPr>
    </w:lvl>
    <w:lvl w:ilvl="2" w:tplc="6FAEC2A8">
      <w:start w:val="1"/>
      <w:numFmt w:val="decimal"/>
      <w:lvlText w:val="%3."/>
      <w:lvlJc w:val="lef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68862366"/>
    <w:multiLevelType w:val="hybridMultilevel"/>
    <w:tmpl w:val="523E6D94"/>
    <w:lvl w:ilvl="0" w:tplc="E24C15DA">
      <w:start w:val="1"/>
      <w:numFmt w:val="bullet"/>
      <w:pStyle w:val="Bullet2G"/>
      <w:lvlText w:val="•"/>
      <w:lvlJc w:val="left"/>
      <w:pPr>
        <w:tabs>
          <w:tab w:val="num" w:pos="2268"/>
        </w:tabs>
        <w:ind w:left="2268" w:hanging="170"/>
      </w:pPr>
      <w:rPr>
        <w:rFonts w:ascii="Times New Roman" w:hAnsi="Times New Roman" w:cs="Times New Roman" w:hint="default"/>
        <w:b w:val="0"/>
        <w:i w:val="0"/>
        <w:sz w:val="2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8AD07B2"/>
    <w:multiLevelType w:val="hybridMultilevel"/>
    <w:tmpl w:val="D7D47906"/>
    <w:lvl w:ilvl="0" w:tplc="3B64B33E">
      <w:start w:val="1"/>
      <w:numFmt w:val="bullet"/>
      <w:pStyle w:val="Bullet1G"/>
      <w:lvlText w:val="•"/>
      <w:lvlJc w:val="left"/>
      <w:pPr>
        <w:tabs>
          <w:tab w:val="num" w:pos="1701"/>
        </w:tabs>
        <w:ind w:left="1701" w:hanging="170"/>
      </w:pPr>
      <w:rPr>
        <w:rFonts w:ascii="Times New Roman" w:hAnsi="Times New Roman" w:cs="Times New Roman" w:hint="default"/>
      </w:rPr>
    </w:lvl>
    <w:lvl w:ilvl="1" w:tplc="040C0003" w:tentative="1">
      <w:start w:val="1"/>
      <w:numFmt w:val="bullet"/>
      <w:lvlText w:val="o"/>
      <w:lvlJc w:val="left"/>
      <w:pPr>
        <w:tabs>
          <w:tab w:val="num" w:pos="3141"/>
        </w:tabs>
        <w:ind w:left="3141" w:hanging="360"/>
      </w:pPr>
      <w:rPr>
        <w:rFonts w:ascii="Courier New" w:hAnsi="Courier New" w:hint="default"/>
      </w:rPr>
    </w:lvl>
    <w:lvl w:ilvl="2" w:tplc="040C0005" w:tentative="1">
      <w:start w:val="1"/>
      <w:numFmt w:val="bullet"/>
      <w:lvlText w:val=""/>
      <w:lvlJc w:val="left"/>
      <w:pPr>
        <w:tabs>
          <w:tab w:val="num" w:pos="3861"/>
        </w:tabs>
        <w:ind w:left="3861" w:hanging="360"/>
      </w:pPr>
      <w:rPr>
        <w:rFonts w:ascii="Wingdings" w:hAnsi="Wingdings" w:hint="default"/>
      </w:rPr>
    </w:lvl>
    <w:lvl w:ilvl="3" w:tplc="040C0001" w:tentative="1">
      <w:start w:val="1"/>
      <w:numFmt w:val="bullet"/>
      <w:lvlText w:val=""/>
      <w:lvlJc w:val="left"/>
      <w:pPr>
        <w:tabs>
          <w:tab w:val="num" w:pos="4581"/>
        </w:tabs>
        <w:ind w:left="4581" w:hanging="360"/>
      </w:pPr>
      <w:rPr>
        <w:rFonts w:ascii="Symbol" w:hAnsi="Symbol" w:hint="default"/>
      </w:rPr>
    </w:lvl>
    <w:lvl w:ilvl="4" w:tplc="040C0003" w:tentative="1">
      <w:start w:val="1"/>
      <w:numFmt w:val="bullet"/>
      <w:lvlText w:val="o"/>
      <w:lvlJc w:val="left"/>
      <w:pPr>
        <w:tabs>
          <w:tab w:val="num" w:pos="5301"/>
        </w:tabs>
        <w:ind w:left="5301" w:hanging="360"/>
      </w:pPr>
      <w:rPr>
        <w:rFonts w:ascii="Courier New" w:hAnsi="Courier New" w:hint="default"/>
      </w:rPr>
    </w:lvl>
    <w:lvl w:ilvl="5" w:tplc="040C0005" w:tentative="1">
      <w:start w:val="1"/>
      <w:numFmt w:val="bullet"/>
      <w:lvlText w:val=""/>
      <w:lvlJc w:val="left"/>
      <w:pPr>
        <w:tabs>
          <w:tab w:val="num" w:pos="6021"/>
        </w:tabs>
        <w:ind w:left="6021" w:hanging="360"/>
      </w:pPr>
      <w:rPr>
        <w:rFonts w:ascii="Wingdings" w:hAnsi="Wingdings" w:hint="default"/>
      </w:rPr>
    </w:lvl>
    <w:lvl w:ilvl="6" w:tplc="040C0001" w:tentative="1">
      <w:start w:val="1"/>
      <w:numFmt w:val="bullet"/>
      <w:lvlText w:val=""/>
      <w:lvlJc w:val="left"/>
      <w:pPr>
        <w:tabs>
          <w:tab w:val="num" w:pos="6741"/>
        </w:tabs>
        <w:ind w:left="6741" w:hanging="360"/>
      </w:pPr>
      <w:rPr>
        <w:rFonts w:ascii="Symbol" w:hAnsi="Symbol" w:hint="default"/>
      </w:rPr>
    </w:lvl>
    <w:lvl w:ilvl="7" w:tplc="040C0003" w:tentative="1">
      <w:start w:val="1"/>
      <w:numFmt w:val="bullet"/>
      <w:lvlText w:val="o"/>
      <w:lvlJc w:val="left"/>
      <w:pPr>
        <w:tabs>
          <w:tab w:val="num" w:pos="7461"/>
        </w:tabs>
        <w:ind w:left="7461" w:hanging="360"/>
      </w:pPr>
      <w:rPr>
        <w:rFonts w:ascii="Courier New" w:hAnsi="Courier New" w:hint="default"/>
      </w:rPr>
    </w:lvl>
    <w:lvl w:ilvl="8" w:tplc="040C0005" w:tentative="1">
      <w:start w:val="1"/>
      <w:numFmt w:val="bullet"/>
      <w:lvlText w:val=""/>
      <w:lvlJc w:val="left"/>
      <w:pPr>
        <w:tabs>
          <w:tab w:val="num" w:pos="8181"/>
        </w:tabs>
        <w:ind w:left="8181" w:hanging="360"/>
      </w:pPr>
      <w:rPr>
        <w:rFonts w:ascii="Wingdings" w:hAnsi="Wingdings" w:hint="default"/>
      </w:rPr>
    </w:lvl>
  </w:abstractNum>
  <w:abstractNum w:abstractNumId="22" w15:restartNumberingAfterBreak="0">
    <w:nsid w:val="78703ABA"/>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21"/>
  </w:num>
  <w:num w:numId="2">
    <w:abstractNumId w:val="16"/>
  </w:num>
  <w:num w:numId="3">
    <w:abstractNumId w:val="12"/>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 w:numId="14">
    <w:abstractNumId w:val="19"/>
  </w:num>
  <w:num w:numId="15">
    <w:abstractNumId w:val="12"/>
  </w:num>
  <w:num w:numId="16">
    <w:abstractNumId w:val="15"/>
  </w:num>
  <w:num w:numId="17">
    <w:abstractNumId w:val="14"/>
  </w:num>
  <w:num w:numId="18">
    <w:abstractNumId w:val="10"/>
  </w:num>
  <w:num w:numId="19">
    <w:abstractNumId w:val="17"/>
  </w:num>
  <w:num w:numId="20">
    <w:abstractNumId w:val="18"/>
  </w:num>
  <w:num w:numId="21">
    <w:abstractNumId w:val="22"/>
  </w:num>
  <w:num w:numId="22">
    <w:abstractNumId w:val="13"/>
  </w:num>
  <w:num w:numId="23">
    <w:abstractNumId w:val="11"/>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567"/>
  <w:hyphenationZone w:val="425"/>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7ED3"/>
    <w:rsid w:val="00017F94"/>
    <w:rsid w:val="00023842"/>
    <w:rsid w:val="000334F9"/>
    <w:rsid w:val="0007796D"/>
    <w:rsid w:val="000B7790"/>
    <w:rsid w:val="000C390E"/>
    <w:rsid w:val="00111F2F"/>
    <w:rsid w:val="0014365E"/>
    <w:rsid w:val="0014660A"/>
    <w:rsid w:val="00150DB2"/>
    <w:rsid w:val="00176178"/>
    <w:rsid w:val="001F525A"/>
    <w:rsid w:val="00223272"/>
    <w:rsid w:val="0024779E"/>
    <w:rsid w:val="00291F1D"/>
    <w:rsid w:val="0029407C"/>
    <w:rsid w:val="00350987"/>
    <w:rsid w:val="00353ED5"/>
    <w:rsid w:val="00382A1F"/>
    <w:rsid w:val="00390178"/>
    <w:rsid w:val="003D1AD0"/>
    <w:rsid w:val="00446FE5"/>
    <w:rsid w:val="00452396"/>
    <w:rsid w:val="004D1CEB"/>
    <w:rsid w:val="005505B7"/>
    <w:rsid w:val="005706C8"/>
    <w:rsid w:val="00573BE5"/>
    <w:rsid w:val="00586ED3"/>
    <w:rsid w:val="00596AA9"/>
    <w:rsid w:val="006122C4"/>
    <w:rsid w:val="006E2C9B"/>
    <w:rsid w:val="0071601D"/>
    <w:rsid w:val="0076624F"/>
    <w:rsid w:val="00766CEC"/>
    <w:rsid w:val="00770252"/>
    <w:rsid w:val="007A62E6"/>
    <w:rsid w:val="0080684C"/>
    <w:rsid w:val="00815502"/>
    <w:rsid w:val="00845D2D"/>
    <w:rsid w:val="00871C75"/>
    <w:rsid w:val="008776DC"/>
    <w:rsid w:val="008C7ED3"/>
    <w:rsid w:val="008F2A1D"/>
    <w:rsid w:val="00957790"/>
    <w:rsid w:val="009705C8"/>
    <w:rsid w:val="00A12AB5"/>
    <w:rsid w:val="00AC3823"/>
    <w:rsid w:val="00AE323C"/>
    <w:rsid w:val="00AE7D9F"/>
    <w:rsid w:val="00B00181"/>
    <w:rsid w:val="00B43C66"/>
    <w:rsid w:val="00B55090"/>
    <w:rsid w:val="00B765F7"/>
    <w:rsid w:val="00BA0CA9"/>
    <w:rsid w:val="00BB3E59"/>
    <w:rsid w:val="00BE1F4C"/>
    <w:rsid w:val="00BE4745"/>
    <w:rsid w:val="00BF3C2C"/>
    <w:rsid w:val="00C02897"/>
    <w:rsid w:val="00CF3AE1"/>
    <w:rsid w:val="00D3439C"/>
    <w:rsid w:val="00D40AEB"/>
    <w:rsid w:val="00DA22F4"/>
    <w:rsid w:val="00DB1831"/>
    <w:rsid w:val="00DD3BFD"/>
    <w:rsid w:val="00DF6678"/>
    <w:rsid w:val="00E22CF2"/>
    <w:rsid w:val="00E33F14"/>
    <w:rsid w:val="00E44A12"/>
    <w:rsid w:val="00E52D9F"/>
    <w:rsid w:val="00F12269"/>
    <w:rsid w:val="00F164B0"/>
    <w:rsid w:val="00F660DF"/>
    <w:rsid w:val="00F80094"/>
    <w:rsid w:val="00F95C08"/>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124DB22-8D8F-4456-B8AC-E4D8726D7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lang w:val="fr-CH"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7ED3"/>
    <w:pPr>
      <w:suppressAutoHyphens/>
      <w:kinsoku w:val="0"/>
      <w:overflowPunct w:val="0"/>
      <w:autoSpaceDE w:val="0"/>
      <w:autoSpaceDN w:val="0"/>
      <w:adjustRightInd w:val="0"/>
      <w:snapToGrid w:val="0"/>
      <w:spacing w:line="240" w:lineRule="atLeast"/>
    </w:pPr>
    <w:rPr>
      <w:lang w:val="en-GB"/>
    </w:rPr>
  </w:style>
  <w:style w:type="paragraph" w:styleId="Heading1">
    <w:name w:val="heading 1"/>
    <w:aliases w:val="Table_G"/>
    <w:basedOn w:val="SingleTxtG"/>
    <w:next w:val="SingleTxtG"/>
    <w:link w:val="Heading1Char"/>
    <w:qFormat/>
    <w:rsid w:val="0080684C"/>
    <w:pPr>
      <w:keepNext/>
      <w:keepLines/>
      <w:spacing w:after="0"/>
      <w:ind w:right="0"/>
      <w:jc w:val="left"/>
      <w:outlineLvl w:val="0"/>
    </w:pPr>
  </w:style>
  <w:style w:type="paragraph" w:styleId="Heading2">
    <w:name w:val="heading 2"/>
    <w:basedOn w:val="Normal"/>
    <w:next w:val="Normal"/>
    <w:link w:val="Heading2Char"/>
    <w:semiHidden/>
    <w:qFormat/>
    <w:rsid w:val="00023842"/>
    <w:pPr>
      <w:outlineLvl w:val="1"/>
    </w:pPr>
  </w:style>
  <w:style w:type="paragraph" w:styleId="Heading3">
    <w:name w:val="heading 3"/>
    <w:basedOn w:val="Normal"/>
    <w:next w:val="Normal"/>
    <w:link w:val="Heading3Char"/>
    <w:semiHidden/>
    <w:qFormat/>
    <w:rsid w:val="00023842"/>
    <w:pPr>
      <w:outlineLvl w:val="2"/>
    </w:pPr>
  </w:style>
  <w:style w:type="paragraph" w:styleId="Heading4">
    <w:name w:val="heading 4"/>
    <w:basedOn w:val="Normal"/>
    <w:next w:val="Normal"/>
    <w:link w:val="Heading4Char"/>
    <w:semiHidden/>
    <w:qFormat/>
    <w:rsid w:val="00023842"/>
    <w:pPr>
      <w:outlineLvl w:val="3"/>
    </w:pPr>
  </w:style>
  <w:style w:type="paragraph" w:styleId="Heading5">
    <w:name w:val="heading 5"/>
    <w:basedOn w:val="Normal"/>
    <w:next w:val="Normal"/>
    <w:link w:val="Heading5Char"/>
    <w:semiHidden/>
    <w:qFormat/>
    <w:rsid w:val="00023842"/>
    <w:pPr>
      <w:outlineLvl w:val="4"/>
    </w:pPr>
  </w:style>
  <w:style w:type="paragraph" w:styleId="Heading6">
    <w:name w:val="heading 6"/>
    <w:basedOn w:val="Normal"/>
    <w:next w:val="Normal"/>
    <w:link w:val="Heading6Char"/>
    <w:semiHidden/>
    <w:qFormat/>
    <w:rsid w:val="00023842"/>
    <w:pPr>
      <w:outlineLvl w:val="5"/>
    </w:pPr>
  </w:style>
  <w:style w:type="paragraph" w:styleId="Heading7">
    <w:name w:val="heading 7"/>
    <w:basedOn w:val="Normal"/>
    <w:next w:val="Normal"/>
    <w:link w:val="Heading7Char"/>
    <w:semiHidden/>
    <w:qFormat/>
    <w:rsid w:val="00023842"/>
    <w:pPr>
      <w:outlineLvl w:val="6"/>
    </w:pPr>
  </w:style>
  <w:style w:type="paragraph" w:styleId="Heading8">
    <w:name w:val="heading 8"/>
    <w:basedOn w:val="Normal"/>
    <w:next w:val="Normal"/>
    <w:link w:val="Heading8Char"/>
    <w:semiHidden/>
    <w:qFormat/>
    <w:rsid w:val="00023842"/>
    <w:pPr>
      <w:outlineLvl w:val="7"/>
    </w:pPr>
  </w:style>
  <w:style w:type="paragraph" w:styleId="Heading9">
    <w:name w:val="heading 9"/>
    <w:basedOn w:val="Normal"/>
    <w:next w:val="Normal"/>
    <w:link w:val="Heading9Char"/>
    <w:semiHidden/>
    <w:qFormat/>
    <w:rsid w:val="00023842"/>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6_G"/>
    <w:basedOn w:val="Normal"/>
    <w:link w:val="HeaderChar"/>
    <w:qFormat/>
    <w:rsid w:val="00AE7D9F"/>
    <w:pPr>
      <w:pBdr>
        <w:bottom w:val="single" w:sz="4" w:space="4" w:color="auto"/>
      </w:pBdr>
    </w:pPr>
    <w:rPr>
      <w:rFonts w:eastAsia="Times New Roman"/>
      <w:b/>
      <w:sz w:val="18"/>
    </w:rPr>
  </w:style>
  <w:style w:type="character" w:customStyle="1" w:styleId="HeaderChar">
    <w:name w:val="Header Char"/>
    <w:aliases w:val="6_G Char"/>
    <w:basedOn w:val="DefaultParagraphFont"/>
    <w:link w:val="Header"/>
    <w:rsid w:val="0080684C"/>
    <w:rPr>
      <w:rFonts w:ascii="Times New Roman" w:eastAsia="Times New Roman" w:hAnsi="Times New Roman" w:cs="Times New Roman"/>
      <w:b/>
      <w:sz w:val="18"/>
      <w:szCs w:val="20"/>
      <w:lang w:val="en-GB"/>
    </w:rPr>
  </w:style>
  <w:style w:type="paragraph" w:styleId="Footer">
    <w:name w:val="footer"/>
    <w:aliases w:val="3_G"/>
    <w:basedOn w:val="Normal"/>
    <w:next w:val="Normal"/>
    <w:link w:val="FooterChar"/>
    <w:qFormat/>
    <w:rsid w:val="0080684C"/>
    <w:rPr>
      <w:sz w:val="16"/>
    </w:rPr>
  </w:style>
  <w:style w:type="character" w:customStyle="1" w:styleId="FooterChar">
    <w:name w:val="Footer Char"/>
    <w:aliases w:val="3_G Char"/>
    <w:basedOn w:val="DefaultParagraphFont"/>
    <w:link w:val="Footer"/>
    <w:rsid w:val="0080684C"/>
    <w:rPr>
      <w:rFonts w:ascii="Times New Roman" w:eastAsia="Times New Roman" w:hAnsi="Times New Roman" w:cs="Times New Roman"/>
      <w:sz w:val="16"/>
      <w:szCs w:val="20"/>
      <w:lang w:eastAsia="en-US"/>
    </w:rPr>
  </w:style>
  <w:style w:type="paragraph" w:customStyle="1" w:styleId="HMG">
    <w:name w:val="_ H __M_G"/>
    <w:basedOn w:val="Normal"/>
    <w:next w:val="Normal"/>
    <w:qFormat/>
    <w:rsid w:val="0080684C"/>
    <w:pPr>
      <w:keepNext/>
      <w:keepLines/>
      <w:tabs>
        <w:tab w:val="right" w:pos="851"/>
      </w:tabs>
      <w:spacing w:before="240" w:after="240" w:line="360" w:lineRule="exact"/>
      <w:ind w:left="1134" w:right="1134" w:hanging="1134"/>
    </w:pPr>
    <w:rPr>
      <w:b/>
      <w:sz w:val="34"/>
    </w:rPr>
  </w:style>
  <w:style w:type="paragraph" w:customStyle="1" w:styleId="HChG">
    <w:name w:val="_ H _Ch_G"/>
    <w:basedOn w:val="Normal"/>
    <w:next w:val="Normal"/>
    <w:qFormat/>
    <w:rsid w:val="0080684C"/>
    <w:pPr>
      <w:keepNext/>
      <w:keepLines/>
      <w:tabs>
        <w:tab w:val="right" w:pos="851"/>
      </w:tabs>
      <w:spacing w:before="360" w:after="240" w:line="300" w:lineRule="exact"/>
      <w:ind w:left="1134" w:right="1134" w:hanging="1134"/>
    </w:pPr>
    <w:rPr>
      <w:b/>
      <w:sz w:val="28"/>
    </w:rPr>
  </w:style>
  <w:style w:type="paragraph" w:customStyle="1" w:styleId="H1G">
    <w:name w:val="_ H_1_G"/>
    <w:basedOn w:val="Normal"/>
    <w:next w:val="Normal"/>
    <w:qFormat/>
    <w:rsid w:val="0080684C"/>
    <w:pPr>
      <w:keepNext/>
      <w:keepLines/>
      <w:tabs>
        <w:tab w:val="right" w:pos="851"/>
      </w:tabs>
      <w:spacing w:before="360" w:after="240" w:line="270" w:lineRule="exact"/>
      <w:ind w:left="1134" w:right="1134" w:hanging="1134"/>
    </w:pPr>
    <w:rPr>
      <w:b/>
      <w:sz w:val="24"/>
    </w:rPr>
  </w:style>
  <w:style w:type="paragraph" w:customStyle="1" w:styleId="H23G">
    <w:name w:val="_ H_2/3_G"/>
    <w:basedOn w:val="Normal"/>
    <w:next w:val="Normal"/>
    <w:qFormat/>
    <w:rsid w:val="0080684C"/>
    <w:pPr>
      <w:keepNext/>
      <w:keepLines/>
      <w:tabs>
        <w:tab w:val="right" w:pos="851"/>
      </w:tabs>
      <w:spacing w:before="240" w:after="120" w:line="240" w:lineRule="exact"/>
      <w:ind w:left="1134" w:right="1134" w:hanging="1134"/>
    </w:pPr>
    <w:rPr>
      <w:b/>
    </w:rPr>
  </w:style>
  <w:style w:type="paragraph" w:customStyle="1" w:styleId="H4G">
    <w:name w:val="_ H_4_G"/>
    <w:basedOn w:val="Normal"/>
    <w:next w:val="Normal"/>
    <w:qFormat/>
    <w:rsid w:val="0080684C"/>
    <w:pPr>
      <w:keepNext/>
      <w:keepLines/>
      <w:tabs>
        <w:tab w:val="right" w:pos="851"/>
      </w:tabs>
      <w:spacing w:before="240" w:after="120" w:line="240" w:lineRule="exact"/>
      <w:ind w:left="1134" w:right="1134" w:hanging="1134"/>
    </w:pPr>
    <w:rPr>
      <w:i/>
    </w:rPr>
  </w:style>
  <w:style w:type="paragraph" w:customStyle="1" w:styleId="H56G">
    <w:name w:val="_ H_5/6_G"/>
    <w:basedOn w:val="Normal"/>
    <w:next w:val="Normal"/>
    <w:qFormat/>
    <w:rsid w:val="00871C75"/>
    <w:pPr>
      <w:keepNext/>
      <w:keepLines/>
      <w:tabs>
        <w:tab w:val="right" w:pos="851"/>
      </w:tabs>
      <w:spacing w:before="240" w:after="120" w:line="240" w:lineRule="exact"/>
      <w:ind w:left="1134" w:right="1134" w:hanging="1134"/>
    </w:pPr>
  </w:style>
  <w:style w:type="paragraph" w:customStyle="1" w:styleId="SingleTxtG">
    <w:name w:val="_ Single Txt_G"/>
    <w:basedOn w:val="Normal"/>
    <w:qFormat/>
    <w:rsid w:val="0080684C"/>
    <w:pPr>
      <w:spacing w:after="120"/>
      <w:ind w:left="1134" w:right="1134"/>
      <w:jc w:val="both"/>
    </w:pPr>
  </w:style>
  <w:style w:type="paragraph" w:customStyle="1" w:styleId="SLG">
    <w:name w:val="__S_L_G"/>
    <w:basedOn w:val="Normal"/>
    <w:next w:val="Normal"/>
    <w:rsid w:val="0080684C"/>
    <w:pPr>
      <w:keepNext/>
      <w:keepLines/>
      <w:spacing w:before="240" w:after="240" w:line="580" w:lineRule="exact"/>
      <w:ind w:left="1134" w:right="1134"/>
    </w:pPr>
    <w:rPr>
      <w:b/>
      <w:sz w:val="56"/>
    </w:rPr>
  </w:style>
  <w:style w:type="paragraph" w:customStyle="1" w:styleId="SMG">
    <w:name w:val="__S_M_G"/>
    <w:basedOn w:val="Normal"/>
    <w:next w:val="Normal"/>
    <w:rsid w:val="0080684C"/>
    <w:pPr>
      <w:keepNext/>
      <w:keepLines/>
      <w:spacing w:before="240" w:after="240" w:line="420" w:lineRule="exact"/>
      <w:ind w:left="1134" w:right="1134"/>
    </w:pPr>
    <w:rPr>
      <w:b/>
      <w:sz w:val="40"/>
    </w:rPr>
  </w:style>
  <w:style w:type="paragraph" w:customStyle="1" w:styleId="SSG">
    <w:name w:val="__S_S_G"/>
    <w:basedOn w:val="Normal"/>
    <w:next w:val="Normal"/>
    <w:rsid w:val="0080684C"/>
    <w:pPr>
      <w:keepNext/>
      <w:keepLines/>
      <w:spacing w:before="240" w:after="240" w:line="300" w:lineRule="exact"/>
      <w:ind w:left="1134" w:right="1134"/>
    </w:pPr>
    <w:rPr>
      <w:b/>
      <w:sz w:val="28"/>
    </w:rPr>
  </w:style>
  <w:style w:type="paragraph" w:customStyle="1" w:styleId="XLargeG">
    <w:name w:val="__XLarge_G"/>
    <w:basedOn w:val="Normal"/>
    <w:next w:val="Normal"/>
    <w:rsid w:val="00871C75"/>
    <w:pPr>
      <w:keepNext/>
      <w:keepLines/>
      <w:spacing w:before="240" w:after="240" w:line="420" w:lineRule="exact"/>
      <w:ind w:left="1134" w:right="1134"/>
    </w:pPr>
    <w:rPr>
      <w:b/>
      <w:sz w:val="40"/>
    </w:rPr>
  </w:style>
  <w:style w:type="paragraph" w:customStyle="1" w:styleId="Bullet1G">
    <w:name w:val="_Bullet 1_G"/>
    <w:basedOn w:val="Normal"/>
    <w:qFormat/>
    <w:rsid w:val="0080684C"/>
    <w:pPr>
      <w:numPr>
        <w:numId w:val="1"/>
      </w:numPr>
      <w:spacing w:after="120"/>
      <w:ind w:right="1134"/>
      <w:jc w:val="both"/>
    </w:pPr>
  </w:style>
  <w:style w:type="paragraph" w:customStyle="1" w:styleId="Bullet2G">
    <w:name w:val="_Bullet 2_G"/>
    <w:basedOn w:val="Normal"/>
    <w:qFormat/>
    <w:rsid w:val="0080684C"/>
    <w:pPr>
      <w:numPr>
        <w:numId w:val="2"/>
      </w:numPr>
      <w:spacing w:after="120"/>
      <w:ind w:right="1134"/>
      <w:jc w:val="both"/>
    </w:pPr>
  </w:style>
  <w:style w:type="character" w:styleId="FootnoteReference">
    <w:name w:val="footnote reference"/>
    <w:aliases w:val="4_G"/>
    <w:basedOn w:val="DefaultParagraphFont"/>
    <w:qFormat/>
    <w:rsid w:val="00023842"/>
    <w:rPr>
      <w:rFonts w:ascii="Times New Roman" w:hAnsi="Times New Roman"/>
      <w:sz w:val="18"/>
      <w:vertAlign w:val="superscript"/>
      <w:lang w:val="fr-CH"/>
    </w:rPr>
  </w:style>
  <w:style w:type="character" w:styleId="EndnoteReference">
    <w:name w:val="endnote reference"/>
    <w:aliases w:val="1_G"/>
    <w:basedOn w:val="FootnoteReference"/>
    <w:qFormat/>
    <w:rsid w:val="00023842"/>
    <w:rPr>
      <w:rFonts w:ascii="Times New Roman" w:hAnsi="Times New Roman"/>
      <w:sz w:val="18"/>
      <w:vertAlign w:val="superscript"/>
      <w:lang w:val="fr-CH"/>
    </w:rPr>
  </w:style>
  <w:style w:type="table" w:styleId="TableGrid">
    <w:name w:val="Table Grid"/>
    <w:basedOn w:val="TableNormal"/>
    <w:rsid w:val="00382A1F"/>
    <w:pPr>
      <w:suppressAutoHyphens/>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Hyperlink">
    <w:name w:val="Hyperlink"/>
    <w:basedOn w:val="DefaultParagraphFont"/>
    <w:rsid w:val="00957790"/>
    <w:rPr>
      <w:color w:val="0000FF"/>
      <w:u w:val="none"/>
    </w:rPr>
  </w:style>
  <w:style w:type="character" w:styleId="FollowedHyperlink">
    <w:name w:val="FollowedHyperlink"/>
    <w:basedOn w:val="DefaultParagraphFont"/>
    <w:rsid w:val="00957790"/>
    <w:rPr>
      <w:color w:val="0000FF"/>
      <w:u w:val="none"/>
    </w:rPr>
  </w:style>
  <w:style w:type="paragraph" w:styleId="FootnoteText">
    <w:name w:val="footnote text"/>
    <w:aliases w:val="5_G"/>
    <w:basedOn w:val="Normal"/>
    <w:link w:val="FootnoteTextChar"/>
    <w:qFormat/>
    <w:rsid w:val="0080684C"/>
    <w:pPr>
      <w:tabs>
        <w:tab w:val="right" w:pos="1021"/>
      </w:tabs>
      <w:spacing w:line="220" w:lineRule="exact"/>
      <w:ind w:left="1134" w:right="1134" w:hanging="1134"/>
    </w:pPr>
    <w:rPr>
      <w:sz w:val="18"/>
    </w:rPr>
  </w:style>
  <w:style w:type="character" w:customStyle="1" w:styleId="FootnoteTextChar">
    <w:name w:val="Footnote Text Char"/>
    <w:aliases w:val="5_G Char"/>
    <w:basedOn w:val="DefaultParagraphFont"/>
    <w:link w:val="FootnoteText"/>
    <w:rsid w:val="0080684C"/>
    <w:rPr>
      <w:rFonts w:ascii="Times New Roman" w:eastAsia="Times New Roman" w:hAnsi="Times New Roman" w:cs="Times New Roman"/>
      <w:sz w:val="18"/>
      <w:szCs w:val="20"/>
      <w:lang w:eastAsia="en-US"/>
    </w:rPr>
  </w:style>
  <w:style w:type="paragraph" w:styleId="EndnoteText">
    <w:name w:val="endnote text"/>
    <w:aliases w:val="2_G"/>
    <w:basedOn w:val="FootnoteText"/>
    <w:link w:val="EndnoteTextChar"/>
    <w:qFormat/>
    <w:rsid w:val="0080684C"/>
  </w:style>
  <w:style w:type="character" w:customStyle="1" w:styleId="EndnoteTextChar">
    <w:name w:val="Endnote Text Char"/>
    <w:aliases w:val="2_G Char"/>
    <w:basedOn w:val="DefaultParagraphFont"/>
    <w:link w:val="EndnoteText"/>
    <w:rsid w:val="0080684C"/>
    <w:rPr>
      <w:rFonts w:ascii="Times New Roman" w:eastAsia="Times New Roman" w:hAnsi="Times New Roman" w:cs="Times New Roman"/>
      <w:sz w:val="18"/>
      <w:szCs w:val="20"/>
      <w:lang w:eastAsia="en-US"/>
    </w:rPr>
  </w:style>
  <w:style w:type="character" w:styleId="PageNumber">
    <w:name w:val="page number"/>
    <w:aliases w:val="7_G"/>
    <w:basedOn w:val="DefaultParagraphFont"/>
    <w:qFormat/>
    <w:rsid w:val="00023842"/>
    <w:rPr>
      <w:rFonts w:ascii="Times New Roman" w:hAnsi="Times New Roman"/>
      <w:b/>
      <w:sz w:val="18"/>
      <w:lang w:val="fr-CH"/>
    </w:rPr>
  </w:style>
  <w:style w:type="character" w:customStyle="1" w:styleId="Heading1Char">
    <w:name w:val="Heading 1 Char"/>
    <w:aliases w:val="Table_G Char"/>
    <w:basedOn w:val="DefaultParagraphFont"/>
    <w:link w:val="Heading1"/>
    <w:rsid w:val="0080684C"/>
    <w:rPr>
      <w:rFonts w:ascii="Times New Roman" w:eastAsia="Times New Roman" w:hAnsi="Times New Roman" w:cs="Times New Roman"/>
      <w:sz w:val="20"/>
      <w:szCs w:val="20"/>
      <w:lang w:eastAsia="en-US"/>
    </w:rPr>
  </w:style>
  <w:style w:type="character" w:customStyle="1" w:styleId="Heading2Char">
    <w:name w:val="Heading 2 Char"/>
    <w:basedOn w:val="DefaultParagraphFont"/>
    <w:link w:val="Heading2"/>
    <w:semiHidden/>
    <w:rsid w:val="00023842"/>
    <w:rPr>
      <w:rFonts w:ascii="Times New Roman" w:eastAsia="Times New Roman" w:hAnsi="Times New Roman" w:cs="Times New Roman"/>
      <w:sz w:val="20"/>
      <w:szCs w:val="20"/>
      <w:lang w:eastAsia="en-US"/>
    </w:rPr>
  </w:style>
  <w:style w:type="character" w:customStyle="1" w:styleId="Heading3Char">
    <w:name w:val="Heading 3 Char"/>
    <w:basedOn w:val="DefaultParagraphFont"/>
    <w:link w:val="Heading3"/>
    <w:semiHidden/>
    <w:rsid w:val="00023842"/>
    <w:rPr>
      <w:rFonts w:ascii="Times New Roman" w:eastAsia="Times New Roman" w:hAnsi="Times New Roman" w:cs="Times New Roman"/>
      <w:sz w:val="20"/>
      <w:szCs w:val="20"/>
      <w:lang w:eastAsia="en-US"/>
    </w:rPr>
  </w:style>
  <w:style w:type="character" w:customStyle="1" w:styleId="Heading4Char">
    <w:name w:val="Heading 4 Char"/>
    <w:basedOn w:val="DefaultParagraphFont"/>
    <w:link w:val="Heading4"/>
    <w:semiHidden/>
    <w:rsid w:val="00023842"/>
    <w:rPr>
      <w:rFonts w:ascii="Times New Roman" w:eastAsia="Times New Roman" w:hAnsi="Times New Roman" w:cs="Times New Roman"/>
      <w:sz w:val="20"/>
      <w:szCs w:val="20"/>
      <w:lang w:eastAsia="en-US"/>
    </w:rPr>
  </w:style>
  <w:style w:type="character" w:customStyle="1" w:styleId="Heading5Char">
    <w:name w:val="Heading 5 Char"/>
    <w:basedOn w:val="DefaultParagraphFont"/>
    <w:link w:val="Heading5"/>
    <w:semiHidden/>
    <w:rsid w:val="00023842"/>
    <w:rPr>
      <w:rFonts w:ascii="Times New Roman" w:eastAsia="Times New Roman" w:hAnsi="Times New Roman" w:cs="Times New Roman"/>
      <w:sz w:val="20"/>
      <w:szCs w:val="20"/>
      <w:lang w:eastAsia="en-US"/>
    </w:rPr>
  </w:style>
  <w:style w:type="character" w:customStyle="1" w:styleId="Heading6Char">
    <w:name w:val="Heading 6 Char"/>
    <w:basedOn w:val="DefaultParagraphFont"/>
    <w:link w:val="Heading6"/>
    <w:semiHidden/>
    <w:rsid w:val="00023842"/>
    <w:rPr>
      <w:rFonts w:ascii="Times New Roman" w:eastAsia="Times New Roman" w:hAnsi="Times New Roman" w:cs="Times New Roman"/>
      <w:sz w:val="20"/>
      <w:szCs w:val="20"/>
      <w:lang w:eastAsia="en-US"/>
    </w:rPr>
  </w:style>
  <w:style w:type="character" w:customStyle="1" w:styleId="Heading7Char">
    <w:name w:val="Heading 7 Char"/>
    <w:basedOn w:val="DefaultParagraphFont"/>
    <w:link w:val="Heading7"/>
    <w:semiHidden/>
    <w:rsid w:val="00023842"/>
    <w:rPr>
      <w:rFonts w:ascii="Times New Roman" w:eastAsia="Times New Roman" w:hAnsi="Times New Roman" w:cs="Times New Roman"/>
      <w:sz w:val="20"/>
      <w:szCs w:val="20"/>
      <w:lang w:eastAsia="en-US"/>
    </w:rPr>
  </w:style>
  <w:style w:type="character" w:customStyle="1" w:styleId="Heading8Char">
    <w:name w:val="Heading 8 Char"/>
    <w:basedOn w:val="DefaultParagraphFont"/>
    <w:link w:val="Heading8"/>
    <w:semiHidden/>
    <w:rsid w:val="00023842"/>
    <w:rPr>
      <w:rFonts w:ascii="Times New Roman" w:eastAsia="Times New Roman" w:hAnsi="Times New Roman" w:cs="Times New Roman"/>
      <w:sz w:val="20"/>
      <w:szCs w:val="20"/>
      <w:lang w:eastAsia="en-US"/>
    </w:rPr>
  </w:style>
  <w:style w:type="character" w:customStyle="1" w:styleId="Heading9Char">
    <w:name w:val="Heading 9 Char"/>
    <w:basedOn w:val="DefaultParagraphFont"/>
    <w:link w:val="Heading9"/>
    <w:semiHidden/>
    <w:rsid w:val="00023842"/>
    <w:rPr>
      <w:rFonts w:ascii="Times New Roman" w:eastAsia="Times New Roman" w:hAnsi="Times New Roman" w:cs="Times New Roman"/>
      <w:sz w:val="20"/>
      <w:szCs w:val="20"/>
      <w:lang w:eastAsia="en-US"/>
    </w:rPr>
  </w:style>
  <w:style w:type="paragraph" w:customStyle="1" w:styleId="ParNoG">
    <w:name w:val="_ParNo_G"/>
    <w:basedOn w:val="SingleTxtG"/>
    <w:qFormat/>
    <w:rsid w:val="005706C8"/>
    <w:pPr>
      <w:numPr>
        <w:numId w:val="15"/>
      </w:numPr>
      <w:tabs>
        <w:tab w:val="clear" w:pos="1701"/>
      </w:tabs>
    </w:pPr>
    <w:rPr>
      <w:rFonts w:eastAsia="Times New Roman"/>
    </w:rPr>
  </w:style>
  <w:style w:type="paragraph" w:customStyle="1" w:styleId="ParaNoG">
    <w:name w:val="_ParaNo._G"/>
    <w:basedOn w:val="SingleTxtG"/>
    <w:qFormat/>
    <w:rsid w:val="008C7ED3"/>
    <w:pPr>
      <w:numPr>
        <w:numId w:val="18"/>
      </w:numPr>
      <w:tabs>
        <w:tab w:val="left" w:pos="1701"/>
        <w:tab w:val="left" w:pos="2268"/>
      </w:tabs>
    </w:pPr>
  </w:style>
  <w:style w:type="numbering" w:styleId="111111">
    <w:name w:val="Outline List 2"/>
    <w:basedOn w:val="NoList"/>
    <w:semiHidden/>
    <w:rsid w:val="008C7ED3"/>
    <w:pPr>
      <w:numPr>
        <w:numId w:val="20"/>
      </w:numPr>
    </w:pPr>
  </w:style>
  <w:style w:type="numbering" w:styleId="1ai">
    <w:name w:val="Outline List 1"/>
    <w:basedOn w:val="NoList"/>
    <w:semiHidden/>
    <w:rsid w:val="008C7ED3"/>
    <w:pPr>
      <w:numPr>
        <w:numId w:val="21"/>
      </w:numPr>
    </w:pPr>
  </w:style>
  <w:style w:type="character" w:styleId="BookTitle">
    <w:name w:val="Book Title"/>
    <w:basedOn w:val="DefaultParagraphFont"/>
    <w:uiPriority w:val="33"/>
    <w:rsid w:val="008C7ED3"/>
    <w:rPr>
      <w:b/>
      <w:bCs/>
      <w:smallCaps/>
      <w:spacing w:val="5"/>
    </w:rPr>
  </w:style>
  <w:style w:type="paragraph" w:styleId="BalloonText">
    <w:name w:val="Balloon Text"/>
    <w:basedOn w:val="Normal"/>
    <w:link w:val="BalloonTextChar"/>
    <w:uiPriority w:val="99"/>
    <w:semiHidden/>
    <w:unhideWhenUsed/>
    <w:rsid w:val="008C7ED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7ED3"/>
    <w:rPr>
      <w:rFonts w:ascii="Tahoma"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connectblog.com/2014/11/eu-accession-to-the-echr-ante-portas-or-a-mirage-on-the-horizon/"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europeanlawblog.eu/?p=2633"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echrblog.blogspot.com/2020/05/guest-post-on-european-court-domestic_26.html" TargetMode="Externa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C56BB23A3AB9C4C92544827A0807E07" ma:contentTypeVersion="15" ma:contentTypeDescription="Create a new document." ma:contentTypeScope="" ma:versionID="22127c4e5ed48d15138601685f72025d">
  <xsd:schema xmlns:xsd="http://www.w3.org/2001/XMLSchema" xmlns:xs="http://www.w3.org/2001/XMLSchema" xmlns:p="http://schemas.microsoft.com/office/2006/metadata/properties" xmlns:ns2="b42a5d91-61db-4e4b-beed-cf947cd61e07" xmlns:ns3="84722e3b-25e0-496d-a9f5-d37e31027713" targetNamespace="http://schemas.microsoft.com/office/2006/metadata/properties" ma:root="true" ma:fieldsID="a65a8a995531faa300d89fa9a6dc0ed5" ns2:_="" ns3:_="">
    <xsd:import namespace="b42a5d91-61db-4e4b-beed-cf947cd61e07"/>
    <xsd:import namespace="84722e3b-25e0-496d-a9f5-d37e31027713"/>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a5d91-61db-4e4b-beed-cf947cd61e07"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722e3b-25e0-496d-a9f5-d37e31027713"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3baa23c-0842-4ec8-be3c-7c7d86a10f0c}" ma:internalName="TaxCatchAll" ma:showField="CatchAllData" ma:web="84722e3b-25e0-496d-a9f5-d37e31027713">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42a5d91-61db-4e4b-beed-cf947cd61e07">
      <Terms xmlns="http://schemas.microsoft.com/office/infopath/2007/PartnerControls"/>
    </lcf76f155ced4ddcb4097134ff3c332f>
    <TaxCatchAll xmlns="84722e3b-25e0-496d-a9f5-d37e31027713" xsi:nil="true"/>
  </documentManagement>
</p:properties>
</file>

<file path=customXml/itemProps1.xml><?xml version="1.0" encoding="utf-8"?>
<ds:datastoreItem xmlns:ds="http://schemas.openxmlformats.org/officeDocument/2006/customXml" ds:itemID="{5737B413-D2A1-446C-A45B-55D2C0A92DFC}"/>
</file>

<file path=customXml/itemProps2.xml><?xml version="1.0" encoding="utf-8"?>
<ds:datastoreItem xmlns:ds="http://schemas.openxmlformats.org/officeDocument/2006/customXml" ds:itemID="{9F9640AD-93F1-462A-A028-1A7018AA47D4}"/>
</file>

<file path=customXml/itemProps3.xml><?xml version="1.0" encoding="utf-8"?>
<ds:datastoreItem xmlns:ds="http://schemas.openxmlformats.org/officeDocument/2006/customXml" ds:itemID="{9B042AEB-C6D5-41AA-9B64-00C945D187FB}"/>
</file>

<file path=docProps/app.xml><?xml version="1.0" encoding="utf-8"?>
<Properties xmlns="http://schemas.openxmlformats.org/officeDocument/2006/extended-properties" xmlns:vt="http://schemas.openxmlformats.org/officeDocument/2006/docPropsVTypes">
  <Template>Normal.dotm</Template>
  <TotalTime>1</TotalTime>
  <Pages>14</Pages>
  <Words>5169</Words>
  <Characters>29467</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34567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KIRBY</dc:creator>
  <cp:keywords/>
  <dc:description/>
  <cp:lastModifiedBy>Danielle KIRBY</cp:lastModifiedBy>
  <cp:revision>1</cp:revision>
  <cp:lastPrinted>2014-05-14T10:59:00Z</cp:lastPrinted>
  <dcterms:created xsi:type="dcterms:W3CDTF">2021-10-18T06:08:00Z</dcterms:created>
  <dcterms:modified xsi:type="dcterms:W3CDTF">2021-10-18T06:09:00Z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0x0101008C56BB23A3AB9C4C92544827A0807E07</vt:lpwstr>
  </property>
  <property fmtid="{D5CDD505-2E9C-101B-9397-08002B2CF9AE}" pid="3" name="Order">
    <vt:r8>100</vt:r8>
  </property>
</Properties>
</file>