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67AC" w:rsidRPr="000B4526" w:rsidRDefault="008567AC" w:rsidP="008567AC">
      <w:pPr>
        <w:spacing w:after="0"/>
        <w:jc w:val="both"/>
        <w:rPr>
          <w:sz w:val="28"/>
          <w:szCs w:val="28"/>
        </w:rPr>
      </w:pPr>
      <w:r w:rsidRPr="000B4526">
        <w:rPr>
          <w:rFonts w:cstheme="minorHAnsi"/>
          <w:noProof/>
          <w:sz w:val="28"/>
          <w:szCs w:val="28"/>
        </w:rPr>
        <mc:AlternateContent>
          <mc:Choice Requires="wps">
            <w:drawing>
              <wp:anchor distT="45720" distB="45720" distL="114300" distR="114300" simplePos="0" relativeHeight="251659264" behindDoc="0" locked="0" layoutInCell="1" allowOverlap="1" wp14:anchorId="2F5D576F" wp14:editId="2AF001A9">
                <wp:simplePos x="0" y="0"/>
                <wp:positionH relativeFrom="margin">
                  <wp:posOffset>0</wp:posOffset>
                </wp:positionH>
                <wp:positionV relativeFrom="paragraph">
                  <wp:posOffset>255270</wp:posOffset>
                </wp:positionV>
                <wp:extent cx="5600700" cy="1404620"/>
                <wp:effectExtent l="0" t="0" r="19050" b="1714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404620"/>
                        </a:xfrm>
                        <a:prstGeom prst="rect">
                          <a:avLst/>
                        </a:prstGeom>
                        <a:solidFill>
                          <a:srgbClr val="FFFFFF"/>
                        </a:solidFill>
                        <a:ln w="9525">
                          <a:solidFill>
                            <a:srgbClr val="000000"/>
                          </a:solidFill>
                          <a:miter lim="800000"/>
                          <a:headEnd/>
                          <a:tailEnd/>
                        </a:ln>
                      </wps:spPr>
                      <wps:txbx>
                        <w:txbxContent>
                          <w:p w:rsidR="008567AC" w:rsidRPr="0071515B" w:rsidRDefault="008567AC" w:rsidP="008567AC">
                            <w:pPr>
                              <w:jc w:val="center"/>
                              <w:rPr>
                                <w:rFonts w:asciiTheme="majorHAnsi" w:hAnsiTheme="majorHAnsi" w:cstheme="majorHAnsi"/>
                                <w:lang w:val="en-US"/>
                              </w:rPr>
                            </w:pPr>
                            <w:r w:rsidRPr="0071515B">
                              <w:rPr>
                                <w:rFonts w:asciiTheme="majorHAnsi" w:hAnsiTheme="majorHAnsi" w:cstheme="majorHAnsi"/>
                                <w:b/>
                                <w:lang w:val="en-US"/>
                              </w:rPr>
                              <w:t>WORKSHOP ON ENHANCING COOPERATION BETWEEN THE UNITED NATIONS AND REGIONAL MECHANISMS FOR THE PROMOTION AND PROTECTION OF HUMAN RIGHTS</w:t>
                            </w:r>
                          </w:p>
                          <w:p w:rsidR="008567AC" w:rsidRPr="00D57BED" w:rsidRDefault="008567AC" w:rsidP="008567AC">
                            <w:pPr>
                              <w:jc w:val="center"/>
                              <w:rPr>
                                <w:rFonts w:asciiTheme="majorHAnsi" w:hAnsiTheme="majorHAnsi" w:cstheme="majorHAnsi"/>
                                <w:b/>
                                <w:bCs/>
                                <w:lang w:val="en-US"/>
                              </w:rPr>
                            </w:pPr>
                            <w:r w:rsidRPr="00D57BED">
                              <w:rPr>
                                <w:rFonts w:asciiTheme="majorHAnsi" w:hAnsiTheme="majorHAnsi" w:cstheme="majorHAnsi"/>
                                <w:b/>
                                <w:bCs/>
                                <w:lang w:val="en-US"/>
                              </w:rPr>
                              <w:t>PANEL 5</w:t>
                            </w:r>
                          </w:p>
                          <w:p w:rsidR="008567AC" w:rsidRPr="0071515B" w:rsidRDefault="008567AC" w:rsidP="008567AC">
                            <w:pPr>
                              <w:jc w:val="center"/>
                              <w:rPr>
                                <w:rFonts w:asciiTheme="majorHAnsi" w:hAnsiTheme="majorHAnsi" w:cstheme="majorHAnsi"/>
                                <w:i/>
                                <w:u w:val="single"/>
                                <w:lang w:val="en-US"/>
                              </w:rPr>
                            </w:pPr>
                            <w:r w:rsidRPr="000A1D8F">
                              <w:rPr>
                                <w:rFonts w:asciiTheme="majorHAnsi" w:hAnsiTheme="majorHAnsi" w:cstheme="majorHAnsi"/>
                                <w:b/>
                                <w:bCs/>
                                <w:lang w:val="en-US"/>
                              </w:rPr>
                              <w:t>NATIONAL MECHANISMS, PROMOTION, PROTECTION, MONITORING</w:t>
                            </w:r>
                          </w:p>
                          <w:p w:rsidR="008567AC" w:rsidRPr="0071515B" w:rsidRDefault="008567AC" w:rsidP="008567AC">
                            <w:pPr>
                              <w:jc w:val="center"/>
                              <w:rPr>
                                <w:rFonts w:asciiTheme="majorHAnsi" w:hAnsiTheme="majorHAnsi" w:cstheme="majorHAnsi"/>
                                <w:lang w:val="en-US"/>
                              </w:rPr>
                            </w:pPr>
                            <w:r w:rsidRPr="0071515B">
                              <w:rPr>
                                <w:rFonts w:asciiTheme="majorHAnsi" w:hAnsiTheme="majorHAnsi" w:cstheme="majorHAnsi"/>
                                <w:i/>
                                <w:u w:val="single"/>
                                <w:lang w:val="en-US"/>
                              </w:rPr>
                              <w:t>Chair</w:t>
                            </w:r>
                            <w:r w:rsidRPr="0071515B">
                              <w:rPr>
                                <w:rFonts w:asciiTheme="majorHAnsi" w:hAnsiTheme="majorHAnsi" w:cstheme="majorHAnsi"/>
                                <w:lang w:val="en-US"/>
                              </w:rPr>
                              <w:t>: Ms. Amara PONGSAPICH, Chair, ASEAN AICHR</w:t>
                            </w:r>
                          </w:p>
                          <w:p w:rsidR="008567AC" w:rsidRPr="00680697" w:rsidRDefault="008567AC" w:rsidP="008567AC">
                            <w:pPr>
                              <w:jc w:val="center"/>
                              <w:rPr>
                                <w:rFonts w:asciiTheme="majorHAnsi" w:hAnsiTheme="majorHAnsi" w:cstheme="majorHAnsi"/>
                                <w:lang w:eastAsia="en-GB"/>
                              </w:rPr>
                            </w:pPr>
                            <w:r w:rsidRPr="00680697">
                              <w:rPr>
                                <w:rFonts w:asciiTheme="majorHAnsi" w:hAnsiTheme="majorHAnsi" w:cstheme="majorHAnsi"/>
                              </w:rPr>
                              <w:t>Speaker: Gabriela Mundo Rodr</w:t>
                            </w:r>
                            <w:r>
                              <w:rPr>
                                <w:rFonts w:asciiTheme="majorHAnsi" w:hAnsiTheme="majorHAnsi" w:cstheme="majorHAnsi"/>
                              </w:rPr>
                              <w:t>í</w:t>
                            </w:r>
                            <w:r w:rsidRPr="00680697">
                              <w:rPr>
                                <w:rFonts w:asciiTheme="majorHAnsi" w:hAnsiTheme="majorHAnsi" w:cstheme="majorHAnsi"/>
                              </w:rPr>
                              <w:t>guez</w:t>
                            </w:r>
                          </w:p>
                          <w:p w:rsidR="008567AC" w:rsidRPr="009F6A2E" w:rsidRDefault="008567AC" w:rsidP="008567AC">
                            <w:pPr>
                              <w:jc w:val="center"/>
                              <w:rPr>
                                <w:b/>
                                <w:bCs/>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5D576F" id="_x0000_t202" coordsize="21600,21600" o:spt="202" path="m,l,21600r21600,l21600,xe">
                <v:stroke joinstyle="miter"/>
                <v:path gradientshapeok="t" o:connecttype="rect"/>
              </v:shapetype>
              <v:shape id="Cuadro de texto 2" o:spid="_x0000_s1026" type="#_x0000_t202" style="position:absolute;left:0;text-align:left;margin-left:0;margin-top:20.1pt;width:441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">
                <v:textbox style="mso-fit-shape-to-text:t">
                  <w:txbxContent>
                    <w:p w:rsidR="008567AC" w:rsidRPr="0071515B" w:rsidRDefault="008567AC" w:rsidP="008567AC">
                      <w:pPr>
                        <w:jc w:val="center"/>
                        <w:rPr>
                          <w:rFonts w:asciiTheme="majorHAnsi" w:hAnsiTheme="majorHAnsi" w:cstheme="majorHAnsi"/>
                          <w:lang w:val="en-US"/>
                        </w:rPr>
                      </w:pPr>
                      <w:r w:rsidRPr="0071515B">
                        <w:rPr>
                          <w:rFonts w:asciiTheme="majorHAnsi" w:hAnsiTheme="majorHAnsi" w:cstheme="majorHAnsi"/>
                          <w:b/>
                          <w:lang w:val="en-US"/>
                        </w:rPr>
                        <w:t>WORKSHOP ON ENHANCING COOPERATION BETWEEN THE UNITED NATIONS AND REGIONAL MECHANISMS FOR THE PROMOTION AND PROTECTION OF HUMAN RIGHTS</w:t>
                      </w:r>
                    </w:p>
                    <w:p w:rsidR="008567AC" w:rsidRPr="00D57BED" w:rsidRDefault="008567AC" w:rsidP="008567AC">
                      <w:pPr>
                        <w:jc w:val="center"/>
                        <w:rPr>
                          <w:rFonts w:asciiTheme="majorHAnsi" w:hAnsiTheme="majorHAnsi" w:cstheme="majorHAnsi"/>
                          <w:b/>
                          <w:bCs/>
                          <w:lang w:val="en-US"/>
                        </w:rPr>
                      </w:pPr>
                      <w:r w:rsidRPr="00D57BED">
                        <w:rPr>
                          <w:rFonts w:asciiTheme="majorHAnsi" w:hAnsiTheme="majorHAnsi" w:cstheme="majorHAnsi"/>
                          <w:b/>
                          <w:bCs/>
                          <w:lang w:val="en-US"/>
                        </w:rPr>
                        <w:t>PANEL 5</w:t>
                      </w:r>
                    </w:p>
                    <w:p w:rsidR="008567AC" w:rsidRPr="0071515B" w:rsidRDefault="008567AC" w:rsidP="008567AC">
                      <w:pPr>
                        <w:jc w:val="center"/>
                        <w:rPr>
                          <w:rFonts w:asciiTheme="majorHAnsi" w:hAnsiTheme="majorHAnsi" w:cstheme="majorHAnsi"/>
                          <w:i/>
                          <w:u w:val="single"/>
                          <w:lang w:val="en-US"/>
                        </w:rPr>
                      </w:pPr>
                      <w:r w:rsidRPr="000A1D8F">
                        <w:rPr>
                          <w:rFonts w:asciiTheme="majorHAnsi" w:hAnsiTheme="majorHAnsi" w:cstheme="majorHAnsi"/>
                          <w:b/>
                          <w:bCs/>
                          <w:lang w:val="en-US"/>
                        </w:rPr>
                        <w:t>NATIONAL MECHANISMS, PROMOTION, PROTECTION, MONITORING</w:t>
                      </w:r>
                    </w:p>
                    <w:p w:rsidR="008567AC" w:rsidRPr="0071515B" w:rsidRDefault="008567AC" w:rsidP="008567AC">
                      <w:pPr>
                        <w:jc w:val="center"/>
                        <w:rPr>
                          <w:rFonts w:asciiTheme="majorHAnsi" w:hAnsiTheme="majorHAnsi" w:cstheme="majorHAnsi"/>
                          <w:lang w:val="en-US"/>
                        </w:rPr>
                      </w:pPr>
                      <w:r w:rsidRPr="0071515B">
                        <w:rPr>
                          <w:rFonts w:asciiTheme="majorHAnsi" w:hAnsiTheme="majorHAnsi" w:cstheme="majorHAnsi"/>
                          <w:i/>
                          <w:u w:val="single"/>
                          <w:lang w:val="en-US"/>
                        </w:rPr>
                        <w:t>Chair</w:t>
                      </w:r>
                      <w:r w:rsidRPr="0071515B">
                        <w:rPr>
                          <w:rFonts w:asciiTheme="majorHAnsi" w:hAnsiTheme="majorHAnsi" w:cstheme="majorHAnsi"/>
                          <w:lang w:val="en-US"/>
                        </w:rPr>
                        <w:t>: Ms. Amara PONGSAPICH, Chair, ASEAN AICHR</w:t>
                      </w:r>
                    </w:p>
                    <w:p w:rsidR="008567AC" w:rsidRPr="00680697" w:rsidRDefault="008567AC" w:rsidP="008567AC">
                      <w:pPr>
                        <w:jc w:val="center"/>
                        <w:rPr>
                          <w:rFonts w:asciiTheme="majorHAnsi" w:hAnsiTheme="majorHAnsi" w:cstheme="majorHAnsi"/>
                          <w:lang w:eastAsia="en-GB"/>
                        </w:rPr>
                      </w:pPr>
                      <w:r w:rsidRPr="00680697">
                        <w:rPr>
                          <w:rFonts w:asciiTheme="majorHAnsi" w:hAnsiTheme="majorHAnsi" w:cstheme="majorHAnsi"/>
                        </w:rPr>
                        <w:t>Speaker: Gabriela Mundo Rodr</w:t>
                      </w:r>
                      <w:r>
                        <w:rPr>
                          <w:rFonts w:asciiTheme="majorHAnsi" w:hAnsiTheme="majorHAnsi" w:cstheme="majorHAnsi"/>
                        </w:rPr>
                        <w:t>í</w:t>
                      </w:r>
                      <w:r w:rsidRPr="00680697">
                        <w:rPr>
                          <w:rFonts w:asciiTheme="majorHAnsi" w:hAnsiTheme="majorHAnsi" w:cstheme="majorHAnsi"/>
                        </w:rPr>
                        <w:t>guez</w:t>
                      </w:r>
                    </w:p>
                    <w:p w:rsidR="008567AC" w:rsidRPr="009F6A2E" w:rsidRDefault="008567AC" w:rsidP="008567AC">
                      <w:pPr>
                        <w:jc w:val="center"/>
                        <w:rPr>
                          <w:b/>
                          <w:bCs/>
                          <w:lang w:val="en-US"/>
                        </w:rPr>
                      </w:pPr>
                    </w:p>
                  </w:txbxContent>
                </v:textbox>
                <w10:wrap type="square" anchorx="margin"/>
              </v:shape>
            </w:pict>
          </mc:Fallback>
        </mc:AlternateContent>
      </w: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r w:rsidRPr="000B4526">
        <w:rPr>
          <w:sz w:val="28"/>
          <w:szCs w:val="28"/>
        </w:rPr>
        <w:t xml:space="preserve">Las Instituciones Nacionales de Derechos Humanos tienen una función decisiva en la promoción y supervisión de la aplicación eficaz de las normas internacionales de derechos humanos en el plano nacional y la cooperación que para ejercer su mandato les dan los sistemas regionales e internacionales es cada vez más importante. </w:t>
      </w: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r w:rsidRPr="000B4526">
        <w:rPr>
          <w:sz w:val="28"/>
          <w:szCs w:val="28"/>
        </w:rPr>
        <w:t xml:space="preserve">La Procuraduría de los Derechos Humanos (PDH) de Guatemala es una Institución independiente y autónoma que tiene como funciones la defensa y protección de derechos garantizados en la Constitución Política de la República y en los tratados y convenciones internacionales, también se contempla en sus atribuciones la supervisión de la administración pública. La Procuraduría de los Derechos Humanos cumple con los principios de París y ha sido acreditada como una institución tipo A por el Subcomité de Acreditación de la Alianza Global de Instituciones Nacionales de Derechos Humanos. </w:t>
      </w: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r w:rsidRPr="000B4526">
        <w:rPr>
          <w:sz w:val="28"/>
          <w:szCs w:val="28"/>
        </w:rPr>
        <w:t>El Estado de Guatemala en los últimos años ha dado avances para combatir el racismo y la discriminación, entre los cuales se pueden mencionar:</w:t>
      </w: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r w:rsidRPr="000B4526">
        <w:rPr>
          <w:sz w:val="28"/>
          <w:szCs w:val="28"/>
        </w:rPr>
        <w:t xml:space="preserve">Creación e implementación de la política pública para la Convivencia y la Eliminación del Racismo y la Discriminación, Institucionalización y fortalecimiento de la Comisión Presidencial contra el Racismo y la Discriminación en Guatemala (CODISRA), la Defensoría de la Mujer Indígena </w:t>
      </w:r>
      <w:r w:rsidRPr="000B4526">
        <w:rPr>
          <w:sz w:val="28"/>
          <w:szCs w:val="28"/>
        </w:rPr>
        <w:lastRenderedPageBreak/>
        <w:t>(DEMI), y la Academia de Lenguas Mayas (ALM), para abordar el racismo y de la discriminación como problemas nacionales tratados desde el Estado, pues constituyen una de las principales amenazas para el funcionamiento democrático de la sociedad guatemalteca.</w:t>
      </w:r>
    </w:p>
    <w:p w:rsidR="008567AC" w:rsidRPr="000B4526" w:rsidRDefault="008567AC" w:rsidP="008567AC">
      <w:pPr>
        <w:spacing w:after="0"/>
        <w:jc w:val="both"/>
        <w:rPr>
          <w:sz w:val="28"/>
          <w:szCs w:val="28"/>
        </w:rPr>
      </w:pPr>
      <w:r w:rsidRPr="000B4526">
        <w:rPr>
          <w:sz w:val="28"/>
          <w:szCs w:val="28"/>
        </w:rPr>
        <w:t>Educación bilingüe e intercultural en las escuelas e institutos públicos para generar espacios de sociabilidad intercultural y de negociación entre los diferentes sectores que conforman la sociedad civil.</w:t>
      </w: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r w:rsidRPr="000B4526">
        <w:rPr>
          <w:sz w:val="28"/>
          <w:szCs w:val="28"/>
        </w:rPr>
        <w:t>En el sistema de justicia, particularmente en el Ministerio Público (MP) y el Organismo Judicial (OJ), se han creado dependencias para atención de pueblos indígenas, se ha mejorado el servicio de intérpretes en los procesos judiciales y se ha capacitado a los funcionarios de la administración de justicia para atención a los pueblos indígenas.</w:t>
      </w: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r w:rsidRPr="000B4526">
        <w:rPr>
          <w:sz w:val="28"/>
          <w:szCs w:val="28"/>
        </w:rPr>
        <w:t xml:space="preserve">Condenas en procesos de justicia de transición, los ejemplos más notables son el caso de Sepur Zarco, sobre delitos de violencia sexual, esclavitud sexual y esclavitud doméstica a que fueron sometidas un grupo de mujeres mayas q’eqchi’ por miembros del Ejército. Y no se puede descartar el logro inicial de la sentencia por genocidio y deberes contra la humanidad </w:t>
      </w: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r w:rsidRPr="000B4526">
        <w:rPr>
          <w:sz w:val="28"/>
          <w:szCs w:val="28"/>
        </w:rPr>
        <w:t>Desde la Institución Nacional de Derechos Humanos (INDH), se creó la Defensoría de Pueblos Indígenas, como un mecanismo para recibir denuncias y atender casos de violación de derechos.</w:t>
      </w: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r w:rsidRPr="000B4526">
        <w:rPr>
          <w:sz w:val="28"/>
          <w:szCs w:val="28"/>
        </w:rPr>
        <w:t xml:space="preserve">La función de la INDH, de supervisión de la administración pública, permite monitorear la implementación de estas acciones que se han mencionado, educa en derechos humanos tanto a funcionarios públicos como a los titulares de derechos. </w:t>
      </w: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r w:rsidRPr="000B4526">
        <w:rPr>
          <w:sz w:val="28"/>
          <w:szCs w:val="28"/>
        </w:rPr>
        <w:t>Si bien</w:t>
      </w:r>
      <w:r w:rsidR="0030046C">
        <w:rPr>
          <w:sz w:val="28"/>
          <w:szCs w:val="28"/>
        </w:rPr>
        <w:t>,</w:t>
      </w:r>
      <w:r w:rsidRPr="000B4526">
        <w:rPr>
          <w:sz w:val="28"/>
          <w:szCs w:val="28"/>
        </w:rPr>
        <w:t xml:space="preserve"> las acciones que se realizan a nivel nacional son relevantes, no podemos dejar de referirnos a las alianzas entre las instituciones nacionales de derechos humanos y los mecanismos regionales, pues fortalecen el mandato individual, y generan espacios de diálogo e intercambio de buenas prácticas para adoptar un enfoque común respecto de las cuestiones relativas a la discriminación racial, el racismo y otras formas de intolerancia. </w:t>
      </w: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r w:rsidRPr="000B4526">
        <w:rPr>
          <w:sz w:val="28"/>
          <w:szCs w:val="28"/>
        </w:rPr>
        <w:t xml:space="preserve">Al referirnos a la cooperación con la Comisión Interamericana de Derechos Humanos, hemos suscrito una carta de entendimiento para fortalecer a la PDH a través del diseño e implementación de proyectos de investigación conjunta; colaboración recíproca en actividades de enseñanza y promoción del Sistema Interamericano de Derechos Humanos (SIDH); y realizando actividades conjuntas para tratar asuntos de interés común. </w:t>
      </w: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r w:rsidRPr="000B4526">
        <w:rPr>
          <w:sz w:val="28"/>
          <w:szCs w:val="28"/>
        </w:rPr>
        <w:t xml:space="preserve">Se han celebrado dos encuentros de intercambio de buenas prácticas para instituciones nacionales de derechos humanos, en los que la Comisión Interamericana de Derechos Humanos (CIDH) firmó una declaración de compromiso en materia de cooperación técnica y creación de un mecanismo de puntos de contacto con las Procuradurías de Derechos Humanos de Guatemala y El Salvador, el Comisionado Nacional de Derechos Humanos de Honduras, la Defensoría del Pueblo de Colombia, y el Instituto Nacional de Derechos Humanos de Chile. </w:t>
      </w: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r w:rsidRPr="000B4526">
        <w:rPr>
          <w:sz w:val="28"/>
          <w:szCs w:val="28"/>
        </w:rPr>
        <w:t>En el compromiso, las instituciones acordaron crear un mecanismo de puntos focales de contacto con el objetivo de generar procesos coordinados de intercambio de información, ampliar los canales de participación independiente de las INDH en los mecanismos de promoción y protección de derechos humanos de la CIDH, y desarrollar proyectos de cooperación técnica.</w:t>
      </w: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r w:rsidRPr="000B4526">
        <w:rPr>
          <w:sz w:val="28"/>
          <w:szCs w:val="28"/>
        </w:rPr>
        <w:t xml:space="preserve">Una buena práctica que hemos utilizado las Instituciones Nacionales de Derechos Humanos, se ha concretado en el marco de la situación de las personas migrantes y otras en situación de movilidad, como refugiados/as y solicitantes de asilo, que desde América Central se dirigen hacia Estados Unidos. Ante la separación de niños, niñas y adolescentes en la frontera sur de EEUU, las INDH de Guatemala, México, El Salvador, Honduras, Ecuador y Colombia solicitamos a la CIDH medidas cautelares para detener las separaciones familiares, las cuales nos fueron otorgadas en agosto 2018.  </w:t>
      </w:r>
    </w:p>
    <w:p w:rsidR="008567AC" w:rsidRPr="000B4526" w:rsidRDefault="008567AC" w:rsidP="008567AC">
      <w:pPr>
        <w:spacing w:after="0"/>
        <w:jc w:val="both"/>
        <w:rPr>
          <w:sz w:val="28"/>
          <w:szCs w:val="28"/>
        </w:rPr>
      </w:pPr>
    </w:p>
    <w:p w:rsidR="008567AC" w:rsidRPr="000B4526" w:rsidRDefault="008567AC" w:rsidP="008567AC">
      <w:pPr>
        <w:spacing w:after="0"/>
        <w:jc w:val="both"/>
        <w:rPr>
          <w:sz w:val="28"/>
          <w:szCs w:val="28"/>
        </w:rPr>
      </w:pPr>
      <w:r w:rsidRPr="000B4526">
        <w:rPr>
          <w:sz w:val="28"/>
          <w:szCs w:val="28"/>
        </w:rPr>
        <w:t xml:space="preserve">El sistema de Naciones Unidas, apoya el fortalecimiento de la PDH y colabora estrechamente en aspectos esenciales de la protección de los derechos </w:t>
      </w:r>
      <w:r w:rsidRPr="000B4526">
        <w:rPr>
          <w:sz w:val="28"/>
          <w:szCs w:val="28"/>
        </w:rPr>
        <w:lastRenderedPageBreak/>
        <w:t xml:space="preserve">humanos. La colaboración se da desde varias agencias de Naciones Unidas, tales como ACNUR, UNICEF, UNFPA, UNWOMEN. </w:t>
      </w:r>
    </w:p>
    <w:p w:rsidR="008567AC" w:rsidRPr="000B4526" w:rsidRDefault="008567AC" w:rsidP="008567AC">
      <w:pPr>
        <w:spacing w:after="0"/>
        <w:jc w:val="both"/>
        <w:rPr>
          <w:sz w:val="28"/>
          <w:szCs w:val="28"/>
        </w:rPr>
      </w:pPr>
      <w:r w:rsidRPr="000B4526">
        <w:rPr>
          <w:sz w:val="28"/>
          <w:szCs w:val="28"/>
        </w:rPr>
        <w:t xml:space="preserve">En Guatemala, sostenemos una estrecha coordinación con la Oficina del Alto Comisionado de las Naciones Unidas para los Derechos Humanos en Guatemala (OACNUDH), a quienes consideramos una contraparte indispensable en nuestra labor. La relación nos provee de su asistencia técnica. Además, en 2019 elaboramos conjuntamente un informe sobre la situación de las personas defensoras de derechos humanos. </w:t>
      </w:r>
    </w:p>
    <w:p w:rsidR="00F66227" w:rsidRDefault="00F66227" w:rsidP="008567AC">
      <w:pPr>
        <w:spacing w:after="0"/>
        <w:jc w:val="both"/>
        <w:rPr>
          <w:sz w:val="28"/>
          <w:szCs w:val="28"/>
        </w:rPr>
      </w:pPr>
    </w:p>
    <w:p w:rsidR="00094CB9" w:rsidRPr="000B4526" w:rsidRDefault="008567AC" w:rsidP="008567AC">
      <w:pPr>
        <w:spacing w:after="0"/>
        <w:jc w:val="both"/>
        <w:rPr>
          <w:sz w:val="28"/>
          <w:szCs w:val="28"/>
        </w:rPr>
      </w:pPr>
      <w:r w:rsidRPr="000B4526">
        <w:rPr>
          <w:sz w:val="28"/>
          <w:szCs w:val="28"/>
        </w:rPr>
        <w:t xml:space="preserve">También tenemos participación activa en los órganos de tratados, y con procedimientos especiales, así como el Examen Periódico Universal, a quienes remitimos información en el marco de la revisión que se realiza al Estado de Guatemala. Presentamos informes alternativos al Examen Periódico Universal, mecanismos de Procedimientos Especiales y Comités de Órganos de Tratados; se emiten declaraciones durante los debates ante órganos revisores y el Consejo de Derechos Humanos; y se supervisa y promueve la implementación </w:t>
      </w:r>
      <w:bookmarkStart w:id="0" w:name="_GoBack"/>
      <w:bookmarkEnd w:id="0"/>
      <w:r w:rsidRPr="000B4526">
        <w:rPr>
          <w:sz w:val="28"/>
          <w:szCs w:val="28"/>
        </w:rPr>
        <w:t>de recomendaciones relevantes emanadas del sistema de derechos humanos.</w:t>
      </w:r>
    </w:p>
    <w:sectPr w:rsidR="00094CB9" w:rsidRPr="000B452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7AC"/>
    <w:rsid w:val="00094CB9"/>
    <w:rsid w:val="000B4526"/>
    <w:rsid w:val="0030046C"/>
    <w:rsid w:val="0047174E"/>
    <w:rsid w:val="006C20F5"/>
    <w:rsid w:val="008567AC"/>
    <w:rsid w:val="00EA521C"/>
    <w:rsid w:val="00F6622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8FE81"/>
  <w15:chartTrackingRefBased/>
  <w15:docId w15:val="{4BA43C3A-FD18-4FD7-8478-80A02AA1B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567A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567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CB25953-777E-465A-BA79-11A5BDAAD786}"/>
</file>

<file path=customXml/itemProps2.xml><?xml version="1.0" encoding="utf-8"?>
<ds:datastoreItem xmlns:ds="http://schemas.openxmlformats.org/officeDocument/2006/customXml" ds:itemID="{0E89BCC9-961A-446B-BF7F-EC262AE18A8A}"/>
</file>

<file path=customXml/itemProps3.xml><?xml version="1.0" encoding="utf-8"?>
<ds:datastoreItem xmlns:ds="http://schemas.openxmlformats.org/officeDocument/2006/customXml" ds:itemID="{F0FC12E4-A283-4CE2-A684-617306A29A41}"/>
</file>

<file path=docProps/app.xml><?xml version="1.0" encoding="utf-8"?>
<Properties xmlns="http://schemas.openxmlformats.org/officeDocument/2006/extended-properties" xmlns:vt="http://schemas.openxmlformats.org/officeDocument/2006/docPropsVTypes">
  <Template>Normal</Template>
  <TotalTime>9</TotalTime>
  <Pages>4</Pages>
  <Words>1004</Words>
  <Characters>5528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Gabiela Mundo</dc:creator>
  <cp:keywords/>
  <dc:description/>
  <cp:lastModifiedBy>Gabiela Mundo</cp:lastModifiedBy>
  <cp:revision>5</cp:revision>
  <dcterms:created xsi:type="dcterms:W3CDTF">2019-10-21T22:04:00Z</dcterms:created>
  <dcterms:modified xsi:type="dcterms:W3CDTF">2019-10-22T09:07:00Z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