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4E175C" w14:textId="7B6A81BF" w:rsidR="005E24F5" w:rsidRPr="005B2B10" w:rsidRDefault="005E24F5" w:rsidP="005E24F5">
      <w:pPr>
        <w:jc w:val="center"/>
        <w:rPr>
          <w:b/>
          <w:bCs/>
          <w:sz w:val="28"/>
          <w:szCs w:val="28"/>
        </w:rPr>
      </w:pPr>
      <w:r w:rsidRPr="005B2B10">
        <w:rPr>
          <w:b/>
          <w:bCs/>
          <w:sz w:val="28"/>
          <w:szCs w:val="28"/>
        </w:rPr>
        <w:t xml:space="preserve">Comments on the Draft General Comment No. 38 on </w:t>
      </w:r>
      <w:r w:rsidRPr="005B2B10">
        <w:rPr>
          <w:b/>
          <w:bCs/>
          <w:sz w:val="28"/>
          <w:szCs w:val="28"/>
        </w:rPr>
        <w:br/>
        <w:t xml:space="preserve">Article 22 of the International Covenant on Civil and Political Rights </w:t>
      </w:r>
      <w:r w:rsidRPr="005B2B10">
        <w:rPr>
          <w:b/>
          <w:bCs/>
          <w:sz w:val="28"/>
          <w:szCs w:val="28"/>
        </w:rPr>
        <w:br/>
        <w:t>(Right to Freedom of Association)</w:t>
      </w:r>
    </w:p>
    <w:p w14:paraId="6C0F11BD" w14:textId="64B62635" w:rsidR="005E24F5" w:rsidRPr="005B2B10" w:rsidRDefault="005E24F5" w:rsidP="005E24F5">
      <w:pPr>
        <w:jc w:val="center"/>
        <w:rPr>
          <w:i/>
          <w:iCs/>
          <w:sz w:val="28"/>
          <w:szCs w:val="28"/>
        </w:rPr>
      </w:pPr>
      <w:r w:rsidRPr="005B2B10">
        <w:rPr>
          <w:i/>
          <w:iCs/>
          <w:sz w:val="28"/>
          <w:szCs w:val="28"/>
        </w:rPr>
        <w:t>Comments on the text adopted on first reading at the Committee’s 145</w:t>
      </w:r>
      <w:r w:rsidRPr="005B2B10">
        <w:rPr>
          <w:i/>
          <w:iCs/>
          <w:sz w:val="28"/>
          <w:szCs w:val="28"/>
          <w:vertAlign w:val="superscript"/>
        </w:rPr>
        <w:t>th</w:t>
      </w:r>
      <w:r w:rsidRPr="005B2B10">
        <w:rPr>
          <w:i/>
          <w:iCs/>
          <w:sz w:val="28"/>
          <w:szCs w:val="28"/>
        </w:rPr>
        <w:t xml:space="preserve"> session (2-19 March 2026) </w:t>
      </w:r>
    </w:p>
    <w:p w14:paraId="717E209C" w14:textId="4BF9069F" w:rsidR="005E24F5" w:rsidRDefault="00926141" w:rsidP="00926141">
      <w:pPr>
        <w:jc w:val="center"/>
        <w:rPr>
          <w:sz w:val="28"/>
          <w:szCs w:val="28"/>
        </w:rPr>
      </w:pPr>
      <w:r>
        <w:rPr>
          <w:sz w:val="28"/>
          <w:szCs w:val="28"/>
        </w:rPr>
        <w:t>Yan-ho Lai, Ph.D., Senior Fellow, Center for Asian Law, Georgetown University Law Center</w:t>
      </w:r>
    </w:p>
    <w:p w14:paraId="4DE78D8E" w14:textId="096ED31E" w:rsidR="00926141" w:rsidRDefault="00926141" w:rsidP="005E24F5">
      <w:pPr>
        <w:jc w:val="center"/>
        <w:rPr>
          <w:sz w:val="28"/>
          <w:szCs w:val="28"/>
        </w:rPr>
      </w:pPr>
      <w:r>
        <w:rPr>
          <w:sz w:val="28"/>
          <w:szCs w:val="28"/>
        </w:rPr>
        <w:t xml:space="preserve">Researcher </w:t>
      </w:r>
      <w:r w:rsidR="008E6162">
        <w:rPr>
          <w:sz w:val="28"/>
          <w:szCs w:val="28"/>
        </w:rPr>
        <w:t>V</w:t>
      </w:r>
      <w:r>
        <w:rPr>
          <w:sz w:val="28"/>
          <w:szCs w:val="28"/>
        </w:rPr>
        <w:t xml:space="preserve"> (alias)</w:t>
      </w:r>
      <w:r w:rsidR="008E6162">
        <w:rPr>
          <w:sz w:val="28"/>
          <w:szCs w:val="28"/>
        </w:rPr>
        <w:t>, LL.M., Columbia Law School</w:t>
      </w:r>
    </w:p>
    <w:p w14:paraId="597EE0F2" w14:textId="12682BD5" w:rsidR="005E24F5" w:rsidRPr="005B2B10" w:rsidRDefault="00553438" w:rsidP="005E24F5">
      <w:pPr>
        <w:jc w:val="center"/>
        <w:rPr>
          <w:sz w:val="28"/>
          <w:szCs w:val="28"/>
        </w:rPr>
      </w:pPr>
      <w:r>
        <w:rPr>
          <w:sz w:val="28"/>
          <w:szCs w:val="28"/>
        </w:rPr>
        <w:t>1</w:t>
      </w:r>
      <w:r w:rsidR="005E24F5" w:rsidRPr="005B2B10">
        <w:rPr>
          <w:sz w:val="28"/>
          <w:szCs w:val="28"/>
        </w:rPr>
        <w:t xml:space="preserve"> </w:t>
      </w:r>
      <w:r>
        <w:rPr>
          <w:sz w:val="28"/>
          <w:szCs w:val="28"/>
        </w:rPr>
        <w:t>October</w:t>
      </w:r>
      <w:r w:rsidR="005E24F5" w:rsidRPr="005B2B10">
        <w:rPr>
          <w:sz w:val="28"/>
          <w:szCs w:val="28"/>
        </w:rPr>
        <w:t xml:space="preserve"> 2026</w:t>
      </w:r>
    </w:p>
    <w:p w14:paraId="08497EDF" w14:textId="4F4B84B8" w:rsidR="002540C2" w:rsidRDefault="00F70E08" w:rsidP="005E24F5">
      <w:pPr>
        <w:pStyle w:val="ListParagraph"/>
        <w:numPr>
          <w:ilvl w:val="0"/>
          <w:numId w:val="2"/>
        </w:numPr>
        <w:ind w:left="540" w:hanging="540"/>
        <w:rPr>
          <w:b/>
          <w:bCs/>
          <w:sz w:val="28"/>
          <w:szCs w:val="28"/>
        </w:rPr>
      </w:pPr>
      <w:r>
        <w:rPr>
          <w:b/>
          <w:bCs/>
          <w:sz w:val="28"/>
          <w:szCs w:val="28"/>
        </w:rPr>
        <w:t>Introduction</w:t>
      </w:r>
      <w:r w:rsidR="0091284C">
        <w:rPr>
          <w:b/>
          <w:bCs/>
          <w:sz w:val="28"/>
          <w:szCs w:val="28"/>
        </w:rPr>
        <w:t xml:space="preserve"> </w:t>
      </w:r>
    </w:p>
    <w:p w14:paraId="406C4340" w14:textId="0F4A77D1" w:rsidR="00B633B9" w:rsidRPr="009B0FA6" w:rsidRDefault="00484CB7" w:rsidP="00B633B9">
      <w:pPr>
        <w:numPr>
          <w:ilvl w:val="0"/>
          <w:numId w:val="3"/>
        </w:numPr>
        <w:snapToGrid w:val="0"/>
        <w:spacing w:before="120" w:after="0" w:line="276" w:lineRule="auto"/>
        <w:ind w:left="547" w:hanging="547"/>
        <w:jc w:val="both"/>
        <w:rPr>
          <w:sz w:val="28"/>
          <w:szCs w:val="28"/>
        </w:rPr>
      </w:pPr>
      <w:r w:rsidRPr="009B0FA6">
        <w:rPr>
          <w:sz w:val="28"/>
          <w:szCs w:val="28"/>
        </w:rPr>
        <w:t>This submission comments on the draft General Comment No. 38 on Article 22 of the International Covenant on Civil and Political Rights (“</w:t>
      </w:r>
      <w:r w:rsidRPr="009B0FA6">
        <w:rPr>
          <w:b/>
          <w:bCs/>
          <w:sz w:val="28"/>
          <w:szCs w:val="28"/>
        </w:rPr>
        <w:t>ICCPR</w:t>
      </w:r>
      <w:r w:rsidRPr="009B0FA6">
        <w:rPr>
          <w:sz w:val="28"/>
          <w:szCs w:val="28"/>
        </w:rPr>
        <w:t>”), as adopted on first reading at the Human Rights Committee’s (“</w:t>
      </w:r>
      <w:r w:rsidRPr="009B0FA6">
        <w:rPr>
          <w:b/>
          <w:bCs/>
          <w:sz w:val="28"/>
          <w:szCs w:val="28"/>
        </w:rPr>
        <w:t>the Committee</w:t>
      </w:r>
      <w:r w:rsidRPr="009B0FA6">
        <w:rPr>
          <w:sz w:val="28"/>
          <w:szCs w:val="28"/>
        </w:rPr>
        <w:t>”) 145</w:t>
      </w:r>
      <w:r w:rsidRPr="009B0FA6">
        <w:rPr>
          <w:sz w:val="28"/>
          <w:szCs w:val="28"/>
          <w:vertAlign w:val="superscript"/>
        </w:rPr>
        <w:t>th</w:t>
      </w:r>
      <w:r w:rsidRPr="009B0FA6">
        <w:rPr>
          <w:sz w:val="28"/>
          <w:szCs w:val="28"/>
        </w:rPr>
        <w:t xml:space="preserve"> session (“</w:t>
      </w:r>
      <w:r w:rsidRPr="009B0FA6">
        <w:rPr>
          <w:b/>
          <w:bCs/>
          <w:sz w:val="28"/>
          <w:szCs w:val="28"/>
        </w:rPr>
        <w:t>the Draft General Comment</w:t>
      </w:r>
      <w:r w:rsidRPr="009B0FA6">
        <w:rPr>
          <w:sz w:val="28"/>
          <w:szCs w:val="28"/>
        </w:rPr>
        <w:t>”)</w:t>
      </w:r>
      <w:r w:rsidR="005D1EFB" w:rsidRPr="009B0FA6">
        <w:rPr>
          <w:sz w:val="28"/>
          <w:szCs w:val="28"/>
        </w:rPr>
        <w:t xml:space="preserve">. </w:t>
      </w:r>
      <w:r w:rsidR="00B633B9" w:rsidRPr="009B0FA6">
        <w:rPr>
          <w:sz w:val="28"/>
          <w:szCs w:val="28"/>
        </w:rPr>
        <w:t>It</w:t>
      </w:r>
      <w:r w:rsidRPr="009B0FA6">
        <w:rPr>
          <w:sz w:val="28"/>
          <w:szCs w:val="28"/>
        </w:rPr>
        <w:t xml:space="preserve"> is prompted by a recent judgment handed down by the Hong Kong Court of Appeal on 3 September 2026 (“</w:t>
      </w:r>
      <w:r w:rsidRPr="009B0FA6">
        <w:rPr>
          <w:b/>
          <w:bCs/>
          <w:sz w:val="28"/>
          <w:szCs w:val="28"/>
        </w:rPr>
        <w:t>the Judgment</w:t>
      </w:r>
      <w:r w:rsidRPr="009B0FA6">
        <w:rPr>
          <w:sz w:val="28"/>
          <w:szCs w:val="28"/>
        </w:rPr>
        <w:t>”), upholding the criminal conviction</w:t>
      </w:r>
      <w:r w:rsidR="009B0FA6" w:rsidRPr="009B0FA6">
        <w:rPr>
          <w:sz w:val="28"/>
          <w:szCs w:val="28"/>
        </w:rPr>
        <w:t xml:space="preserve">, under the </w:t>
      </w:r>
      <w:r w:rsidR="00C86F12">
        <w:rPr>
          <w:sz w:val="28"/>
          <w:szCs w:val="28"/>
        </w:rPr>
        <w:t xml:space="preserve">Hong Kong </w:t>
      </w:r>
      <w:r w:rsidR="009B0FA6" w:rsidRPr="009B0FA6">
        <w:rPr>
          <w:sz w:val="28"/>
          <w:szCs w:val="28"/>
        </w:rPr>
        <w:t xml:space="preserve">Societies Ordinance (Cap. 151), </w:t>
      </w:r>
      <w:r w:rsidRPr="009B0FA6">
        <w:rPr>
          <w:sz w:val="28"/>
          <w:szCs w:val="28"/>
        </w:rPr>
        <w:t xml:space="preserve">of five </w:t>
      </w:r>
      <w:r w:rsidR="0015695D" w:rsidRPr="009B0FA6">
        <w:rPr>
          <w:sz w:val="28"/>
          <w:szCs w:val="28"/>
        </w:rPr>
        <w:t xml:space="preserve">trustees of the 612 Humanitarian </w:t>
      </w:r>
      <w:r w:rsidR="009B0FA6" w:rsidRPr="009B0FA6">
        <w:rPr>
          <w:sz w:val="28"/>
          <w:szCs w:val="28"/>
        </w:rPr>
        <w:t xml:space="preserve">Relief </w:t>
      </w:r>
      <w:r w:rsidR="0015695D" w:rsidRPr="009B0FA6">
        <w:rPr>
          <w:sz w:val="28"/>
          <w:szCs w:val="28"/>
        </w:rPr>
        <w:t>Fund</w:t>
      </w:r>
      <w:r w:rsidR="009B0FA6" w:rsidRPr="009B0FA6">
        <w:rPr>
          <w:sz w:val="28"/>
          <w:szCs w:val="28"/>
        </w:rPr>
        <w:t xml:space="preserve"> as “office-bearers” </w:t>
      </w:r>
      <w:r w:rsidRPr="009B0FA6">
        <w:rPr>
          <w:sz w:val="28"/>
          <w:szCs w:val="28"/>
        </w:rPr>
        <w:t xml:space="preserve">for failing to register </w:t>
      </w:r>
      <w:r w:rsidR="009B0FA6" w:rsidRPr="009B0FA6">
        <w:rPr>
          <w:sz w:val="28"/>
          <w:szCs w:val="28"/>
        </w:rPr>
        <w:t>the Fund</w:t>
      </w:r>
      <w:r w:rsidR="0015695D" w:rsidRPr="009B0FA6">
        <w:rPr>
          <w:sz w:val="28"/>
          <w:szCs w:val="28"/>
        </w:rPr>
        <w:t xml:space="preserve"> as</w:t>
      </w:r>
      <w:r w:rsidRPr="009B0FA6">
        <w:rPr>
          <w:sz w:val="28"/>
          <w:szCs w:val="28"/>
        </w:rPr>
        <w:t xml:space="preserve"> </w:t>
      </w:r>
      <w:r w:rsidR="009B0FA6" w:rsidRPr="009B0FA6">
        <w:rPr>
          <w:sz w:val="28"/>
          <w:szCs w:val="28"/>
        </w:rPr>
        <w:t xml:space="preserve">an </w:t>
      </w:r>
      <w:r w:rsidRPr="009B0FA6">
        <w:rPr>
          <w:sz w:val="28"/>
          <w:szCs w:val="28"/>
        </w:rPr>
        <w:t>“association of persons</w:t>
      </w:r>
      <w:r w:rsidR="009B0FA6" w:rsidRPr="009B0FA6">
        <w:rPr>
          <w:sz w:val="28"/>
          <w:szCs w:val="28"/>
        </w:rPr>
        <w:t>.</w:t>
      </w:r>
      <w:r w:rsidRPr="009B0FA6">
        <w:rPr>
          <w:sz w:val="28"/>
          <w:szCs w:val="28"/>
        </w:rPr>
        <w:t>”</w:t>
      </w:r>
      <w:r w:rsidR="00053C89">
        <w:rPr>
          <w:rStyle w:val="FootnoteReference"/>
          <w:sz w:val="28"/>
          <w:szCs w:val="28"/>
        </w:rPr>
        <w:footnoteReference w:id="1"/>
      </w:r>
      <w:r w:rsidR="0015695D" w:rsidRPr="009B0FA6">
        <w:rPr>
          <w:sz w:val="28"/>
          <w:szCs w:val="28"/>
        </w:rPr>
        <w:t xml:space="preserve"> </w:t>
      </w:r>
      <w:r w:rsidR="00B633B9" w:rsidRPr="009B0FA6">
        <w:rPr>
          <w:sz w:val="28"/>
          <w:szCs w:val="28"/>
        </w:rPr>
        <w:t xml:space="preserve">It is understood that the </w:t>
      </w:r>
      <w:r w:rsidR="009B0FA6" w:rsidRPr="009B0FA6">
        <w:rPr>
          <w:sz w:val="28"/>
          <w:szCs w:val="28"/>
        </w:rPr>
        <w:t>Appellants</w:t>
      </w:r>
      <w:r w:rsidR="00B633B9" w:rsidRPr="009B0FA6">
        <w:rPr>
          <w:sz w:val="28"/>
          <w:szCs w:val="28"/>
        </w:rPr>
        <w:t xml:space="preserve"> intend to seek leave to appeal to the </w:t>
      </w:r>
      <w:r w:rsidR="008529EE">
        <w:rPr>
          <w:sz w:val="28"/>
          <w:szCs w:val="28"/>
        </w:rPr>
        <w:t xml:space="preserve">Hong Kong </w:t>
      </w:r>
      <w:r w:rsidR="00B633B9" w:rsidRPr="009B0FA6">
        <w:rPr>
          <w:sz w:val="28"/>
          <w:szCs w:val="28"/>
        </w:rPr>
        <w:t>Court of Final Appeal.</w:t>
      </w:r>
      <w:r w:rsidR="00053C89">
        <w:rPr>
          <w:rStyle w:val="FootnoteReference"/>
          <w:sz w:val="28"/>
          <w:szCs w:val="28"/>
        </w:rPr>
        <w:footnoteReference w:id="2"/>
      </w:r>
      <w:r w:rsidR="00B633B9" w:rsidRPr="009B0FA6">
        <w:rPr>
          <w:sz w:val="28"/>
          <w:szCs w:val="28"/>
        </w:rPr>
        <w:t xml:space="preserve"> </w:t>
      </w:r>
    </w:p>
    <w:p w14:paraId="26762F8C" w14:textId="77777777" w:rsidR="00B633B9" w:rsidRPr="009B0FA6" w:rsidRDefault="00B633B9" w:rsidP="00B633B9">
      <w:pPr>
        <w:spacing w:after="0" w:line="240" w:lineRule="auto"/>
        <w:rPr>
          <w:sz w:val="28"/>
          <w:szCs w:val="28"/>
        </w:rPr>
      </w:pPr>
    </w:p>
    <w:p w14:paraId="5D7B9D50" w14:textId="25E5CFA7" w:rsidR="00B633B9" w:rsidRPr="009B0FA6" w:rsidRDefault="00B633B9" w:rsidP="00B633B9">
      <w:pPr>
        <w:numPr>
          <w:ilvl w:val="0"/>
          <w:numId w:val="3"/>
        </w:numPr>
        <w:snapToGrid w:val="0"/>
        <w:spacing w:before="120" w:after="0" w:line="276" w:lineRule="auto"/>
        <w:ind w:left="547" w:hanging="547"/>
        <w:jc w:val="both"/>
        <w:rPr>
          <w:sz w:val="28"/>
          <w:szCs w:val="28"/>
        </w:rPr>
      </w:pPr>
      <w:r w:rsidRPr="009B0FA6">
        <w:rPr>
          <w:sz w:val="28"/>
          <w:szCs w:val="28"/>
        </w:rPr>
        <w:t>For the avoidance of doubt, this submission does not ask the Committee to comment on, or express any view regarding, the merits of that or any other pending domestic proceedings. Rather, the case of Hong Kong illustrates a</w:t>
      </w:r>
      <w:r w:rsidR="009B0FA6">
        <w:rPr>
          <w:sz w:val="28"/>
          <w:szCs w:val="28"/>
        </w:rPr>
        <w:t xml:space="preserve"> gap in the legal protection of informal, unregistered </w:t>
      </w:r>
      <w:r w:rsidR="009B0FA6" w:rsidRPr="007D083D">
        <w:rPr>
          <w:sz w:val="28"/>
          <w:szCs w:val="28"/>
        </w:rPr>
        <w:t>de facto</w:t>
      </w:r>
      <w:r w:rsidR="009B0FA6">
        <w:rPr>
          <w:sz w:val="28"/>
          <w:szCs w:val="28"/>
        </w:rPr>
        <w:t xml:space="preserve"> associations, an aspect of the right to freedom of association that </w:t>
      </w:r>
      <w:r w:rsidRPr="009B0FA6">
        <w:rPr>
          <w:sz w:val="28"/>
          <w:szCs w:val="28"/>
        </w:rPr>
        <w:t xml:space="preserve">would benefit from more explicit guidance </w:t>
      </w:r>
      <w:r w:rsidRPr="009B0FA6">
        <w:rPr>
          <w:sz w:val="28"/>
          <w:szCs w:val="28"/>
        </w:rPr>
        <w:lastRenderedPageBreak/>
        <w:t xml:space="preserve">in the General Comment No. 38, not only for Hong Kong but also for other places that use registration systems as a tool of government control. </w:t>
      </w:r>
      <w:r w:rsidR="00926141">
        <w:rPr>
          <w:sz w:val="28"/>
          <w:szCs w:val="28"/>
        </w:rPr>
        <w:t>Note that this submission’s focus on the right to free</w:t>
      </w:r>
      <w:r w:rsidR="00C86F12">
        <w:rPr>
          <w:sz w:val="28"/>
          <w:szCs w:val="28"/>
        </w:rPr>
        <w:t>dom of</w:t>
      </w:r>
      <w:r w:rsidR="00926141">
        <w:rPr>
          <w:sz w:val="28"/>
          <w:szCs w:val="28"/>
        </w:rPr>
        <w:t xml:space="preserve"> association </w:t>
      </w:r>
      <w:r w:rsidR="00C86F12">
        <w:rPr>
          <w:sz w:val="28"/>
          <w:szCs w:val="28"/>
        </w:rPr>
        <w:t>is not limited to</w:t>
      </w:r>
      <w:r w:rsidR="00926141">
        <w:rPr>
          <w:sz w:val="28"/>
          <w:szCs w:val="28"/>
        </w:rPr>
        <w:t xml:space="preserve"> associations defined under </w:t>
      </w:r>
      <w:r w:rsidR="00C86F12">
        <w:rPr>
          <w:sz w:val="28"/>
          <w:szCs w:val="28"/>
        </w:rPr>
        <w:t>the</w:t>
      </w:r>
      <w:r w:rsidR="00926141">
        <w:rPr>
          <w:sz w:val="28"/>
          <w:szCs w:val="28"/>
        </w:rPr>
        <w:t xml:space="preserve"> Societies Ordinance; </w:t>
      </w:r>
      <w:r w:rsidR="00C86F12">
        <w:rPr>
          <w:sz w:val="28"/>
          <w:szCs w:val="28"/>
        </w:rPr>
        <w:t>in principle</w:t>
      </w:r>
      <w:r w:rsidR="00926141">
        <w:rPr>
          <w:sz w:val="28"/>
          <w:szCs w:val="28"/>
        </w:rPr>
        <w:t>, it may cover trade unions, charities</w:t>
      </w:r>
      <w:r w:rsidR="00C86F12">
        <w:rPr>
          <w:sz w:val="28"/>
          <w:szCs w:val="28"/>
        </w:rPr>
        <w:t>,</w:t>
      </w:r>
      <w:r w:rsidR="00926141">
        <w:rPr>
          <w:sz w:val="28"/>
          <w:szCs w:val="28"/>
        </w:rPr>
        <w:t xml:space="preserve"> and other forms of association </w:t>
      </w:r>
      <w:r w:rsidR="00C86F12">
        <w:rPr>
          <w:sz w:val="28"/>
          <w:szCs w:val="28"/>
        </w:rPr>
        <w:t>subject to</w:t>
      </w:r>
      <w:r w:rsidR="00926141">
        <w:rPr>
          <w:sz w:val="28"/>
          <w:szCs w:val="28"/>
        </w:rPr>
        <w:t xml:space="preserve"> statutory registration </w:t>
      </w:r>
      <w:r w:rsidR="00C86F12">
        <w:rPr>
          <w:sz w:val="28"/>
          <w:szCs w:val="28"/>
        </w:rPr>
        <w:t xml:space="preserve">requirements imposed </w:t>
      </w:r>
      <w:r w:rsidR="00926141">
        <w:rPr>
          <w:sz w:val="28"/>
          <w:szCs w:val="28"/>
        </w:rPr>
        <w:t xml:space="preserve">by the state. </w:t>
      </w:r>
    </w:p>
    <w:p w14:paraId="6A4EF9D3" w14:textId="77777777" w:rsidR="00B633B9" w:rsidRPr="009B0FA6" w:rsidRDefault="00B633B9" w:rsidP="0015695D">
      <w:pPr>
        <w:pStyle w:val="ListParagraph"/>
        <w:spacing w:after="0" w:line="240" w:lineRule="auto"/>
        <w:rPr>
          <w:sz w:val="28"/>
          <w:szCs w:val="28"/>
        </w:rPr>
      </w:pPr>
    </w:p>
    <w:p w14:paraId="5B8BA7E5" w14:textId="263B8DFF" w:rsidR="000E55CA" w:rsidRDefault="009B0FA6" w:rsidP="00B633B9">
      <w:pPr>
        <w:numPr>
          <w:ilvl w:val="0"/>
          <w:numId w:val="3"/>
        </w:numPr>
        <w:snapToGrid w:val="0"/>
        <w:spacing w:before="120" w:after="0" w:line="276" w:lineRule="auto"/>
        <w:ind w:left="547" w:hanging="547"/>
        <w:jc w:val="both"/>
        <w:rPr>
          <w:sz w:val="28"/>
          <w:szCs w:val="28"/>
        </w:rPr>
      </w:pPr>
      <w:r>
        <w:rPr>
          <w:sz w:val="28"/>
          <w:szCs w:val="28"/>
        </w:rPr>
        <w:t>While t</w:t>
      </w:r>
      <w:r w:rsidR="0015695D" w:rsidRPr="009B0FA6">
        <w:rPr>
          <w:sz w:val="28"/>
          <w:szCs w:val="28"/>
        </w:rPr>
        <w:t xml:space="preserve">his </w:t>
      </w:r>
      <w:r w:rsidR="00CF364B" w:rsidRPr="009B0FA6">
        <w:rPr>
          <w:sz w:val="28"/>
          <w:szCs w:val="28"/>
        </w:rPr>
        <w:t xml:space="preserve">submission is filed </w:t>
      </w:r>
      <w:r w:rsidR="0015695D" w:rsidRPr="009B0FA6">
        <w:rPr>
          <w:sz w:val="28"/>
          <w:szCs w:val="28"/>
        </w:rPr>
        <w:t>after</w:t>
      </w:r>
      <w:r w:rsidR="00CF364B" w:rsidRPr="009B0FA6">
        <w:rPr>
          <w:sz w:val="28"/>
          <w:szCs w:val="28"/>
        </w:rPr>
        <w:t xml:space="preserve"> the Committee’s call-for-input deadline</w:t>
      </w:r>
      <w:r>
        <w:rPr>
          <w:sz w:val="28"/>
          <w:szCs w:val="28"/>
        </w:rPr>
        <w:t>,</w:t>
      </w:r>
      <w:r w:rsidR="00CF364B" w:rsidRPr="009B0FA6">
        <w:rPr>
          <w:sz w:val="28"/>
          <w:szCs w:val="28"/>
        </w:rPr>
        <w:t xml:space="preserve"> </w:t>
      </w:r>
      <w:r w:rsidR="0015695D" w:rsidRPr="009B0FA6">
        <w:rPr>
          <w:sz w:val="28"/>
          <w:szCs w:val="28"/>
        </w:rPr>
        <w:t>the author</w:t>
      </w:r>
      <w:r w:rsidR="00C86F12">
        <w:rPr>
          <w:sz w:val="28"/>
          <w:szCs w:val="28"/>
        </w:rPr>
        <w:t>s</w:t>
      </w:r>
      <w:r w:rsidR="0015695D" w:rsidRPr="009B0FA6">
        <w:rPr>
          <w:sz w:val="28"/>
          <w:szCs w:val="28"/>
        </w:rPr>
        <w:t xml:space="preserve"> respectfully asks that the Committee nonetheless take it into account</w:t>
      </w:r>
      <w:r>
        <w:rPr>
          <w:sz w:val="28"/>
          <w:szCs w:val="28"/>
        </w:rPr>
        <w:t xml:space="preserve"> given </w:t>
      </w:r>
      <w:r w:rsidRPr="009B0FA6">
        <w:rPr>
          <w:sz w:val="28"/>
          <w:szCs w:val="28"/>
        </w:rPr>
        <w:t>the legal significance of the Draft General Comment for Hong Kong and beyond</w:t>
      </w:r>
      <w:r w:rsidR="000E55CA" w:rsidRPr="009B0FA6">
        <w:rPr>
          <w:sz w:val="28"/>
          <w:szCs w:val="28"/>
        </w:rPr>
        <w:t xml:space="preserve">. </w:t>
      </w:r>
      <w:r w:rsidR="008529EE">
        <w:rPr>
          <w:sz w:val="28"/>
          <w:szCs w:val="28"/>
        </w:rPr>
        <w:t>This</w:t>
      </w:r>
      <w:r w:rsidR="0015695D" w:rsidRPr="009B0FA6">
        <w:rPr>
          <w:sz w:val="28"/>
          <w:szCs w:val="28"/>
        </w:rPr>
        <w:t xml:space="preserve"> submission references </w:t>
      </w:r>
      <w:r w:rsidR="008529EE">
        <w:rPr>
          <w:sz w:val="28"/>
          <w:szCs w:val="28"/>
        </w:rPr>
        <w:t>other</w:t>
      </w:r>
      <w:r w:rsidR="008529EE" w:rsidRPr="009B0FA6">
        <w:rPr>
          <w:sz w:val="28"/>
          <w:szCs w:val="28"/>
        </w:rPr>
        <w:t xml:space="preserve"> submissions </w:t>
      </w:r>
      <w:r w:rsidR="008529EE">
        <w:rPr>
          <w:kern w:val="0"/>
          <w:sz w:val="28"/>
          <w:szCs w:val="28"/>
          <w14:ligatures w14:val="none"/>
        </w:rPr>
        <w:t>already published on the Committee’s website at the time of writing that</w:t>
      </w:r>
      <w:r>
        <w:rPr>
          <w:sz w:val="28"/>
          <w:szCs w:val="28"/>
        </w:rPr>
        <w:t xml:space="preserve"> raise similar or related points. </w:t>
      </w:r>
    </w:p>
    <w:p w14:paraId="319CDEA4" w14:textId="77777777" w:rsidR="00053C89" w:rsidRDefault="00053C89" w:rsidP="00053C89">
      <w:pPr>
        <w:pStyle w:val="ListParagraph"/>
        <w:spacing w:line="240" w:lineRule="auto"/>
        <w:rPr>
          <w:sz w:val="28"/>
          <w:szCs w:val="28"/>
        </w:rPr>
      </w:pPr>
    </w:p>
    <w:p w14:paraId="5B153F5A" w14:textId="6D49CC66" w:rsidR="000E55CA" w:rsidRDefault="00AF37A2" w:rsidP="00B633B9">
      <w:pPr>
        <w:numPr>
          <w:ilvl w:val="0"/>
          <w:numId w:val="3"/>
        </w:numPr>
        <w:snapToGrid w:val="0"/>
        <w:spacing w:before="120" w:after="0" w:line="276" w:lineRule="auto"/>
        <w:ind w:left="547" w:hanging="547"/>
        <w:jc w:val="both"/>
        <w:rPr>
          <w:sz w:val="28"/>
          <w:szCs w:val="28"/>
        </w:rPr>
      </w:pPr>
      <w:r>
        <w:rPr>
          <w:sz w:val="28"/>
          <w:szCs w:val="28"/>
        </w:rPr>
        <w:t>This</w:t>
      </w:r>
      <w:r w:rsidR="0015695D">
        <w:rPr>
          <w:sz w:val="28"/>
          <w:szCs w:val="28"/>
        </w:rPr>
        <w:t xml:space="preserve"> submission</w:t>
      </w:r>
      <w:r w:rsidR="000E55CA">
        <w:rPr>
          <w:sz w:val="28"/>
          <w:szCs w:val="28"/>
        </w:rPr>
        <w:t xml:space="preserve"> addresses the protection of informal</w:t>
      </w:r>
      <w:r w:rsidR="0015695D">
        <w:rPr>
          <w:sz w:val="28"/>
          <w:szCs w:val="28"/>
        </w:rPr>
        <w:t xml:space="preserve">, unregistered </w:t>
      </w:r>
      <w:r w:rsidR="0015695D" w:rsidRPr="007D083D">
        <w:rPr>
          <w:sz w:val="28"/>
          <w:szCs w:val="28"/>
        </w:rPr>
        <w:t>de facto</w:t>
      </w:r>
      <w:r w:rsidR="0015695D">
        <w:rPr>
          <w:sz w:val="28"/>
          <w:szCs w:val="28"/>
        </w:rPr>
        <w:t xml:space="preserve"> </w:t>
      </w:r>
      <w:r w:rsidR="000E55CA">
        <w:rPr>
          <w:sz w:val="28"/>
          <w:szCs w:val="28"/>
        </w:rPr>
        <w:t xml:space="preserve">associations, and </w:t>
      </w:r>
      <w:r w:rsidR="0015695D">
        <w:rPr>
          <w:sz w:val="28"/>
          <w:szCs w:val="28"/>
        </w:rPr>
        <w:t>proposes</w:t>
      </w:r>
      <w:r w:rsidR="000E55CA">
        <w:rPr>
          <w:sz w:val="28"/>
          <w:szCs w:val="28"/>
        </w:rPr>
        <w:t xml:space="preserve"> </w:t>
      </w:r>
      <w:r>
        <w:rPr>
          <w:sz w:val="28"/>
          <w:szCs w:val="28"/>
        </w:rPr>
        <w:t>amendments</w:t>
      </w:r>
      <w:r w:rsidR="000E55CA">
        <w:rPr>
          <w:sz w:val="28"/>
          <w:szCs w:val="28"/>
        </w:rPr>
        <w:t xml:space="preserve"> as</w:t>
      </w:r>
      <w:r>
        <w:rPr>
          <w:sz w:val="28"/>
          <w:szCs w:val="28"/>
        </w:rPr>
        <w:t xml:space="preserve"> summarized</w:t>
      </w:r>
      <w:r w:rsidR="000E55CA">
        <w:rPr>
          <w:sz w:val="28"/>
          <w:szCs w:val="28"/>
        </w:rPr>
        <w:t xml:space="preserve"> below: </w:t>
      </w:r>
    </w:p>
    <w:p w14:paraId="592C375C" w14:textId="77777777" w:rsidR="000E55CA" w:rsidRDefault="000E55CA" w:rsidP="000E55CA">
      <w:pPr>
        <w:pStyle w:val="ListParagraph"/>
        <w:spacing w:line="240" w:lineRule="auto"/>
        <w:rPr>
          <w:sz w:val="28"/>
          <w:szCs w:val="28"/>
        </w:rPr>
      </w:pPr>
    </w:p>
    <w:p w14:paraId="1F0AD21F" w14:textId="40378E24" w:rsidR="00B633B9" w:rsidRDefault="000E55CA" w:rsidP="000E55CA">
      <w:pPr>
        <w:pStyle w:val="ListParagraph"/>
        <w:numPr>
          <w:ilvl w:val="0"/>
          <w:numId w:val="9"/>
        </w:numPr>
        <w:snapToGrid w:val="0"/>
        <w:spacing w:before="120" w:after="0" w:line="276" w:lineRule="auto"/>
        <w:ind w:left="1260" w:hanging="540"/>
        <w:jc w:val="both"/>
        <w:rPr>
          <w:sz w:val="28"/>
          <w:szCs w:val="28"/>
        </w:rPr>
      </w:pPr>
      <w:r w:rsidRPr="0015695D">
        <w:rPr>
          <w:sz w:val="28"/>
          <w:szCs w:val="28"/>
          <w:u w:val="single"/>
        </w:rPr>
        <w:t>Paragraph 13</w:t>
      </w:r>
      <w:r>
        <w:rPr>
          <w:sz w:val="28"/>
          <w:szCs w:val="28"/>
        </w:rPr>
        <w:t xml:space="preserve">: </w:t>
      </w:r>
      <w:r w:rsidR="0097621D">
        <w:rPr>
          <w:sz w:val="28"/>
          <w:szCs w:val="28"/>
        </w:rPr>
        <w:t xml:space="preserve">States Parties shall not make registration of an association compulsory, nor punish or criminalize informal, unregistered de facto associations </w:t>
      </w:r>
      <w:proofErr w:type="gramStart"/>
      <w:r w:rsidR="0097621D">
        <w:rPr>
          <w:sz w:val="28"/>
          <w:szCs w:val="28"/>
        </w:rPr>
        <w:t>on the basis of</w:t>
      </w:r>
      <w:proofErr w:type="gramEnd"/>
      <w:r w:rsidR="0097621D">
        <w:rPr>
          <w:sz w:val="28"/>
          <w:szCs w:val="28"/>
        </w:rPr>
        <w:t xml:space="preserve"> their unregistered status.</w:t>
      </w:r>
      <w:r w:rsidR="00B21BB4">
        <w:rPr>
          <w:sz w:val="28"/>
          <w:szCs w:val="28"/>
        </w:rPr>
        <w:t xml:space="preserve"> </w:t>
      </w:r>
    </w:p>
    <w:p w14:paraId="02430E4D" w14:textId="77777777" w:rsidR="0015695D" w:rsidRPr="000E55CA" w:rsidRDefault="0015695D" w:rsidP="0015695D">
      <w:pPr>
        <w:pStyle w:val="ListParagraph"/>
        <w:spacing w:after="0" w:line="240" w:lineRule="auto"/>
        <w:ind w:left="907"/>
        <w:rPr>
          <w:sz w:val="28"/>
          <w:szCs w:val="28"/>
        </w:rPr>
      </w:pPr>
    </w:p>
    <w:p w14:paraId="1FB377A0" w14:textId="2C5C8779" w:rsidR="000E55CA" w:rsidRDefault="000E55CA" w:rsidP="000E55CA">
      <w:pPr>
        <w:pStyle w:val="ListParagraph"/>
        <w:numPr>
          <w:ilvl w:val="0"/>
          <w:numId w:val="9"/>
        </w:numPr>
        <w:snapToGrid w:val="0"/>
        <w:spacing w:before="120" w:after="0" w:line="276" w:lineRule="auto"/>
        <w:ind w:left="1260" w:hanging="540"/>
        <w:jc w:val="both"/>
        <w:rPr>
          <w:sz w:val="28"/>
          <w:szCs w:val="28"/>
        </w:rPr>
      </w:pPr>
      <w:r w:rsidRPr="0015695D">
        <w:rPr>
          <w:sz w:val="28"/>
          <w:szCs w:val="28"/>
          <w:u w:val="single"/>
        </w:rPr>
        <w:t>Paragraph 30</w:t>
      </w:r>
      <w:r>
        <w:rPr>
          <w:sz w:val="28"/>
          <w:szCs w:val="28"/>
        </w:rPr>
        <w:t>: add “criminalizing the failure to register an association” to the list of measures incompatible with article 22</w:t>
      </w:r>
      <w:r w:rsidR="0097621D">
        <w:rPr>
          <w:sz w:val="28"/>
          <w:szCs w:val="28"/>
        </w:rPr>
        <w:t>.</w:t>
      </w:r>
    </w:p>
    <w:p w14:paraId="7297F7C0" w14:textId="77777777" w:rsidR="0015695D" w:rsidRPr="000E55CA" w:rsidRDefault="0015695D" w:rsidP="0015695D">
      <w:pPr>
        <w:pStyle w:val="ListParagraph"/>
        <w:spacing w:after="0" w:line="240" w:lineRule="auto"/>
        <w:ind w:left="907"/>
        <w:rPr>
          <w:sz w:val="28"/>
          <w:szCs w:val="28"/>
        </w:rPr>
      </w:pPr>
    </w:p>
    <w:p w14:paraId="5FF79665" w14:textId="4055F297" w:rsidR="000E55CA" w:rsidRDefault="000E55CA" w:rsidP="000E55CA">
      <w:pPr>
        <w:pStyle w:val="ListParagraph"/>
        <w:numPr>
          <w:ilvl w:val="0"/>
          <w:numId w:val="9"/>
        </w:numPr>
        <w:snapToGrid w:val="0"/>
        <w:spacing w:before="120" w:after="0" w:line="276" w:lineRule="auto"/>
        <w:ind w:left="1260" w:hanging="540"/>
        <w:jc w:val="both"/>
        <w:rPr>
          <w:sz w:val="28"/>
          <w:szCs w:val="28"/>
        </w:rPr>
      </w:pPr>
      <w:r w:rsidRPr="0015695D">
        <w:rPr>
          <w:sz w:val="28"/>
          <w:szCs w:val="28"/>
          <w:u w:val="single"/>
        </w:rPr>
        <w:t>Paragraph 4</w:t>
      </w:r>
      <w:r w:rsidR="0097621D">
        <w:rPr>
          <w:sz w:val="28"/>
          <w:szCs w:val="28"/>
          <w:u w:val="single"/>
        </w:rPr>
        <w:t>3</w:t>
      </w:r>
      <w:r>
        <w:rPr>
          <w:sz w:val="28"/>
          <w:szCs w:val="28"/>
        </w:rPr>
        <w:t xml:space="preserve">: </w:t>
      </w:r>
      <w:r w:rsidR="0097621D">
        <w:rPr>
          <w:sz w:val="28"/>
          <w:szCs w:val="28"/>
        </w:rPr>
        <w:t>clarify that an overly broad definition of “association,” combined with a mandatory registration system, risks making registration compulsory in practice.</w:t>
      </w:r>
      <w:r>
        <w:rPr>
          <w:sz w:val="28"/>
          <w:szCs w:val="28"/>
        </w:rPr>
        <w:t xml:space="preserve"> </w:t>
      </w:r>
    </w:p>
    <w:p w14:paraId="1A0A1D31" w14:textId="77777777" w:rsidR="000E55CA" w:rsidRPr="000E55CA" w:rsidRDefault="000E55CA" w:rsidP="0015695D">
      <w:pPr>
        <w:pStyle w:val="ListParagraph"/>
        <w:spacing w:after="0" w:line="240" w:lineRule="auto"/>
        <w:rPr>
          <w:sz w:val="28"/>
          <w:szCs w:val="28"/>
        </w:rPr>
      </w:pPr>
    </w:p>
    <w:p w14:paraId="580384CA" w14:textId="74AE49FD" w:rsidR="000E55CA" w:rsidRDefault="0097621D" w:rsidP="000E55CA">
      <w:pPr>
        <w:pStyle w:val="ListParagraph"/>
        <w:numPr>
          <w:ilvl w:val="0"/>
          <w:numId w:val="9"/>
        </w:numPr>
        <w:snapToGrid w:val="0"/>
        <w:spacing w:before="120" w:after="0" w:line="276" w:lineRule="auto"/>
        <w:ind w:left="1260" w:hanging="540"/>
        <w:jc w:val="both"/>
        <w:rPr>
          <w:sz w:val="28"/>
          <w:szCs w:val="28"/>
        </w:rPr>
      </w:pPr>
      <w:r>
        <w:rPr>
          <w:sz w:val="28"/>
          <w:szCs w:val="28"/>
          <w:u w:val="single"/>
        </w:rPr>
        <w:t>P</w:t>
      </w:r>
      <w:r w:rsidR="000E55CA" w:rsidRPr="0015695D">
        <w:rPr>
          <w:sz w:val="28"/>
          <w:szCs w:val="28"/>
          <w:u w:val="single"/>
        </w:rPr>
        <w:t>aragraph 4</w:t>
      </w:r>
      <w:r>
        <w:rPr>
          <w:sz w:val="28"/>
          <w:szCs w:val="28"/>
          <w:u w:val="single"/>
        </w:rPr>
        <w:t>4</w:t>
      </w:r>
      <w:r w:rsidR="000E55CA">
        <w:rPr>
          <w:sz w:val="28"/>
          <w:szCs w:val="28"/>
        </w:rPr>
        <w:t xml:space="preserve">: </w:t>
      </w:r>
      <w:r>
        <w:rPr>
          <w:sz w:val="28"/>
          <w:szCs w:val="28"/>
        </w:rPr>
        <w:t>extend the criminal legality principle to offen</w:t>
      </w:r>
      <w:r w:rsidR="00A47B4B">
        <w:rPr>
          <w:sz w:val="28"/>
          <w:szCs w:val="28"/>
        </w:rPr>
        <w:t>s</w:t>
      </w:r>
      <w:r>
        <w:rPr>
          <w:sz w:val="28"/>
          <w:szCs w:val="28"/>
        </w:rPr>
        <w:t>es defined by reference to an association’s failure to register, not only its conduct; and prohibit criminal sanctions imposed specifically and exclusively on an association’s office-bearers for that failure.</w:t>
      </w:r>
    </w:p>
    <w:p w14:paraId="5A3300B1" w14:textId="77777777" w:rsidR="007D083D" w:rsidRPr="007D083D" w:rsidRDefault="007D083D" w:rsidP="007D083D">
      <w:pPr>
        <w:pStyle w:val="ListParagraph"/>
        <w:spacing w:after="0" w:line="240" w:lineRule="auto"/>
        <w:rPr>
          <w:sz w:val="28"/>
          <w:szCs w:val="28"/>
        </w:rPr>
      </w:pPr>
    </w:p>
    <w:p w14:paraId="5829E495" w14:textId="004DB6BA" w:rsidR="007D083D" w:rsidRDefault="007D083D" w:rsidP="000E55CA">
      <w:pPr>
        <w:pStyle w:val="ListParagraph"/>
        <w:numPr>
          <w:ilvl w:val="0"/>
          <w:numId w:val="9"/>
        </w:numPr>
        <w:snapToGrid w:val="0"/>
        <w:spacing w:before="120" w:after="0" w:line="276" w:lineRule="auto"/>
        <w:ind w:left="1260" w:hanging="540"/>
        <w:jc w:val="both"/>
        <w:rPr>
          <w:sz w:val="28"/>
          <w:szCs w:val="28"/>
        </w:rPr>
      </w:pPr>
      <w:r>
        <w:rPr>
          <w:sz w:val="28"/>
          <w:szCs w:val="28"/>
          <w:u w:val="single"/>
        </w:rPr>
        <w:t>P</w:t>
      </w:r>
      <w:r w:rsidRPr="0015695D">
        <w:rPr>
          <w:sz w:val="28"/>
          <w:szCs w:val="28"/>
          <w:u w:val="single"/>
        </w:rPr>
        <w:t xml:space="preserve">aragraph </w:t>
      </w:r>
      <w:r>
        <w:rPr>
          <w:sz w:val="28"/>
          <w:szCs w:val="28"/>
          <w:u w:val="single"/>
        </w:rPr>
        <w:t>50</w:t>
      </w:r>
      <w:r>
        <w:rPr>
          <w:sz w:val="28"/>
          <w:szCs w:val="28"/>
        </w:rPr>
        <w:t xml:space="preserve">: clarify that a registration requirement extending to all forms of association, including informal, unregistered de facto associations, regardless of their nature or purpose, is not a necessary or proportionate restriction under article 22(2). </w:t>
      </w:r>
    </w:p>
    <w:p w14:paraId="059AD5F1" w14:textId="05F529E5" w:rsidR="00053C89" w:rsidRPr="007D083D" w:rsidRDefault="007D083D" w:rsidP="008E6162">
      <w:pPr>
        <w:ind w:left="547" w:firstLine="173"/>
        <w:rPr>
          <w:sz w:val="28"/>
          <w:szCs w:val="28"/>
        </w:rPr>
      </w:pPr>
      <w:r w:rsidRPr="007D083D">
        <w:rPr>
          <w:sz w:val="28"/>
          <w:szCs w:val="28"/>
        </w:rPr>
        <w:lastRenderedPageBreak/>
        <w:t xml:space="preserve">See </w:t>
      </w:r>
      <w:r>
        <w:rPr>
          <w:sz w:val="28"/>
          <w:szCs w:val="28"/>
        </w:rPr>
        <w:t xml:space="preserve">also </w:t>
      </w:r>
      <w:r w:rsidRPr="007D083D">
        <w:rPr>
          <w:sz w:val="28"/>
          <w:szCs w:val="28"/>
        </w:rPr>
        <w:t xml:space="preserve">Part III below for </w:t>
      </w:r>
      <w:r>
        <w:rPr>
          <w:sz w:val="28"/>
          <w:szCs w:val="28"/>
        </w:rPr>
        <w:t>the full text of the proposed amendments</w:t>
      </w:r>
      <w:r w:rsidRPr="007D083D">
        <w:rPr>
          <w:sz w:val="28"/>
          <w:szCs w:val="28"/>
        </w:rPr>
        <w:t xml:space="preserve">. </w:t>
      </w:r>
      <w:r>
        <w:rPr>
          <w:sz w:val="28"/>
          <w:szCs w:val="28"/>
        </w:rPr>
        <w:br/>
      </w:r>
    </w:p>
    <w:p w14:paraId="2A30FA44" w14:textId="5FCA5EA1" w:rsidR="00B97DA3" w:rsidRPr="005B2B10" w:rsidRDefault="00B97DA3" w:rsidP="00476BB0">
      <w:pPr>
        <w:pStyle w:val="ListParagraph"/>
        <w:numPr>
          <w:ilvl w:val="0"/>
          <w:numId w:val="2"/>
        </w:numPr>
        <w:snapToGrid w:val="0"/>
        <w:spacing w:before="120"/>
        <w:ind w:left="547" w:hanging="547"/>
        <w:contextualSpacing w:val="0"/>
        <w:rPr>
          <w:b/>
          <w:bCs/>
          <w:sz w:val="28"/>
          <w:szCs w:val="28"/>
        </w:rPr>
      </w:pPr>
      <w:r w:rsidRPr="005B2B10">
        <w:rPr>
          <w:b/>
          <w:bCs/>
          <w:sz w:val="28"/>
          <w:szCs w:val="28"/>
        </w:rPr>
        <w:t xml:space="preserve">Comments </w:t>
      </w:r>
      <w:r w:rsidR="000E1706">
        <w:rPr>
          <w:b/>
          <w:bCs/>
          <w:sz w:val="28"/>
          <w:szCs w:val="28"/>
        </w:rPr>
        <w:t xml:space="preserve">and Proposed Amendments </w:t>
      </w:r>
      <w:r w:rsidRPr="005B2B10">
        <w:rPr>
          <w:b/>
          <w:bCs/>
          <w:sz w:val="28"/>
          <w:szCs w:val="28"/>
        </w:rPr>
        <w:t xml:space="preserve">on the Draft General Comment </w:t>
      </w:r>
    </w:p>
    <w:p w14:paraId="330E2752" w14:textId="50333061" w:rsidR="00476BB0" w:rsidRDefault="00476BB0" w:rsidP="00053C89">
      <w:pPr>
        <w:pStyle w:val="ListParagraph"/>
        <w:numPr>
          <w:ilvl w:val="0"/>
          <w:numId w:val="4"/>
        </w:numPr>
        <w:snapToGrid w:val="0"/>
        <w:spacing w:before="120" w:after="240" w:line="276" w:lineRule="auto"/>
        <w:ind w:left="540" w:hanging="540"/>
        <w:contextualSpacing w:val="0"/>
        <w:rPr>
          <w:b/>
          <w:bCs/>
          <w:sz w:val="28"/>
          <w:szCs w:val="28"/>
        </w:rPr>
      </w:pPr>
      <w:r w:rsidRPr="005B2B10">
        <w:rPr>
          <w:b/>
          <w:bCs/>
          <w:sz w:val="28"/>
          <w:szCs w:val="28"/>
        </w:rPr>
        <w:t>Paragraph 13 of the Draft General Comment</w:t>
      </w:r>
    </w:p>
    <w:p w14:paraId="6029C4EC" w14:textId="7D029522" w:rsidR="000E1706" w:rsidRDefault="00AF37A2" w:rsidP="009B0FA6">
      <w:pPr>
        <w:numPr>
          <w:ilvl w:val="0"/>
          <w:numId w:val="3"/>
        </w:numPr>
        <w:snapToGrid w:val="0"/>
        <w:spacing w:before="120" w:after="0" w:line="276" w:lineRule="auto"/>
        <w:ind w:left="547" w:hanging="547"/>
        <w:jc w:val="both"/>
        <w:rPr>
          <w:sz w:val="28"/>
          <w:szCs w:val="28"/>
        </w:rPr>
      </w:pPr>
      <w:r>
        <w:rPr>
          <w:sz w:val="28"/>
          <w:szCs w:val="28"/>
        </w:rPr>
        <w:t>It is proposed to insert the underlined sentences below</w:t>
      </w:r>
      <w:r w:rsidR="007C3490">
        <w:rPr>
          <w:sz w:val="28"/>
          <w:szCs w:val="28"/>
        </w:rPr>
        <w:t xml:space="preserve"> in</w:t>
      </w:r>
      <w:r>
        <w:rPr>
          <w:sz w:val="28"/>
          <w:szCs w:val="28"/>
        </w:rPr>
        <w:t>to paragraph 13 of the Draft General Comment</w:t>
      </w:r>
      <w:r w:rsidR="000E1706">
        <w:rPr>
          <w:sz w:val="28"/>
          <w:szCs w:val="28"/>
        </w:rPr>
        <w:t xml:space="preserve">: </w:t>
      </w:r>
    </w:p>
    <w:p w14:paraId="10954C71" w14:textId="23CCC366" w:rsidR="007C3490" w:rsidRDefault="000E1706" w:rsidP="00C07656">
      <w:pPr>
        <w:snapToGrid w:val="0"/>
        <w:spacing w:before="120" w:after="0" w:line="276" w:lineRule="auto"/>
        <w:ind w:left="810" w:right="270"/>
        <w:jc w:val="both"/>
        <w:rPr>
          <w:sz w:val="28"/>
          <w:szCs w:val="28"/>
        </w:rPr>
      </w:pPr>
      <w:r w:rsidRPr="007C3490">
        <w:rPr>
          <w:sz w:val="28"/>
          <w:szCs w:val="28"/>
        </w:rPr>
        <w:t>“</w:t>
      </w:r>
      <w:r w:rsidR="00AF37A2" w:rsidRPr="007C3490">
        <w:rPr>
          <w:sz w:val="28"/>
          <w:szCs w:val="28"/>
        </w:rPr>
        <w:t>As an essential right grounded in the equality and dignity of individuals, its protection applies equally to informal, unregistered de facto associations.</w:t>
      </w:r>
      <w:r w:rsidR="00933377">
        <w:rPr>
          <w:sz w:val="28"/>
          <w:szCs w:val="28"/>
        </w:rPr>
        <w:t xml:space="preserve"> </w:t>
      </w:r>
      <w:r w:rsidR="00AF37A2" w:rsidRPr="007C3490">
        <w:rPr>
          <w:sz w:val="28"/>
          <w:szCs w:val="28"/>
        </w:rPr>
        <w:t xml:space="preserve">Therefore, such associations do not need any domestic authorization or recognition </w:t>
      </w:r>
      <w:proofErr w:type="gramStart"/>
      <w:r w:rsidR="00AF37A2" w:rsidRPr="007C3490">
        <w:rPr>
          <w:sz w:val="28"/>
          <w:szCs w:val="28"/>
        </w:rPr>
        <w:t>in order to</w:t>
      </w:r>
      <w:proofErr w:type="gramEnd"/>
      <w:r w:rsidR="00AF37A2" w:rsidRPr="007C3490">
        <w:rPr>
          <w:sz w:val="28"/>
          <w:szCs w:val="28"/>
        </w:rPr>
        <w:t xml:space="preserve"> fall under the protection of the right to freedom of association. </w:t>
      </w:r>
      <w:r w:rsidR="00C07656" w:rsidRPr="007C3490">
        <w:rPr>
          <w:sz w:val="28"/>
          <w:szCs w:val="28"/>
          <w:u w:val="single"/>
        </w:rPr>
        <w:t xml:space="preserve">Accordingly, </w:t>
      </w:r>
      <w:r w:rsidR="00AF37A2" w:rsidRPr="007C3490">
        <w:rPr>
          <w:sz w:val="28"/>
          <w:szCs w:val="28"/>
          <w:u w:val="single"/>
        </w:rPr>
        <w:t>State</w:t>
      </w:r>
      <w:r w:rsidR="00053C89">
        <w:rPr>
          <w:sz w:val="28"/>
          <w:szCs w:val="28"/>
          <w:u w:val="single"/>
        </w:rPr>
        <w:t>s</w:t>
      </w:r>
      <w:r w:rsidR="00AF37A2" w:rsidRPr="007C3490">
        <w:rPr>
          <w:sz w:val="28"/>
          <w:szCs w:val="28"/>
          <w:u w:val="single"/>
        </w:rPr>
        <w:t xml:space="preserve"> Parties shall not make registration of association</w:t>
      </w:r>
      <w:r w:rsidR="00D632A0" w:rsidRPr="007C3490">
        <w:rPr>
          <w:sz w:val="28"/>
          <w:szCs w:val="28"/>
          <w:u w:val="single"/>
        </w:rPr>
        <w:t>s</w:t>
      </w:r>
      <w:r w:rsidR="00AF37A2" w:rsidRPr="007C3490">
        <w:rPr>
          <w:sz w:val="28"/>
          <w:szCs w:val="28"/>
          <w:u w:val="single"/>
        </w:rPr>
        <w:t xml:space="preserve"> compulsory, </w:t>
      </w:r>
      <w:r w:rsidR="00D632A0" w:rsidRPr="007C3490">
        <w:rPr>
          <w:sz w:val="28"/>
          <w:szCs w:val="28"/>
          <w:u w:val="single"/>
        </w:rPr>
        <w:t xml:space="preserve">nor shall informal, unregistered de facto associations be punished or criminalized in law or in practice </w:t>
      </w:r>
      <w:proofErr w:type="gramStart"/>
      <w:r w:rsidR="00D632A0" w:rsidRPr="007C3490">
        <w:rPr>
          <w:sz w:val="28"/>
          <w:szCs w:val="28"/>
          <w:u w:val="single"/>
        </w:rPr>
        <w:t>on the basis of</w:t>
      </w:r>
      <w:proofErr w:type="gramEnd"/>
      <w:r w:rsidR="00D632A0" w:rsidRPr="007C3490">
        <w:rPr>
          <w:sz w:val="28"/>
          <w:szCs w:val="28"/>
          <w:u w:val="single"/>
        </w:rPr>
        <w:t xml:space="preserve"> their unregistered status</w:t>
      </w:r>
      <w:r w:rsidR="00AF37A2" w:rsidRPr="007C3490">
        <w:rPr>
          <w:sz w:val="28"/>
          <w:szCs w:val="28"/>
          <w:u w:val="single"/>
        </w:rPr>
        <w:t>.</w:t>
      </w:r>
      <w:r w:rsidR="00AF37A2" w:rsidRPr="007C3490">
        <w:rPr>
          <w:sz w:val="28"/>
          <w:szCs w:val="28"/>
        </w:rPr>
        <w:t xml:space="preserve">  Should individuals request the authorization and registration of their association</w:t>
      </w:r>
      <w:r w:rsidR="007C3490">
        <w:rPr>
          <w:sz w:val="28"/>
          <w:szCs w:val="28"/>
        </w:rPr>
        <w:t xml:space="preserve"> . . .</w:t>
      </w:r>
      <w:r w:rsidRPr="007C3490">
        <w:rPr>
          <w:sz w:val="28"/>
          <w:szCs w:val="28"/>
        </w:rPr>
        <w:t>”</w:t>
      </w:r>
    </w:p>
    <w:p w14:paraId="2C28638D" w14:textId="4AA255AE" w:rsidR="000E1706" w:rsidRPr="007C3490" w:rsidRDefault="000E1706" w:rsidP="00053C89">
      <w:pPr>
        <w:snapToGrid w:val="0"/>
        <w:spacing w:before="120" w:after="0" w:line="240" w:lineRule="auto"/>
        <w:ind w:right="270"/>
        <w:jc w:val="both"/>
        <w:rPr>
          <w:sz w:val="28"/>
          <w:szCs w:val="28"/>
        </w:rPr>
      </w:pPr>
    </w:p>
    <w:p w14:paraId="07B6A3CB" w14:textId="4861C01E" w:rsidR="00CB6D4A" w:rsidRDefault="007C3490" w:rsidP="009B0FA6">
      <w:pPr>
        <w:numPr>
          <w:ilvl w:val="0"/>
          <w:numId w:val="3"/>
        </w:numPr>
        <w:snapToGrid w:val="0"/>
        <w:spacing w:before="120" w:after="0" w:line="276" w:lineRule="auto"/>
        <w:ind w:left="547" w:hanging="547"/>
        <w:jc w:val="both"/>
        <w:rPr>
          <w:sz w:val="28"/>
          <w:szCs w:val="28"/>
        </w:rPr>
      </w:pPr>
      <w:r>
        <w:rPr>
          <w:sz w:val="28"/>
          <w:szCs w:val="28"/>
        </w:rPr>
        <w:t>Other civil society submissions have also made similar suggestions.</w:t>
      </w:r>
      <w:r>
        <w:rPr>
          <w:rStyle w:val="FootnoteReference"/>
          <w:sz w:val="28"/>
          <w:szCs w:val="28"/>
        </w:rPr>
        <w:footnoteReference w:id="3"/>
      </w:r>
      <w:r>
        <w:rPr>
          <w:sz w:val="28"/>
          <w:szCs w:val="28"/>
        </w:rPr>
        <w:t xml:space="preserve"> </w:t>
      </w:r>
      <w:r w:rsidR="00CB6D4A">
        <w:rPr>
          <w:sz w:val="28"/>
          <w:szCs w:val="28"/>
        </w:rPr>
        <w:t xml:space="preserve">While this </w:t>
      </w:r>
      <w:r>
        <w:rPr>
          <w:sz w:val="28"/>
          <w:szCs w:val="28"/>
        </w:rPr>
        <w:t xml:space="preserve">submission does not intend </w:t>
      </w:r>
      <w:r w:rsidR="00933377">
        <w:rPr>
          <w:sz w:val="28"/>
          <w:szCs w:val="28"/>
        </w:rPr>
        <w:t xml:space="preserve">to repeat the arguments made </w:t>
      </w:r>
      <w:proofErr w:type="gramStart"/>
      <w:r w:rsidR="00CB6D4A">
        <w:rPr>
          <w:sz w:val="28"/>
          <w:szCs w:val="28"/>
        </w:rPr>
        <w:t>therein,</w:t>
      </w:r>
      <w:proofErr w:type="gramEnd"/>
      <w:r w:rsidR="00CB6D4A">
        <w:rPr>
          <w:sz w:val="28"/>
          <w:szCs w:val="28"/>
        </w:rPr>
        <w:t xml:space="preserve"> it</w:t>
      </w:r>
      <w:r w:rsidR="00933377">
        <w:rPr>
          <w:sz w:val="28"/>
          <w:szCs w:val="28"/>
        </w:rPr>
        <w:t xml:space="preserve"> wishes to </w:t>
      </w:r>
      <w:r w:rsidR="00CB6D4A">
        <w:rPr>
          <w:sz w:val="28"/>
          <w:szCs w:val="28"/>
        </w:rPr>
        <w:t xml:space="preserve">stress the following points: </w:t>
      </w:r>
    </w:p>
    <w:p w14:paraId="69020BA8" w14:textId="378E9331" w:rsidR="007C3490" w:rsidRDefault="00085792" w:rsidP="00CB6D4A">
      <w:pPr>
        <w:pStyle w:val="ListParagraph"/>
        <w:numPr>
          <w:ilvl w:val="0"/>
          <w:numId w:val="8"/>
        </w:numPr>
        <w:snapToGrid w:val="0"/>
        <w:spacing w:before="120" w:after="0" w:line="276" w:lineRule="auto"/>
        <w:ind w:left="1350" w:hanging="540"/>
        <w:jc w:val="both"/>
        <w:rPr>
          <w:sz w:val="28"/>
          <w:szCs w:val="28"/>
        </w:rPr>
      </w:pPr>
      <w:r>
        <w:rPr>
          <w:sz w:val="28"/>
          <w:szCs w:val="28"/>
        </w:rPr>
        <w:t>T</w:t>
      </w:r>
      <w:r w:rsidR="00CB6D4A">
        <w:rPr>
          <w:sz w:val="28"/>
          <w:szCs w:val="28"/>
        </w:rPr>
        <w:t>he</w:t>
      </w:r>
      <w:r w:rsidR="005A2513">
        <w:rPr>
          <w:sz w:val="28"/>
          <w:szCs w:val="28"/>
        </w:rPr>
        <w:t xml:space="preserve">se two rules </w:t>
      </w:r>
      <w:r w:rsidR="00CB6D4A">
        <w:rPr>
          <w:sz w:val="28"/>
          <w:szCs w:val="28"/>
        </w:rPr>
        <w:t xml:space="preserve">elucidated above are well-founded, </w:t>
      </w:r>
      <w:r w:rsidR="00BD2B05">
        <w:rPr>
          <w:sz w:val="28"/>
          <w:szCs w:val="28"/>
        </w:rPr>
        <w:t xml:space="preserve">being grounded in established guidelines, </w:t>
      </w:r>
      <w:r w:rsidR="00CB6D4A">
        <w:rPr>
          <w:sz w:val="28"/>
          <w:szCs w:val="28"/>
        </w:rPr>
        <w:t xml:space="preserve">including </w:t>
      </w:r>
      <w:r w:rsidR="00CB6D4A" w:rsidRPr="006D7BCF">
        <w:rPr>
          <w:sz w:val="28"/>
          <w:szCs w:val="28"/>
        </w:rPr>
        <w:t xml:space="preserve">the African Commission on Human and Peoples’ Rights’ Guidelines on Freedom of Association and Assembly in </w:t>
      </w:r>
      <w:r w:rsidR="00CB6D4A" w:rsidRPr="006D7BCF">
        <w:rPr>
          <w:sz w:val="28"/>
          <w:szCs w:val="28"/>
        </w:rPr>
        <w:lastRenderedPageBreak/>
        <w:t>Africa</w:t>
      </w:r>
      <w:r w:rsidR="00BD2B05">
        <w:rPr>
          <w:sz w:val="28"/>
          <w:szCs w:val="28"/>
        </w:rPr>
        <w:t>,</w:t>
      </w:r>
      <w:r w:rsidR="00BD2B05">
        <w:rPr>
          <w:rStyle w:val="FootnoteReference"/>
          <w:sz w:val="28"/>
          <w:szCs w:val="28"/>
        </w:rPr>
        <w:footnoteReference w:id="4"/>
      </w:r>
      <w:r w:rsidR="00CB6D4A">
        <w:rPr>
          <w:sz w:val="28"/>
          <w:szCs w:val="28"/>
        </w:rPr>
        <w:t xml:space="preserve"> and the</w:t>
      </w:r>
      <w:r w:rsidR="00C86F12">
        <w:rPr>
          <w:sz w:val="28"/>
          <w:szCs w:val="28"/>
        </w:rPr>
        <w:t xml:space="preserve"> Joint Guidelines on Freedom of Association issued by the</w:t>
      </w:r>
      <w:r w:rsidR="00CB6D4A">
        <w:rPr>
          <w:sz w:val="28"/>
          <w:szCs w:val="28"/>
        </w:rPr>
        <w:t xml:space="preserve"> </w:t>
      </w:r>
      <w:r w:rsidR="00CB6D4A" w:rsidRPr="005B2B10">
        <w:rPr>
          <w:sz w:val="28"/>
          <w:szCs w:val="28"/>
        </w:rPr>
        <w:t xml:space="preserve">Organization for Security and Cooperation in Europe (OSCE) Office for Democratic Institutions and Human Rights and </w:t>
      </w:r>
      <w:r w:rsidR="00C86F12">
        <w:rPr>
          <w:sz w:val="28"/>
          <w:szCs w:val="28"/>
        </w:rPr>
        <w:t xml:space="preserve">the </w:t>
      </w:r>
      <w:r w:rsidR="00CB6D4A" w:rsidRPr="005B2B10">
        <w:rPr>
          <w:sz w:val="28"/>
          <w:szCs w:val="28"/>
        </w:rPr>
        <w:t>European Commission for Democracy through Law (Venice Commission</w:t>
      </w:r>
      <w:r w:rsidR="00C86F12">
        <w:rPr>
          <w:sz w:val="28"/>
          <w:szCs w:val="28"/>
        </w:rPr>
        <w:t>)</w:t>
      </w:r>
      <w:r w:rsidR="00CB6D4A">
        <w:rPr>
          <w:sz w:val="28"/>
          <w:szCs w:val="28"/>
        </w:rPr>
        <w:t>,</w:t>
      </w:r>
      <w:r w:rsidR="00BD2B05">
        <w:rPr>
          <w:rStyle w:val="FootnoteReference"/>
          <w:sz w:val="28"/>
          <w:szCs w:val="28"/>
        </w:rPr>
        <w:footnoteReference w:id="5"/>
      </w:r>
      <w:r w:rsidR="00CB6D4A">
        <w:rPr>
          <w:sz w:val="28"/>
          <w:szCs w:val="28"/>
        </w:rPr>
        <w:t xml:space="preserve"> </w:t>
      </w:r>
      <w:r w:rsidR="00CB6D4A" w:rsidRPr="00CB6D4A">
        <w:rPr>
          <w:sz w:val="28"/>
          <w:szCs w:val="28"/>
          <w:u w:val="single"/>
        </w:rPr>
        <w:t xml:space="preserve">both of which are relied on in other parts </w:t>
      </w:r>
      <w:r w:rsidR="00BD2B05">
        <w:rPr>
          <w:sz w:val="28"/>
          <w:szCs w:val="28"/>
          <w:u w:val="single"/>
        </w:rPr>
        <w:t>o</w:t>
      </w:r>
      <w:r w:rsidR="00CB6D4A" w:rsidRPr="00CB6D4A">
        <w:rPr>
          <w:sz w:val="28"/>
          <w:szCs w:val="28"/>
          <w:u w:val="single"/>
        </w:rPr>
        <w:t>f the Draft General Comment</w:t>
      </w:r>
      <w:r w:rsidR="00CB6D4A">
        <w:rPr>
          <w:sz w:val="28"/>
          <w:szCs w:val="28"/>
        </w:rPr>
        <w:t>.</w:t>
      </w:r>
      <w:r w:rsidR="00BD2B05">
        <w:rPr>
          <w:rStyle w:val="FootnoteReference"/>
          <w:sz w:val="28"/>
          <w:szCs w:val="28"/>
        </w:rPr>
        <w:footnoteReference w:id="6"/>
      </w:r>
      <w:r w:rsidR="00CB6D4A">
        <w:rPr>
          <w:sz w:val="28"/>
          <w:szCs w:val="28"/>
        </w:rPr>
        <w:t xml:space="preserve"> </w:t>
      </w:r>
    </w:p>
    <w:p w14:paraId="02EC2C1E" w14:textId="77777777" w:rsidR="00053C89" w:rsidRDefault="00053C89" w:rsidP="00053C89">
      <w:pPr>
        <w:pStyle w:val="ListParagraph"/>
        <w:snapToGrid w:val="0"/>
        <w:spacing w:before="120" w:after="0" w:line="276" w:lineRule="auto"/>
        <w:ind w:left="1350"/>
        <w:jc w:val="both"/>
        <w:rPr>
          <w:sz w:val="28"/>
          <w:szCs w:val="28"/>
        </w:rPr>
      </w:pPr>
    </w:p>
    <w:p w14:paraId="5CB28090" w14:textId="6FFCB0C6" w:rsidR="00CB6D4A" w:rsidRPr="00A60B0B" w:rsidRDefault="00BD2B05" w:rsidP="00A60B0B">
      <w:pPr>
        <w:pStyle w:val="ListParagraph"/>
        <w:numPr>
          <w:ilvl w:val="0"/>
          <w:numId w:val="8"/>
        </w:numPr>
        <w:snapToGrid w:val="0"/>
        <w:spacing w:before="120" w:after="0" w:line="276" w:lineRule="auto"/>
        <w:ind w:left="1350" w:hanging="540"/>
        <w:jc w:val="both"/>
        <w:rPr>
          <w:sz w:val="28"/>
          <w:szCs w:val="28"/>
        </w:rPr>
      </w:pPr>
      <w:r w:rsidRPr="00BD2B05">
        <w:rPr>
          <w:sz w:val="28"/>
          <w:szCs w:val="28"/>
        </w:rPr>
        <w:t xml:space="preserve">These </w:t>
      </w:r>
      <w:r w:rsidR="005A2513">
        <w:rPr>
          <w:sz w:val="28"/>
          <w:szCs w:val="28"/>
        </w:rPr>
        <w:t>rules</w:t>
      </w:r>
      <w:r w:rsidR="00CB6D4A" w:rsidRPr="00BD2B05">
        <w:rPr>
          <w:sz w:val="28"/>
          <w:szCs w:val="28"/>
        </w:rPr>
        <w:t xml:space="preserve"> </w:t>
      </w:r>
      <w:r w:rsidRPr="00BD2B05">
        <w:rPr>
          <w:sz w:val="28"/>
          <w:szCs w:val="28"/>
        </w:rPr>
        <w:t>are</w:t>
      </w:r>
      <w:r w:rsidR="00CB6D4A" w:rsidRPr="00BD2B05">
        <w:rPr>
          <w:sz w:val="28"/>
          <w:szCs w:val="28"/>
        </w:rPr>
        <w:t xml:space="preserve"> particularly important</w:t>
      </w:r>
      <w:r>
        <w:rPr>
          <w:sz w:val="28"/>
          <w:szCs w:val="28"/>
        </w:rPr>
        <w:t xml:space="preserve"> in </w:t>
      </w:r>
      <w:r w:rsidR="006059A4">
        <w:rPr>
          <w:sz w:val="28"/>
          <w:szCs w:val="28"/>
        </w:rPr>
        <w:t>the</w:t>
      </w:r>
      <w:r>
        <w:rPr>
          <w:sz w:val="28"/>
          <w:szCs w:val="28"/>
        </w:rPr>
        <w:t xml:space="preserve"> Asia</w:t>
      </w:r>
      <w:r w:rsidR="006059A4">
        <w:rPr>
          <w:sz w:val="28"/>
          <w:szCs w:val="28"/>
        </w:rPr>
        <w:t>n context</w:t>
      </w:r>
      <w:r>
        <w:rPr>
          <w:sz w:val="28"/>
          <w:szCs w:val="28"/>
        </w:rPr>
        <w:t xml:space="preserve">, where countries </w:t>
      </w:r>
      <w:r w:rsidR="006059A4">
        <w:rPr>
          <w:sz w:val="28"/>
          <w:szCs w:val="28"/>
        </w:rPr>
        <w:t>have used</w:t>
      </w:r>
      <w:r>
        <w:rPr>
          <w:sz w:val="28"/>
          <w:szCs w:val="28"/>
        </w:rPr>
        <w:t xml:space="preserve"> registration systems as a tool of </w:t>
      </w:r>
      <w:r w:rsidR="00AA6CD8">
        <w:rPr>
          <w:sz w:val="28"/>
          <w:szCs w:val="28"/>
        </w:rPr>
        <w:t>government/</w:t>
      </w:r>
      <w:r w:rsidR="006059A4">
        <w:rPr>
          <w:sz w:val="28"/>
          <w:szCs w:val="28"/>
        </w:rPr>
        <w:t>authoritarian</w:t>
      </w:r>
      <w:r>
        <w:rPr>
          <w:sz w:val="28"/>
          <w:szCs w:val="28"/>
        </w:rPr>
        <w:t xml:space="preserve"> control. </w:t>
      </w:r>
      <w:r w:rsidR="006059A4" w:rsidRPr="006059A4">
        <w:rPr>
          <w:sz w:val="28"/>
          <w:szCs w:val="28"/>
        </w:rPr>
        <w:t>Hong Kong is only one example:</w:t>
      </w:r>
      <w:r w:rsidR="006059A4">
        <w:rPr>
          <w:rStyle w:val="FootnoteReference"/>
          <w:sz w:val="28"/>
          <w:szCs w:val="28"/>
        </w:rPr>
        <w:footnoteReference w:id="7"/>
      </w:r>
      <w:r w:rsidR="006059A4" w:rsidRPr="006059A4">
        <w:rPr>
          <w:sz w:val="28"/>
          <w:szCs w:val="28"/>
        </w:rPr>
        <w:t xml:space="preserve"> Viet Nam and Cambodia offer further examples, as documented in the </w:t>
      </w:r>
      <w:r w:rsidR="00AA6CD8">
        <w:rPr>
          <w:sz w:val="28"/>
          <w:szCs w:val="28"/>
        </w:rPr>
        <w:t xml:space="preserve">civil society </w:t>
      </w:r>
      <w:r w:rsidR="006059A4" w:rsidRPr="006059A4">
        <w:rPr>
          <w:sz w:val="28"/>
          <w:szCs w:val="28"/>
        </w:rPr>
        <w:t>submissions cited above</w:t>
      </w:r>
      <w:r w:rsidR="00A60B0B" w:rsidRPr="00A60B0B">
        <w:rPr>
          <w:sz w:val="28"/>
          <w:szCs w:val="28"/>
        </w:rPr>
        <w:t>.</w:t>
      </w:r>
      <w:r w:rsidR="00A60B0B">
        <w:rPr>
          <w:rStyle w:val="FootnoteReference"/>
          <w:sz w:val="28"/>
          <w:szCs w:val="28"/>
        </w:rPr>
        <w:footnoteReference w:id="8"/>
      </w:r>
    </w:p>
    <w:p w14:paraId="29C610F5" w14:textId="77777777" w:rsidR="00933377" w:rsidRDefault="00933377" w:rsidP="006059A4">
      <w:pPr>
        <w:snapToGrid w:val="0"/>
        <w:spacing w:after="0" w:line="240" w:lineRule="auto"/>
        <w:ind w:left="547"/>
        <w:jc w:val="both"/>
        <w:rPr>
          <w:sz w:val="28"/>
          <w:szCs w:val="28"/>
        </w:rPr>
      </w:pPr>
    </w:p>
    <w:p w14:paraId="03171006" w14:textId="3A58BDBD" w:rsidR="005A2513" w:rsidRDefault="005A2513" w:rsidP="00053C89">
      <w:pPr>
        <w:pStyle w:val="ListParagraph"/>
        <w:numPr>
          <w:ilvl w:val="0"/>
          <w:numId w:val="4"/>
        </w:numPr>
        <w:snapToGrid w:val="0"/>
        <w:spacing w:before="120" w:after="240" w:line="276" w:lineRule="auto"/>
        <w:ind w:left="540" w:hanging="540"/>
        <w:contextualSpacing w:val="0"/>
        <w:rPr>
          <w:b/>
          <w:bCs/>
          <w:sz w:val="28"/>
          <w:szCs w:val="28"/>
        </w:rPr>
      </w:pPr>
      <w:r w:rsidRPr="005B2B10">
        <w:rPr>
          <w:b/>
          <w:bCs/>
          <w:sz w:val="28"/>
          <w:szCs w:val="28"/>
        </w:rPr>
        <w:t>Paragraph 13</w:t>
      </w:r>
      <w:r w:rsidR="00553A6E">
        <w:rPr>
          <w:b/>
          <w:bCs/>
          <w:sz w:val="28"/>
          <w:szCs w:val="28"/>
        </w:rPr>
        <w:t xml:space="preserve">’s Statement on the Protection of Informal Associations Requires Further Elaboration </w:t>
      </w:r>
    </w:p>
    <w:p w14:paraId="29C16407" w14:textId="0170F8D9" w:rsidR="005A2513" w:rsidRDefault="005A2513" w:rsidP="005A2513">
      <w:pPr>
        <w:numPr>
          <w:ilvl w:val="0"/>
          <w:numId w:val="3"/>
        </w:numPr>
        <w:snapToGrid w:val="0"/>
        <w:spacing w:before="120" w:after="0" w:line="276" w:lineRule="auto"/>
        <w:ind w:left="547" w:hanging="547"/>
        <w:jc w:val="both"/>
        <w:rPr>
          <w:sz w:val="28"/>
          <w:szCs w:val="28"/>
        </w:rPr>
      </w:pPr>
      <w:r w:rsidRPr="006059A4">
        <w:rPr>
          <w:sz w:val="28"/>
          <w:szCs w:val="28"/>
        </w:rPr>
        <w:t xml:space="preserve">Further, </w:t>
      </w:r>
      <w:r>
        <w:rPr>
          <w:sz w:val="28"/>
          <w:szCs w:val="28"/>
        </w:rPr>
        <w:t xml:space="preserve">suggestions made by other civil society organizations on the issue of informal, unregistered de facto associations mostly focus on paragraph 7 of the Draft General Comment, in Part I (“General </w:t>
      </w:r>
      <w:r w:rsidR="002F283C">
        <w:rPr>
          <w:sz w:val="28"/>
          <w:szCs w:val="28"/>
        </w:rPr>
        <w:t>r</w:t>
      </w:r>
      <w:r>
        <w:rPr>
          <w:sz w:val="28"/>
          <w:szCs w:val="28"/>
        </w:rPr>
        <w:t>emarks”), as well as paragraph 13 in Part II (“Scope of freedom of association”).</w:t>
      </w:r>
      <w:r>
        <w:rPr>
          <w:rStyle w:val="FootnoteReference"/>
          <w:sz w:val="28"/>
          <w:szCs w:val="28"/>
        </w:rPr>
        <w:footnoteReference w:id="9"/>
      </w:r>
      <w:r>
        <w:rPr>
          <w:sz w:val="28"/>
          <w:szCs w:val="28"/>
        </w:rPr>
        <w:t xml:space="preserve"> Similarly, the Draft General Comment itself states the relevant principle only once, in paragraph 13, and does not return to </w:t>
      </w:r>
      <w:r w:rsidR="00553A6E">
        <w:rPr>
          <w:sz w:val="28"/>
          <w:szCs w:val="28"/>
        </w:rPr>
        <w:t>it</w:t>
      </w:r>
      <w:r>
        <w:rPr>
          <w:sz w:val="28"/>
          <w:szCs w:val="28"/>
        </w:rPr>
        <w:t xml:space="preserve">. </w:t>
      </w:r>
      <w:r w:rsidRPr="00AA6CD8">
        <w:rPr>
          <w:sz w:val="28"/>
          <w:szCs w:val="28"/>
        </w:rPr>
        <w:t>Presumably</w:t>
      </w:r>
      <w:r>
        <w:rPr>
          <w:sz w:val="28"/>
          <w:szCs w:val="28"/>
        </w:rPr>
        <w:t>,</w:t>
      </w:r>
      <w:r w:rsidRPr="00AA6CD8">
        <w:rPr>
          <w:sz w:val="28"/>
          <w:szCs w:val="28"/>
        </w:rPr>
        <w:t xml:space="preserve"> this is because the </w:t>
      </w:r>
      <w:r w:rsidR="00553A6E">
        <w:rPr>
          <w:sz w:val="28"/>
          <w:szCs w:val="28"/>
        </w:rPr>
        <w:t>Draft</w:t>
      </w:r>
      <w:r w:rsidRPr="00AA6CD8">
        <w:rPr>
          <w:sz w:val="28"/>
          <w:szCs w:val="28"/>
        </w:rPr>
        <w:t xml:space="preserve"> General Comment proceed</w:t>
      </w:r>
      <w:r>
        <w:rPr>
          <w:sz w:val="28"/>
          <w:szCs w:val="28"/>
        </w:rPr>
        <w:t>s</w:t>
      </w:r>
      <w:r w:rsidRPr="00AA6CD8">
        <w:rPr>
          <w:sz w:val="28"/>
          <w:szCs w:val="28"/>
        </w:rPr>
        <w:t xml:space="preserve"> on the assumption that, </w:t>
      </w:r>
      <w:r w:rsidR="006D08FB">
        <w:rPr>
          <w:sz w:val="28"/>
          <w:szCs w:val="28"/>
        </w:rPr>
        <w:t>having</w:t>
      </w:r>
      <w:r>
        <w:rPr>
          <w:sz w:val="28"/>
          <w:szCs w:val="28"/>
        </w:rPr>
        <w:t xml:space="preserve"> </w:t>
      </w:r>
      <w:r w:rsidR="006D08FB">
        <w:rPr>
          <w:sz w:val="28"/>
          <w:szCs w:val="28"/>
        </w:rPr>
        <w:t>stated</w:t>
      </w:r>
      <w:r>
        <w:rPr>
          <w:sz w:val="28"/>
          <w:szCs w:val="28"/>
        </w:rPr>
        <w:t xml:space="preserve"> </w:t>
      </w:r>
      <w:r w:rsidR="006D08FB">
        <w:rPr>
          <w:sz w:val="28"/>
          <w:szCs w:val="28"/>
        </w:rPr>
        <w:t>that</w:t>
      </w:r>
      <w:r>
        <w:rPr>
          <w:sz w:val="28"/>
          <w:szCs w:val="28"/>
        </w:rPr>
        <w:t xml:space="preserve"> </w:t>
      </w:r>
      <w:r w:rsidR="007D083D">
        <w:rPr>
          <w:sz w:val="28"/>
          <w:szCs w:val="28"/>
        </w:rPr>
        <w:t>a</w:t>
      </w:r>
      <w:r>
        <w:rPr>
          <w:sz w:val="28"/>
          <w:szCs w:val="28"/>
        </w:rPr>
        <w:t xml:space="preserve">rticle 22 </w:t>
      </w:r>
      <w:r w:rsidR="006D08FB">
        <w:rPr>
          <w:sz w:val="28"/>
          <w:szCs w:val="28"/>
        </w:rPr>
        <w:t>applies</w:t>
      </w:r>
      <w:r w:rsidRPr="00AA6CD8">
        <w:rPr>
          <w:sz w:val="28"/>
          <w:szCs w:val="28"/>
        </w:rPr>
        <w:t xml:space="preserve"> “equally” to </w:t>
      </w:r>
      <w:r w:rsidRPr="00AA6CD8">
        <w:rPr>
          <w:sz w:val="28"/>
          <w:szCs w:val="28"/>
        </w:rPr>
        <w:lastRenderedPageBreak/>
        <w:t>unregistered associations,</w:t>
      </w:r>
      <w:r>
        <w:rPr>
          <w:rStyle w:val="FootnoteReference"/>
          <w:sz w:val="28"/>
          <w:szCs w:val="28"/>
        </w:rPr>
        <w:footnoteReference w:id="10"/>
      </w:r>
      <w:r w:rsidRPr="00AA6CD8">
        <w:rPr>
          <w:sz w:val="28"/>
          <w:szCs w:val="28"/>
        </w:rPr>
        <w:t xml:space="preserve"> the principle requires no separate elaboration in concrete terms when </w:t>
      </w:r>
      <w:r w:rsidR="006D08FB">
        <w:rPr>
          <w:sz w:val="28"/>
          <w:szCs w:val="28"/>
        </w:rPr>
        <w:t>it</w:t>
      </w:r>
      <w:r w:rsidRPr="00AA6CD8">
        <w:rPr>
          <w:sz w:val="28"/>
          <w:szCs w:val="28"/>
        </w:rPr>
        <w:t xml:space="preserve"> turn</w:t>
      </w:r>
      <w:r w:rsidR="006D08FB">
        <w:rPr>
          <w:sz w:val="28"/>
          <w:szCs w:val="28"/>
        </w:rPr>
        <w:t>s</w:t>
      </w:r>
      <w:r w:rsidRPr="00AA6CD8">
        <w:rPr>
          <w:sz w:val="28"/>
          <w:szCs w:val="28"/>
        </w:rPr>
        <w:t xml:space="preserve"> to obligations and restrictions</w:t>
      </w:r>
      <w:r w:rsidR="00553A6E">
        <w:rPr>
          <w:sz w:val="28"/>
          <w:szCs w:val="28"/>
        </w:rPr>
        <w:t xml:space="preserve"> on the rights</w:t>
      </w:r>
      <w:r w:rsidRPr="00AA6CD8">
        <w:rPr>
          <w:sz w:val="28"/>
          <w:szCs w:val="28"/>
        </w:rPr>
        <w:t>.</w:t>
      </w:r>
    </w:p>
    <w:p w14:paraId="51589791" w14:textId="77777777" w:rsidR="0050572E" w:rsidRPr="00AA6CD8" w:rsidRDefault="0050572E" w:rsidP="0050572E">
      <w:pPr>
        <w:snapToGrid w:val="0"/>
        <w:spacing w:before="120" w:after="0" w:line="276" w:lineRule="auto"/>
        <w:ind w:left="547"/>
        <w:jc w:val="both"/>
        <w:rPr>
          <w:sz w:val="28"/>
          <w:szCs w:val="28"/>
        </w:rPr>
      </w:pPr>
    </w:p>
    <w:p w14:paraId="534143BA" w14:textId="77F40318" w:rsidR="002F283C" w:rsidRPr="005B2B10" w:rsidRDefault="00553A6E" w:rsidP="002F283C">
      <w:pPr>
        <w:numPr>
          <w:ilvl w:val="0"/>
          <w:numId w:val="3"/>
        </w:numPr>
        <w:snapToGrid w:val="0"/>
        <w:spacing w:before="120" w:after="0" w:line="276" w:lineRule="auto"/>
        <w:ind w:left="547" w:hanging="547"/>
        <w:jc w:val="both"/>
        <w:rPr>
          <w:sz w:val="28"/>
          <w:szCs w:val="28"/>
        </w:rPr>
      </w:pPr>
      <w:r w:rsidRPr="005B2B10">
        <w:rPr>
          <w:sz w:val="28"/>
          <w:szCs w:val="28"/>
        </w:rPr>
        <w:t xml:space="preserve">With respect, that assumption does not hold. An association without legal personality is not, for every purpose, in the same position as one that has acquired it, and the Draft General Comment’s own analysis </w:t>
      </w:r>
      <w:r w:rsidR="006D08FB">
        <w:rPr>
          <w:sz w:val="28"/>
          <w:szCs w:val="28"/>
        </w:rPr>
        <w:t>in the subsequent parts</w:t>
      </w:r>
      <w:r w:rsidR="002F283C">
        <w:rPr>
          <w:sz w:val="28"/>
          <w:szCs w:val="28"/>
        </w:rPr>
        <w:t xml:space="preserve"> </w:t>
      </w:r>
      <w:r w:rsidRPr="005B2B10">
        <w:rPr>
          <w:sz w:val="28"/>
          <w:szCs w:val="28"/>
        </w:rPr>
        <w:t>illustrates the difficulty</w:t>
      </w:r>
      <w:r w:rsidR="002F283C">
        <w:rPr>
          <w:sz w:val="28"/>
          <w:szCs w:val="28"/>
        </w:rPr>
        <w:t xml:space="preserve">. Paragraph 43, for example, </w:t>
      </w:r>
      <w:r w:rsidR="002F283C" w:rsidRPr="005B2B10">
        <w:rPr>
          <w:sz w:val="28"/>
          <w:szCs w:val="28"/>
        </w:rPr>
        <w:t>addresses the legality of restrictions in terms of</w:t>
      </w:r>
      <w:r w:rsidR="002F283C">
        <w:rPr>
          <w:sz w:val="28"/>
          <w:szCs w:val="28"/>
        </w:rPr>
        <w:t xml:space="preserve">, inter alia, </w:t>
      </w:r>
      <w:r w:rsidR="002F283C" w:rsidRPr="005B2B10">
        <w:rPr>
          <w:sz w:val="28"/>
          <w:szCs w:val="28"/>
        </w:rPr>
        <w:t xml:space="preserve">“broad and vague criteria for registering an association” and “for refusing its registration,” concepts that presuppose an association that has entered, or sought to enter, a registration process. An association that is informal precisely because it has not sought registration, and which domestic law does not require it to distinguish itself from an </w:t>
      </w:r>
      <w:r w:rsidR="002F283C" w:rsidRPr="006D08FB">
        <w:rPr>
          <w:sz w:val="28"/>
          <w:szCs w:val="28"/>
        </w:rPr>
        <w:t>ad hoc</w:t>
      </w:r>
      <w:r w:rsidR="002F283C" w:rsidRPr="005B2B10">
        <w:rPr>
          <w:sz w:val="28"/>
          <w:szCs w:val="28"/>
        </w:rPr>
        <w:t xml:space="preserve"> gathering of individuals, cannot be tested against criteria of that kind. </w:t>
      </w:r>
    </w:p>
    <w:p w14:paraId="09D01882" w14:textId="77777777" w:rsidR="002F283C" w:rsidRPr="005B2B10" w:rsidRDefault="002F283C" w:rsidP="002F283C">
      <w:pPr>
        <w:pStyle w:val="ListParagraph"/>
        <w:spacing w:after="0" w:line="240" w:lineRule="auto"/>
        <w:contextualSpacing w:val="0"/>
        <w:rPr>
          <w:sz w:val="28"/>
          <w:szCs w:val="28"/>
        </w:rPr>
      </w:pPr>
    </w:p>
    <w:p w14:paraId="158A083B" w14:textId="660759AC" w:rsidR="00553A6E" w:rsidRPr="00B21BB4" w:rsidRDefault="003C7621" w:rsidP="00553A6E">
      <w:pPr>
        <w:numPr>
          <w:ilvl w:val="0"/>
          <w:numId w:val="3"/>
        </w:numPr>
        <w:snapToGrid w:val="0"/>
        <w:spacing w:before="120" w:after="0" w:line="276" w:lineRule="auto"/>
        <w:ind w:left="547" w:hanging="547"/>
        <w:jc w:val="both"/>
        <w:rPr>
          <w:b/>
          <w:bCs/>
          <w:sz w:val="28"/>
          <w:szCs w:val="28"/>
        </w:rPr>
      </w:pPr>
      <w:r w:rsidRPr="003C7621">
        <w:rPr>
          <w:sz w:val="28"/>
          <w:szCs w:val="28"/>
        </w:rPr>
        <w:t>Accordingly, it is argued that</w:t>
      </w:r>
      <w:r w:rsidR="00174912">
        <w:rPr>
          <w:sz w:val="28"/>
          <w:szCs w:val="28"/>
        </w:rPr>
        <w:t xml:space="preserve"> the subsequent parts of the Draft General Comment</w:t>
      </w:r>
      <w:r w:rsidRPr="003C7621">
        <w:rPr>
          <w:sz w:val="28"/>
          <w:szCs w:val="28"/>
        </w:rPr>
        <w:t xml:space="preserve"> should further elaborate </w:t>
      </w:r>
      <w:r w:rsidR="00174912">
        <w:rPr>
          <w:sz w:val="28"/>
          <w:szCs w:val="28"/>
        </w:rPr>
        <w:t>on the protection of informal, unregistered de facto associations, given its particular importance in the Asian context</w:t>
      </w:r>
      <w:r w:rsidRPr="003C7621">
        <w:rPr>
          <w:sz w:val="28"/>
          <w:szCs w:val="28"/>
        </w:rPr>
        <w:t>.</w:t>
      </w:r>
      <w:r>
        <w:rPr>
          <w:sz w:val="28"/>
          <w:szCs w:val="28"/>
        </w:rPr>
        <w:t xml:space="preserve"> </w:t>
      </w:r>
      <w:r w:rsidR="00B21BB4" w:rsidRPr="00B21BB4">
        <w:rPr>
          <w:sz w:val="28"/>
          <w:szCs w:val="28"/>
        </w:rPr>
        <w:t>Part C below proposes amendments concerning Part IV (“State</w:t>
      </w:r>
      <w:r w:rsidR="00053C89">
        <w:rPr>
          <w:sz w:val="28"/>
          <w:szCs w:val="28"/>
        </w:rPr>
        <w:t>s</w:t>
      </w:r>
      <w:r w:rsidR="00B21BB4" w:rsidRPr="00B21BB4">
        <w:rPr>
          <w:sz w:val="28"/>
          <w:szCs w:val="28"/>
        </w:rPr>
        <w:t xml:space="preserve"> Parties’ negative and positive obligations”) and Part V (“Restrictions on the right of freedom of association”) </w:t>
      </w:r>
      <w:r w:rsidR="00174912">
        <w:rPr>
          <w:sz w:val="28"/>
          <w:szCs w:val="28"/>
        </w:rPr>
        <w:t>to address this gap</w:t>
      </w:r>
      <w:r w:rsidR="00B21BB4">
        <w:rPr>
          <w:sz w:val="28"/>
          <w:szCs w:val="28"/>
        </w:rPr>
        <w:t xml:space="preserve">. </w:t>
      </w:r>
    </w:p>
    <w:p w14:paraId="4FEDABC3" w14:textId="77777777" w:rsidR="00B21BB4" w:rsidRDefault="00B21BB4" w:rsidP="00B21BB4">
      <w:pPr>
        <w:pStyle w:val="ListParagraph"/>
        <w:rPr>
          <w:b/>
          <w:bCs/>
          <w:sz w:val="28"/>
          <w:szCs w:val="28"/>
        </w:rPr>
      </w:pPr>
      <w:bookmarkStart w:id="0" w:name="OLE_LINK1"/>
    </w:p>
    <w:p w14:paraId="5EBEAE8E" w14:textId="678D7241" w:rsidR="004A467B" w:rsidRPr="00B21BB4" w:rsidRDefault="00BD2B05" w:rsidP="00053C89">
      <w:pPr>
        <w:pStyle w:val="ListParagraph"/>
        <w:numPr>
          <w:ilvl w:val="0"/>
          <w:numId w:val="4"/>
        </w:numPr>
        <w:snapToGrid w:val="0"/>
        <w:spacing w:before="120" w:after="240" w:line="276" w:lineRule="auto"/>
        <w:ind w:left="540" w:hanging="540"/>
        <w:contextualSpacing w:val="0"/>
        <w:rPr>
          <w:b/>
          <w:bCs/>
          <w:sz w:val="28"/>
          <w:szCs w:val="28"/>
        </w:rPr>
      </w:pPr>
      <w:r w:rsidRPr="005B2B10">
        <w:rPr>
          <w:b/>
          <w:bCs/>
          <w:sz w:val="28"/>
          <w:szCs w:val="28"/>
        </w:rPr>
        <w:t>Paragraph</w:t>
      </w:r>
      <w:r w:rsidR="005A2513">
        <w:rPr>
          <w:b/>
          <w:bCs/>
          <w:sz w:val="28"/>
          <w:szCs w:val="28"/>
        </w:rPr>
        <w:t>s</w:t>
      </w:r>
      <w:r w:rsidRPr="005B2B10">
        <w:rPr>
          <w:b/>
          <w:bCs/>
          <w:sz w:val="28"/>
          <w:szCs w:val="28"/>
        </w:rPr>
        <w:t xml:space="preserve"> </w:t>
      </w:r>
      <w:r w:rsidR="005A2513">
        <w:rPr>
          <w:b/>
          <w:bCs/>
          <w:sz w:val="28"/>
          <w:szCs w:val="28"/>
        </w:rPr>
        <w:t xml:space="preserve">30, </w:t>
      </w:r>
      <w:r w:rsidR="00E07FF8">
        <w:rPr>
          <w:b/>
          <w:bCs/>
          <w:sz w:val="28"/>
          <w:szCs w:val="28"/>
        </w:rPr>
        <w:t xml:space="preserve">43, 44 &amp; 50 </w:t>
      </w:r>
      <w:r w:rsidRPr="005B2B10">
        <w:rPr>
          <w:b/>
          <w:bCs/>
          <w:sz w:val="28"/>
          <w:szCs w:val="28"/>
        </w:rPr>
        <w:t>of the Draft General Comment</w:t>
      </w:r>
    </w:p>
    <w:p w14:paraId="5C4A657E" w14:textId="17F54E55" w:rsidR="00B21BB4" w:rsidRDefault="00B21BB4" w:rsidP="00B21BB4">
      <w:pPr>
        <w:numPr>
          <w:ilvl w:val="0"/>
          <w:numId w:val="3"/>
        </w:numPr>
        <w:snapToGrid w:val="0"/>
        <w:spacing w:before="120" w:after="0" w:line="276" w:lineRule="auto"/>
        <w:ind w:left="547" w:hanging="547"/>
        <w:jc w:val="both"/>
        <w:rPr>
          <w:sz w:val="28"/>
          <w:szCs w:val="28"/>
        </w:rPr>
      </w:pPr>
      <w:r>
        <w:rPr>
          <w:sz w:val="28"/>
          <w:szCs w:val="28"/>
        </w:rPr>
        <w:t xml:space="preserve">It is proposed to </w:t>
      </w:r>
      <w:r w:rsidR="003D74DC">
        <w:rPr>
          <w:sz w:val="28"/>
          <w:szCs w:val="28"/>
        </w:rPr>
        <w:t>insert the underlined text</w:t>
      </w:r>
      <w:r w:rsidR="003C7621">
        <w:rPr>
          <w:sz w:val="28"/>
          <w:szCs w:val="28"/>
        </w:rPr>
        <w:t xml:space="preserve"> and footnote</w:t>
      </w:r>
      <w:r w:rsidR="003D74DC">
        <w:rPr>
          <w:sz w:val="28"/>
          <w:szCs w:val="28"/>
        </w:rPr>
        <w:t xml:space="preserve"> below</w:t>
      </w:r>
      <w:r>
        <w:rPr>
          <w:sz w:val="28"/>
          <w:szCs w:val="28"/>
        </w:rPr>
        <w:t xml:space="preserve"> </w:t>
      </w:r>
      <w:r w:rsidR="009C4E51">
        <w:rPr>
          <w:sz w:val="28"/>
          <w:szCs w:val="28"/>
        </w:rPr>
        <w:t>in</w:t>
      </w:r>
      <w:r w:rsidR="003D74DC">
        <w:rPr>
          <w:sz w:val="28"/>
          <w:szCs w:val="28"/>
        </w:rPr>
        <w:t>to</w:t>
      </w:r>
      <w:r>
        <w:rPr>
          <w:sz w:val="28"/>
          <w:szCs w:val="28"/>
        </w:rPr>
        <w:t xml:space="preserve"> paragraph 30 of the Draft General Comment: </w:t>
      </w:r>
    </w:p>
    <w:p w14:paraId="5926A4C4" w14:textId="74310FF8" w:rsidR="009B0FA6" w:rsidRDefault="003D74DC" w:rsidP="003D74DC">
      <w:pPr>
        <w:snapToGrid w:val="0"/>
        <w:spacing w:before="120" w:after="0" w:line="276" w:lineRule="auto"/>
        <w:ind w:left="810" w:right="270"/>
        <w:jc w:val="both"/>
        <w:rPr>
          <w:sz w:val="28"/>
          <w:szCs w:val="28"/>
        </w:rPr>
      </w:pPr>
      <w:r w:rsidRPr="003D74DC">
        <w:rPr>
          <w:sz w:val="28"/>
          <w:szCs w:val="28"/>
        </w:rPr>
        <w:t>“</w:t>
      </w:r>
      <w:r>
        <w:rPr>
          <w:sz w:val="28"/>
          <w:szCs w:val="28"/>
        </w:rPr>
        <w:t xml:space="preserve">. . . criminalizing </w:t>
      </w:r>
      <w:r w:rsidRPr="003D74DC">
        <w:rPr>
          <w:sz w:val="28"/>
          <w:szCs w:val="28"/>
        </w:rPr>
        <w:t xml:space="preserve">association activities or membership, </w:t>
      </w:r>
      <w:r w:rsidRPr="003D74DC">
        <w:rPr>
          <w:sz w:val="28"/>
          <w:szCs w:val="28"/>
          <w:u w:val="single"/>
        </w:rPr>
        <w:t>criminalizing the failure to register an association</w:t>
      </w:r>
      <w:r w:rsidRPr="003D74DC">
        <w:rPr>
          <w:sz w:val="28"/>
          <w:szCs w:val="28"/>
        </w:rPr>
        <w:t>,</w:t>
      </w:r>
      <w:r>
        <w:rPr>
          <w:rStyle w:val="FootnoteReference"/>
          <w:sz w:val="28"/>
          <w:szCs w:val="28"/>
        </w:rPr>
        <w:footnoteReference w:id="11"/>
      </w:r>
      <w:r w:rsidRPr="003D74DC">
        <w:rPr>
          <w:sz w:val="28"/>
          <w:szCs w:val="28"/>
        </w:rPr>
        <w:t xml:space="preserve"> or criminalizing legal aid associations, and instrumentalizing defamation proceedings and other means of</w:t>
      </w:r>
      <w:r>
        <w:rPr>
          <w:sz w:val="28"/>
          <w:szCs w:val="28"/>
        </w:rPr>
        <w:t xml:space="preserve"> ‘</w:t>
      </w:r>
      <w:r w:rsidRPr="003D74DC">
        <w:rPr>
          <w:sz w:val="28"/>
          <w:szCs w:val="28"/>
        </w:rPr>
        <w:t xml:space="preserve">strategic </w:t>
      </w:r>
      <w:r w:rsidRPr="003D74DC">
        <w:rPr>
          <w:sz w:val="28"/>
          <w:szCs w:val="28"/>
        </w:rPr>
        <w:lastRenderedPageBreak/>
        <w:t>litigation against public participation</w:t>
      </w:r>
      <w:r>
        <w:rPr>
          <w:sz w:val="28"/>
          <w:szCs w:val="28"/>
        </w:rPr>
        <w:t>’</w:t>
      </w:r>
      <w:r w:rsidRPr="003D74DC">
        <w:rPr>
          <w:sz w:val="28"/>
          <w:szCs w:val="28"/>
        </w:rPr>
        <w:t xml:space="preserve"> (SLAPP lawsuits). Such measures impede the full </w:t>
      </w:r>
      <w:proofErr w:type="spellStart"/>
      <w:r w:rsidRPr="003D74DC">
        <w:rPr>
          <w:sz w:val="28"/>
          <w:szCs w:val="28"/>
        </w:rPr>
        <w:t>realisation</w:t>
      </w:r>
      <w:proofErr w:type="spellEnd"/>
      <w:r w:rsidRPr="003D74DC">
        <w:rPr>
          <w:sz w:val="28"/>
          <w:szCs w:val="28"/>
        </w:rPr>
        <w:t xml:space="preserve"> of the right and may have a chilling effect on its exercise.</w:t>
      </w:r>
      <w:r>
        <w:rPr>
          <w:sz w:val="28"/>
          <w:szCs w:val="28"/>
        </w:rPr>
        <w:t>”</w:t>
      </w:r>
    </w:p>
    <w:p w14:paraId="4F5AFE52" w14:textId="77777777" w:rsidR="003D74DC" w:rsidRDefault="003D74DC" w:rsidP="003D74DC">
      <w:pPr>
        <w:snapToGrid w:val="0"/>
        <w:spacing w:after="0" w:line="240" w:lineRule="auto"/>
        <w:ind w:right="270"/>
        <w:jc w:val="both"/>
        <w:rPr>
          <w:sz w:val="28"/>
          <w:szCs w:val="28"/>
        </w:rPr>
      </w:pPr>
    </w:p>
    <w:p w14:paraId="420D472A" w14:textId="20A2AC11" w:rsidR="00F310B2" w:rsidRDefault="0033094D" w:rsidP="00B21BB4">
      <w:pPr>
        <w:numPr>
          <w:ilvl w:val="0"/>
          <w:numId w:val="3"/>
        </w:numPr>
        <w:snapToGrid w:val="0"/>
        <w:spacing w:before="120" w:after="0" w:line="276" w:lineRule="auto"/>
        <w:ind w:left="547" w:hanging="547"/>
        <w:jc w:val="both"/>
        <w:rPr>
          <w:sz w:val="28"/>
          <w:szCs w:val="28"/>
        </w:rPr>
      </w:pPr>
      <w:r>
        <w:rPr>
          <w:sz w:val="28"/>
          <w:szCs w:val="28"/>
        </w:rPr>
        <w:t xml:space="preserve">The rationale for this addition is self-explanatory, given the explanation above. It applies with </w:t>
      </w:r>
      <w:proofErr w:type="gramStart"/>
      <w:r>
        <w:rPr>
          <w:sz w:val="28"/>
          <w:szCs w:val="28"/>
        </w:rPr>
        <w:t>particular force</w:t>
      </w:r>
      <w:proofErr w:type="gramEnd"/>
      <w:r>
        <w:rPr>
          <w:sz w:val="28"/>
          <w:szCs w:val="28"/>
        </w:rPr>
        <w:t xml:space="preserve"> in the context of paragraph 30, which concerns the negative obligation to respect: criminalizing the failure to register is itself State action restricting the right de jure, falling within the very list of measures paragraph 30 already prohibits. </w:t>
      </w:r>
    </w:p>
    <w:p w14:paraId="6C646888" w14:textId="77777777" w:rsidR="00F310B2" w:rsidRDefault="00F310B2" w:rsidP="00A46CB2">
      <w:pPr>
        <w:snapToGrid w:val="0"/>
        <w:spacing w:after="0" w:line="240" w:lineRule="auto"/>
        <w:ind w:left="547"/>
        <w:jc w:val="both"/>
        <w:rPr>
          <w:sz w:val="28"/>
          <w:szCs w:val="28"/>
        </w:rPr>
      </w:pPr>
    </w:p>
    <w:p w14:paraId="2369B583" w14:textId="18A455A9" w:rsidR="00B21BB4" w:rsidRDefault="00B21BB4" w:rsidP="00B21BB4">
      <w:pPr>
        <w:numPr>
          <w:ilvl w:val="0"/>
          <w:numId w:val="3"/>
        </w:numPr>
        <w:snapToGrid w:val="0"/>
        <w:spacing w:before="120" w:after="0" w:line="276" w:lineRule="auto"/>
        <w:ind w:left="547" w:hanging="547"/>
        <w:jc w:val="both"/>
        <w:rPr>
          <w:sz w:val="28"/>
          <w:szCs w:val="28"/>
        </w:rPr>
      </w:pPr>
      <w:r>
        <w:rPr>
          <w:sz w:val="28"/>
          <w:szCs w:val="28"/>
        </w:rPr>
        <w:t xml:space="preserve">It is proposed to insert </w:t>
      </w:r>
      <w:r w:rsidR="00A46CB2">
        <w:rPr>
          <w:sz w:val="28"/>
          <w:szCs w:val="28"/>
        </w:rPr>
        <w:t>the underlined</w:t>
      </w:r>
      <w:r w:rsidR="00174912">
        <w:rPr>
          <w:sz w:val="28"/>
          <w:szCs w:val="28"/>
        </w:rPr>
        <w:t xml:space="preserve"> </w:t>
      </w:r>
      <w:r w:rsidR="00A46CB2">
        <w:rPr>
          <w:sz w:val="28"/>
          <w:szCs w:val="28"/>
        </w:rPr>
        <w:t>text below</w:t>
      </w:r>
      <w:r w:rsidR="00174912">
        <w:rPr>
          <w:sz w:val="28"/>
          <w:szCs w:val="28"/>
        </w:rPr>
        <w:t xml:space="preserve"> </w:t>
      </w:r>
      <w:r w:rsidR="00A46CB2">
        <w:rPr>
          <w:sz w:val="28"/>
          <w:szCs w:val="28"/>
        </w:rPr>
        <w:t xml:space="preserve">into </w:t>
      </w:r>
      <w:r>
        <w:rPr>
          <w:sz w:val="28"/>
          <w:szCs w:val="28"/>
        </w:rPr>
        <w:t xml:space="preserve">paragraph </w:t>
      </w:r>
      <w:r w:rsidR="00174912">
        <w:rPr>
          <w:sz w:val="28"/>
          <w:szCs w:val="28"/>
        </w:rPr>
        <w:t>43</w:t>
      </w:r>
      <w:r>
        <w:rPr>
          <w:sz w:val="28"/>
          <w:szCs w:val="28"/>
        </w:rPr>
        <w:t xml:space="preserve"> of the Draft General Comment: </w:t>
      </w:r>
    </w:p>
    <w:p w14:paraId="1A20F855" w14:textId="08BCC3FC" w:rsidR="00174912" w:rsidRDefault="00A46CB2" w:rsidP="000703B5">
      <w:pPr>
        <w:snapToGrid w:val="0"/>
        <w:spacing w:before="120" w:after="0" w:line="276" w:lineRule="auto"/>
        <w:ind w:left="810" w:right="270"/>
        <w:jc w:val="both"/>
        <w:rPr>
          <w:sz w:val="28"/>
          <w:szCs w:val="28"/>
        </w:rPr>
      </w:pPr>
      <w:r w:rsidRPr="00A46CB2">
        <w:rPr>
          <w:sz w:val="28"/>
          <w:szCs w:val="28"/>
        </w:rPr>
        <w:t>“. . . In the same vein, broad and vague criteria for registering an association</w:t>
      </w:r>
      <w:r>
        <w:rPr>
          <w:sz w:val="28"/>
          <w:szCs w:val="28"/>
        </w:rPr>
        <w:t xml:space="preserve"> </w:t>
      </w:r>
      <w:r w:rsidRPr="00A46CB2">
        <w:rPr>
          <w:sz w:val="28"/>
          <w:szCs w:val="28"/>
          <w:u w:val="single"/>
        </w:rPr>
        <w:t>would not meet the legality condition. Where such criteria are too broad in scope, encompassing all forms of association</w:t>
      </w:r>
      <w:r w:rsidR="00E07FF8">
        <w:rPr>
          <w:sz w:val="28"/>
          <w:szCs w:val="28"/>
          <w:u w:val="single"/>
        </w:rPr>
        <w:t>s</w:t>
      </w:r>
      <w:r w:rsidRPr="00A46CB2">
        <w:rPr>
          <w:sz w:val="28"/>
          <w:szCs w:val="28"/>
          <w:u w:val="single"/>
        </w:rPr>
        <w:t xml:space="preserve">, including informal, unregistered de facto associations, the resulting registration requirement risks becoming mandatory in practice, contrary </w:t>
      </w:r>
      <w:r w:rsidR="00D16EE2">
        <w:rPr>
          <w:sz w:val="28"/>
          <w:szCs w:val="28"/>
          <w:u w:val="single"/>
        </w:rPr>
        <w:t xml:space="preserve">to the </w:t>
      </w:r>
      <w:r w:rsidRPr="00A46CB2">
        <w:rPr>
          <w:sz w:val="28"/>
          <w:szCs w:val="28"/>
          <w:u w:val="single"/>
        </w:rPr>
        <w:t>principle set out in paragraph 13 above. Similarly, broad and vague criteria</w:t>
      </w:r>
      <w:r w:rsidRPr="00A46CB2">
        <w:rPr>
          <w:sz w:val="28"/>
          <w:szCs w:val="28"/>
        </w:rPr>
        <w:t xml:space="preserve"> for refusing its registration due to its </w:t>
      </w:r>
      <w:r>
        <w:rPr>
          <w:sz w:val="28"/>
          <w:szCs w:val="28"/>
        </w:rPr>
        <w:t>‘</w:t>
      </w:r>
      <w:r w:rsidRPr="00A46CB2">
        <w:rPr>
          <w:sz w:val="28"/>
          <w:szCs w:val="28"/>
        </w:rPr>
        <w:t>political objectives</w:t>
      </w:r>
      <w:r>
        <w:rPr>
          <w:sz w:val="28"/>
          <w:szCs w:val="28"/>
        </w:rPr>
        <w:t>’</w:t>
      </w:r>
      <w:r w:rsidRPr="00A46CB2">
        <w:rPr>
          <w:sz w:val="28"/>
          <w:szCs w:val="28"/>
        </w:rPr>
        <w:t xml:space="preserve">, or an </w:t>
      </w:r>
      <w:proofErr w:type="gramStart"/>
      <w:r w:rsidRPr="00A46CB2">
        <w:rPr>
          <w:sz w:val="28"/>
          <w:szCs w:val="28"/>
        </w:rPr>
        <w:t>open-ended definitions</w:t>
      </w:r>
      <w:proofErr w:type="gramEnd"/>
      <w:r w:rsidRPr="00A46CB2">
        <w:rPr>
          <w:sz w:val="28"/>
          <w:szCs w:val="28"/>
        </w:rPr>
        <w:t xml:space="preserve"> such as </w:t>
      </w:r>
      <w:r>
        <w:rPr>
          <w:sz w:val="28"/>
          <w:szCs w:val="28"/>
        </w:rPr>
        <w:t>‘</w:t>
      </w:r>
      <w:r w:rsidRPr="00A46CB2">
        <w:rPr>
          <w:sz w:val="28"/>
          <w:szCs w:val="28"/>
        </w:rPr>
        <w:t>extremist activity</w:t>
      </w:r>
      <w:r>
        <w:rPr>
          <w:sz w:val="28"/>
          <w:szCs w:val="28"/>
        </w:rPr>
        <w:t>’</w:t>
      </w:r>
      <w:r w:rsidRPr="00A46CB2">
        <w:rPr>
          <w:sz w:val="28"/>
          <w:szCs w:val="28"/>
        </w:rPr>
        <w:t xml:space="preserve"> contained in a law providing the basis for the dissolution of a religious organization would </w:t>
      </w:r>
      <w:r w:rsidRPr="00053C89">
        <w:rPr>
          <w:sz w:val="28"/>
          <w:szCs w:val="28"/>
        </w:rPr>
        <w:t>not</w:t>
      </w:r>
      <w:r w:rsidRPr="00A46CB2">
        <w:rPr>
          <w:sz w:val="28"/>
          <w:szCs w:val="28"/>
        </w:rPr>
        <w:t xml:space="preserve"> meet the legality condition</w:t>
      </w:r>
      <w:r>
        <w:rPr>
          <w:sz w:val="28"/>
          <w:szCs w:val="28"/>
        </w:rPr>
        <w:t>. . .”</w:t>
      </w:r>
    </w:p>
    <w:p w14:paraId="75406A2C" w14:textId="77777777" w:rsidR="009C4E51" w:rsidRDefault="009C4E51" w:rsidP="00D91783">
      <w:pPr>
        <w:snapToGrid w:val="0"/>
        <w:spacing w:after="0" w:line="240" w:lineRule="auto"/>
        <w:ind w:left="810" w:right="270"/>
        <w:jc w:val="both"/>
        <w:rPr>
          <w:sz w:val="28"/>
          <w:szCs w:val="28"/>
        </w:rPr>
      </w:pPr>
    </w:p>
    <w:p w14:paraId="6B3F77B3" w14:textId="3EB87C83" w:rsidR="00D91783" w:rsidRDefault="009C4E51" w:rsidP="00D16EE2">
      <w:pPr>
        <w:numPr>
          <w:ilvl w:val="0"/>
          <w:numId w:val="3"/>
        </w:numPr>
        <w:snapToGrid w:val="0"/>
        <w:spacing w:before="120" w:after="0" w:line="276" w:lineRule="auto"/>
        <w:ind w:left="547" w:hanging="547"/>
        <w:jc w:val="both"/>
        <w:rPr>
          <w:sz w:val="28"/>
          <w:szCs w:val="28"/>
        </w:rPr>
      </w:pPr>
      <w:r>
        <w:rPr>
          <w:sz w:val="28"/>
          <w:szCs w:val="28"/>
        </w:rPr>
        <w:t xml:space="preserve">The case of Hong Kong illustrates precisely this concern. </w:t>
      </w:r>
      <w:r w:rsidR="000F3974">
        <w:rPr>
          <w:sz w:val="28"/>
          <w:szCs w:val="28"/>
        </w:rPr>
        <w:t>Section 2(1) of the Societies Ordinance (Cap. 151) defines a “society” to include “any club, company, partnership or association of persons, whatever the nature or objects</w:t>
      </w:r>
      <w:r w:rsidR="00D91783">
        <w:rPr>
          <w:sz w:val="28"/>
          <w:szCs w:val="28"/>
        </w:rPr>
        <w:t>.</w:t>
      </w:r>
      <w:r w:rsidR="000F3974">
        <w:rPr>
          <w:sz w:val="28"/>
          <w:szCs w:val="28"/>
        </w:rPr>
        <w:t xml:space="preserve">” </w:t>
      </w:r>
      <w:r w:rsidR="00D91783">
        <w:rPr>
          <w:sz w:val="28"/>
          <w:szCs w:val="28"/>
        </w:rPr>
        <w:t xml:space="preserve">It requires all societies to </w:t>
      </w:r>
      <w:r w:rsidR="00053C89">
        <w:rPr>
          <w:sz w:val="28"/>
          <w:szCs w:val="28"/>
        </w:rPr>
        <w:t>register or seek exemption</w:t>
      </w:r>
      <w:r w:rsidR="00C86F12">
        <w:rPr>
          <w:sz w:val="28"/>
          <w:szCs w:val="28"/>
        </w:rPr>
        <w:t>;</w:t>
      </w:r>
      <w:r w:rsidR="00D91783">
        <w:rPr>
          <w:sz w:val="28"/>
          <w:szCs w:val="28"/>
        </w:rPr>
        <w:t xml:space="preserve"> failure to do so </w:t>
      </w:r>
      <w:r w:rsidR="00053C89">
        <w:rPr>
          <w:sz w:val="28"/>
          <w:szCs w:val="28"/>
        </w:rPr>
        <w:t>exposes</w:t>
      </w:r>
      <w:r w:rsidR="00D91783">
        <w:rPr>
          <w:sz w:val="28"/>
          <w:szCs w:val="28"/>
        </w:rPr>
        <w:t xml:space="preserve"> their “office-bearers” to criminal sanction. </w:t>
      </w:r>
      <w:r w:rsidR="000F3974">
        <w:rPr>
          <w:sz w:val="28"/>
          <w:szCs w:val="28"/>
        </w:rPr>
        <w:t>Plain language of this kind</w:t>
      </w:r>
      <w:r w:rsidR="00D91783">
        <w:rPr>
          <w:sz w:val="28"/>
          <w:szCs w:val="28"/>
        </w:rPr>
        <w:t>, notably “association of persons,”</w:t>
      </w:r>
      <w:r w:rsidR="00D67FB5" w:rsidRPr="00D67FB5">
        <w:rPr>
          <w:rStyle w:val="FootnoteReference"/>
          <w:sz w:val="28"/>
          <w:szCs w:val="28"/>
        </w:rPr>
        <w:t xml:space="preserve"> </w:t>
      </w:r>
      <w:r w:rsidR="00D67FB5">
        <w:rPr>
          <w:rStyle w:val="FootnoteReference"/>
          <w:sz w:val="28"/>
          <w:szCs w:val="28"/>
        </w:rPr>
        <w:footnoteReference w:id="12"/>
      </w:r>
      <w:r w:rsidR="00D67FB5">
        <w:rPr>
          <w:sz w:val="28"/>
          <w:szCs w:val="28"/>
        </w:rPr>
        <w:t xml:space="preserve"> </w:t>
      </w:r>
      <w:proofErr w:type="gramStart"/>
      <w:r w:rsidR="000F3974">
        <w:rPr>
          <w:sz w:val="28"/>
          <w:szCs w:val="28"/>
        </w:rPr>
        <w:t>is capable of encompassing</w:t>
      </w:r>
      <w:proofErr w:type="gramEnd"/>
      <w:r w:rsidR="000F3974">
        <w:rPr>
          <w:sz w:val="28"/>
          <w:szCs w:val="28"/>
        </w:rPr>
        <w:t xml:space="preserve"> most, if not all, informal, unregistered de facto associations</w:t>
      </w:r>
      <w:r w:rsidR="00D91783">
        <w:rPr>
          <w:sz w:val="28"/>
          <w:szCs w:val="28"/>
        </w:rPr>
        <w:t>.</w:t>
      </w:r>
      <w:r w:rsidR="000F3974">
        <w:rPr>
          <w:rStyle w:val="FootnoteReference"/>
          <w:sz w:val="28"/>
          <w:szCs w:val="28"/>
        </w:rPr>
        <w:footnoteReference w:id="13"/>
      </w:r>
      <w:r w:rsidR="000F3974">
        <w:rPr>
          <w:sz w:val="28"/>
          <w:szCs w:val="28"/>
        </w:rPr>
        <w:t xml:space="preserve"> </w:t>
      </w:r>
    </w:p>
    <w:p w14:paraId="65DDC627" w14:textId="77777777" w:rsidR="00D91783" w:rsidRDefault="00D91783" w:rsidP="00D91783">
      <w:pPr>
        <w:pStyle w:val="ListParagraph"/>
        <w:snapToGrid w:val="0"/>
        <w:spacing w:after="0" w:line="240" w:lineRule="auto"/>
        <w:ind w:right="270"/>
        <w:jc w:val="both"/>
        <w:rPr>
          <w:sz w:val="28"/>
          <w:szCs w:val="28"/>
        </w:rPr>
      </w:pPr>
    </w:p>
    <w:p w14:paraId="450F43B9" w14:textId="77777777" w:rsidR="008D6812" w:rsidRPr="00D91783" w:rsidRDefault="008D6812" w:rsidP="00D91783">
      <w:pPr>
        <w:pStyle w:val="ListParagraph"/>
        <w:snapToGrid w:val="0"/>
        <w:spacing w:after="0" w:line="240" w:lineRule="auto"/>
        <w:ind w:right="270"/>
        <w:jc w:val="both"/>
        <w:rPr>
          <w:sz w:val="28"/>
          <w:szCs w:val="28"/>
        </w:rPr>
      </w:pPr>
    </w:p>
    <w:p w14:paraId="4C4D597C" w14:textId="03F39D8E" w:rsidR="00D91783" w:rsidRDefault="00D91783" w:rsidP="00D16EE2">
      <w:pPr>
        <w:numPr>
          <w:ilvl w:val="0"/>
          <w:numId w:val="3"/>
        </w:numPr>
        <w:snapToGrid w:val="0"/>
        <w:spacing w:before="120" w:after="0" w:line="276" w:lineRule="auto"/>
        <w:ind w:left="547" w:hanging="547"/>
        <w:jc w:val="both"/>
        <w:rPr>
          <w:sz w:val="28"/>
          <w:szCs w:val="28"/>
        </w:rPr>
      </w:pPr>
      <w:r>
        <w:rPr>
          <w:sz w:val="28"/>
          <w:szCs w:val="28"/>
        </w:rPr>
        <w:lastRenderedPageBreak/>
        <w:t xml:space="preserve">The point made here is not to ask the Committee to comment on the Court of Appeal’s construction of the term “association of persons,” but rather, the point made here is simply an extension of the principle already established in relation to paragraph 13 above: since registration cannot be made compulsory for informal, unregistered de facto associations, a definition of “associations” broad enough to bring such associations within the scope, coupled with a mandatory registration duty, achieves precisely the result that principle prohibits, and therefore cannot satisfy the legality requirement. </w:t>
      </w:r>
    </w:p>
    <w:p w14:paraId="611AD36B" w14:textId="77777777" w:rsidR="00D16EE2" w:rsidRDefault="00D16EE2" w:rsidP="00D67FB5">
      <w:pPr>
        <w:snapToGrid w:val="0"/>
        <w:spacing w:after="0" w:line="240" w:lineRule="auto"/>
        <w:jc w:val="both"/>
        <w:rPr>
          <w:sz w:val="28"/>
          <w:szCs w:val="28"/>
        </w:rPr>
      </w:pPr>
    </w:p>
    <w:p w14:paraId="7B3DC060" w14:textId="3E3F283A" w:rsidR="00B21BB4" w:rsidRDefault="00B21BB4" w:rsidP="00B21BB4">
      <w:pPr>
        <w:numPr>
          <w:ilvl w:val="0"/>
          <w:numId w:val="3"/>
        </w:numPr>
        <w:snapToGrid w:val="0"/>
        <w:spacing w:before="120" w:after="0" w:line="276" w:lineRule="auto"/>
        <w:ind w:left="547" w:hanging="547"/>
        <w:jc w:val="both"/>
        <w:rPr>
          <w:sz w:val="28"/>
          <w:szCs w:val="28"/>
        </w:rPr>
      </w:pPr>
      <w:r>
        <w:rPr>
          <w:sz w:val="28"/>
          <w:szCs w:val="28"/>
        </w:rPr>
        <w:t xml:space="preserve">It is proposed to insert the underlined </w:t>
      </w:r>
      <w:r w:rsidR="000703B5">
        <w:rPr>
          <w:sz w:val="28"/>
          <w:szCs w:val="28"/>
        </w:rPr>
        <w:t>text</w:t>
      </w:r>
      <w:r>
        <w:rPr>
          <w:sz w:val="28"/>
          <w:szCs w:val="28"/>
        </w:rPr>
        <w:t xml:space="preserve"> below into paragraph </w:t>
      </w:r>
      <w:r w:rsidR="000703B5">
        <w:rPr>
          <w:sz w:val="28"/>
          <w:szCs w:val="28"/>
        </w:rPr>
        <w:t>44</w:t>
      </w:r>
      <w:r>
        <w:rPr>
          <w:sz w:val="28"/>
          <w:szCs w:val="28"/>
        </w:rPr>
        <w:t xml:space="preserve"> of the Draft General Comment: </w:t>
      </w:r>
    </w:p>
    <w:p w14:paraId="7C7DA7BC" w14:textId="689E04EB" w:rsidR="000703B5" w:rsidRDefault="000703B5" w:rsidP="000703B5">
      <w:pPr>
        <w:snapToGrid w:val="0"/>
        <w:spacing w:before="120" w:after="0" w:line="276" w:lineRule="auto"/>
        <w:ind w:left="810" w:right="270"/>
        <w:jc w:val="both"/>
        <w:rPr>
          <w:sz w:val="28"/>
          <w:szCs w:val="28"/>
        </w:rPr>
      </w:pPr>
      <w:r>
        <w:rPr>
          <w:sz w:val="28"/>
          <w:szCs w:val="28"/>
        </w:rPr>
        <w:t>“</w:t>
      </w:r>
      <w:r w:rsidRPr="000703B5">
        <w:rPr>
          <w:sz w:val="28"/>
          <w:szCs w:val="28"/>
        </w:rPr>
        <w:t>In this regard, the use of domestic legislation to criminalize an association, its members, human rights defenders or journalists for their activities</w:t>
      </w:r>
      <w:r w:rsidRPr="000703B5">
        <w:rPr>
          <w:sz w:val="28"/>
          <w:szCs w:val="28"/>
          <w:u w:val="single"/>
        </w:rPr>
        <w:t>, or on the basis of an association’s unregistered status,</w:t>
      </w:r>
      <w:r w:rsidRPr="000703B5">
        <w:rPr>
          <w:sz w:val="28"/>
          <w:szCs w:val="28"/>
        </w:rPr>
        <w:t xml:space="preserve"> must not only respect article 22 but also meet the strict criminal legality principle as enshrined in article 15 of the Covenant. </w:t>
      </w:r>
      <w:r w:rsidRPr="000703B5">
        <w:rPr>
          <w:sz w:val="28"/>
          <w:szCs w:val="28"/>
          <w:u w:val="single"/>
        </w:rPr>
        <w:t>This principle applies equally to offen</w:t>
      </w:r>
      <w:r w:rsidR="00053C89">
        <w:rPr>
          <w:sz w:val="28"/>
          <w:szCs w:val="28"/>
          <w:u w:val="single"/>
        </w:rPr>
        <w:t>s</w:t>
      </w:r>
      <w:r w:rsidRPr="000703B5">
        <w:rPr>
          <w:sz w:val="28"/>
          <w:szCs w:val="28"/>
          <w:u w:val="single"/>
        </w:rPr>
        <w:t>es defined by reference to an association</w:t>
      </w:r>
      <w:r>
        <w:rPr>
          <w:sz w:val="28"/>
          <w:szCs w:val="28"/>
          <w:u w:val="single"/>
        </w:rPr>
        <w:t>’</w:t>
      </w:r>
      <w:r w:rsidRPr="000703B5">
        <w:rPr>
          <w:sz w:val="28"/>
          <w:szCs w:val="28"/>
          <w:u w:val="single"/>
        </w:rPr>
        <w:t>s failure to register, and not only to offen</w:t>
      </w:r>
      <w:r w:rsidR="00431118">
        <w:rPr>
          <w:sz w:val="28"/>
          <w:szCs w:val="28"/>
          <w:u w:val="single"/>
        </w:rPr>
        <w:t>s</w:t>
      </w:r>
      <w:r w:rsidRPr="000703B5">
        <w:rPr>
          <w:sz w:val="28"/>
          <w:szCs w:val="28"/>
          <w:u w:val="single"/>
        </w:rPr>
        <w:t>es based on its conduct or activities. State</w:t>
      </w:r>
      <w:r w:rsidR="00053C89">
        <w:rPr>
          <w:sz w:val="28"/>
          <w:szCs w:val="28"/>
          <w:u w:val="single"/>
        </w:rPr>
        <w:t>s</w:t>
      </w:r>
      <w:r w:rsidRPr="000703B5">
        <w:rPr>
          <w:sz w:val="28"/>
          <w:szCs w:val="28"/>
          <w:u w:val="single"/>
        </w:rPr>
        <w:t xml:space="preserve"> Parties shall not impose criminal sanctions specifically and exclusively on an association</w:t>
      </w:r>
      <w:r>
        <w:rPr>
          <w:sz w:val="28"/>
          <w:szCs w:val="28"/>
          <w:u w:val="single"/>
        </w:rPr>
        <w:t>’</w:t>
      </w:r>
      <w:r w:rsidRPr="000703B5">
        <w:rPr>
          <w:sz w:val="28"/>
          <w:szCs w:val="28"/>
          <w:u w:val="single"/>
        </w:rPr>
        <w:t xml:space="preserve">s office-bearers </w:t>
      </w:r>
      <w:proofErr w:type="gramStart"/>
      <w:r w:rsidRPr="000703B5">
        <w:rPr>
          <w:sz w:val="28"/>
          <w:szCs w:val="28"/>
          <w:u w:val="single"/>
        </w:rPr>
        <w:t>on the basis of</w:t>
      </w:r>
      <w:proofErr w:type="gramEnd"/>
      <w:r w:rsidRPr="000703B5">
        <w:rPr>
          <w:sz w:val="28"/>
          <w:szCs w:val="28"/>
          <w:u w:val="single"/>
        </w:rPr>
        <w:t xml:space="preserve"> the association</w:t>
      </w:r>
      <w:r>
        <w:rPr>
          <w:sz w:val="28"/>
          <w:szCs w:val="28"/>
          <w:u w:val="single"/>
        </w:rPr>
        <w:t>’</w:t>
      </w:r>
      <w:r w:rsidRPr="000703B5">
        <w:rPr>
          <w:sz w:val="28"/>
          <w:szCs w:val="28"/>
          <w:u w:val="single"/>
        </w:rPr>
        <w:t>s failure to register.</w:t>
      </w:r>
      <w:r w:rsidRPr="000703B5">
        <w:rPr>
          <w:sz w:val="28"/>
          <w:szCs w:val="28"/>
        </w:rPr>
        <w:t xml:space="preserve"> The criminal legality principle is non-</w:t>
      </w:r>
      <w:proofErr w:type="spellStart"/>
      <w:r w:rsidRPr="000703B5">
        <w:rPr>
          <w:sz w:val="28"/>
          <w:szCs w:val="28"/>
        </w:rPr>
        <w:t>derogable</w:t>
      </w:r>
      <w:proofErr w:type="spellEnd"/>
      <w:r w:rsidRPr="000703B5">
        <w:rPr>
          <w:sz w:val="28"/>
          <w:szCs w:val="28"/>
        </w:rPr>
        <w:t xml:space="preserve"> and therefore no circumstances such as counterterrorism or anti-money-laundering measures can justify its infringement</w:t>
      </w:r>
      <w:r w:rsidR="00D16EE2">
        <w:rPr>
          <w:sz w:val="28"/>
          <w:szCs w:val="28"/>
        </w:rPr>
        <w:t xml:space="preserve"> . . .</w:t>
      </w:r>
      <w:r>
        <w:rPr>
          <w:sz w:val="28"/>
          <w:szCs w:val="28"/>
        </w:rPr>
        <w:t>”</w:t>
      </w:r>
    </w:p>
    <w:p w14:paraId="50A31CA0" w14:textId="77777777" w:rsidR="00431118" w:rsidRDefault="00431118" w:rsidP="003F649E">
      <w:pPr>
        <w:snapToGrid w:val="0"/>
        <w:spacing w:after="0" w:line="240" w:lineRule="auto"/>
        <w:ind w:left="547"/>
        <w:jc w:val="both"/>
        <w:rPr>
          <w:sz w:val="28"/>
          <w:szCs w:val="28"/>
        </w:rPr>
      </w:pPr>
    </w:p>
    <w:bookmarkEnd w:id="0"/>
    <w:p w14:paraId="266EF770" w14:textId="77A9A4FA" w:rsidR="003F649E" w:rsidRPr="003F649E" w:rsidRDefault="003F649E" w:rsidP="003F649E">
      <w:pPr>
        <w:numPr>
          <w:ilvl w:val="0"/>
          <w:numId w:val="3"/>
        </w:numPr>
        <w:snapToGrid w:val="0"/>
        <w:spacing w:before="120" w:after="0" w:line="276" w:lineRule="auto"/>
        <w:ind w:left="547" w:hanging="547"/>
        <w:jc w:val="both"/>
        <w:rPr>
          <w:sz w:val="28"/>
          <w:szCs w:val="28"/>
        </w:rPr>
      </w:pPr>
      <w:r w:rsidRPr="003F649E">
        <w:rPr>
          <w:sz w:val="28"/>
          <w:szCs w:val="28"/>
        </w:rPr>
        <w:t xml:space="preserve">This is a natural extension of the principle stated above. In the Hong Kong proceedings, the Court of Appeal </w:t>
      </w:r>
      <w:r>
        <w:rPr>
          <w:sz w:val="28"/>
          <w:szCs w:val="28"/>
        </w:rPr>
        <w:t>stated</w:t>
      </w:r>
      <w:r w:rsidRPr="003F649E">
        <w:rPr>
          <w:sz w:val="28"/>
          <w:szCs w:val="28"/>
        </w:rPr>
        <w:t xml:space="preserve"> that sanctioning only an association</w:t>
      </w:r>
      <w:r>
        <w:rPr>
          <w:sz w:val="28"/>
          <w:szCs w:val="28"/>
        </w:rPr>
        <w:t>’</w:t>
      </w:r>
      <w:r w:rsidRPr="003F649E">
        <w:rPr>
          <w:sz w:val="28"/>
          <w:szCs w:val="28"/>
        </w:rPr>
        <w:t>s office-bearers was reasonable because it left the association</w:t>
      </w:r>
      <w:r>
        <w:rPr>
          <w:sz w:val="28"/>
          <w:szCs w:val="28"/>
        </w:rPr>
        <w:t>’</w:t>
      </w:r>
      <w:r w:rsidRPr="003F649E">
        <w:rPr>
          <w:sz w:val="28"/>
          <w:szCs w:val="28"/>
        </w:rPr>
        <w:t>s operations and its other members unaffected.</w:t>
      </w:r>
      <w:r>
        <w:rPr>
          <w:rStyle w:val="FootnoteReference"/>
          <w:sz w:val="28"/>
          <w:szCs w:val="28"/>
        </w:rPr>
        <w:footnoteReference w:id="14"/>
      </w:r>
      <w:r w:rsidRPr="003F649E">
        <w:rPr>
          <w:sz w:val="28"/>
          <w:szCs w:val="28"/>
        </w:rPr>
        <w:t xml:space="preserve"> Whether the association</w:t>
      </w:r>
      <w:r w:rsidR="00953D37">
        <w:rPr>
          <w:sz w:val="28"/>
          <w:szCs w:val="28"/>
        </w:rPr>
        <w:t>’</w:t>
      </w:r>
      <w:r w:rsidRPr="003F649E">
        <w:rPr>
          <w:sz w:val="28"/>
          <w:szCs w:val="28"/>
        </w:rPr>
        <w:t xml:space="preserve">s activities continue is beside the point: </w:t>
      </w:r>
      <w:r w:rsidR="00953D37" w:rsidRPr="00953D37">
        <w:rPr>
          <w:sz w:val="28"/>
          <w:szCs w:val="28"/>
        </w:rPr>
        <w:t>an informal, unregistered association has no legal personality separate from those who act for it, and depends on its office-bearers</w:t>
      </w:r>
      <w:r w:rsidR="00953D37">
        <w:rPr>
          <w:sz w:val="28"/>
          <w:szCs w:val="28"/>
        </w:rPr>
        <w:t>’</w:t>
      </w:r>
      <w:r w:rsidR="00953D37" w:rsidRPr="00953D37">
        <w:rPr>
          <w:sz w:val="28"/>
          <w:szCs w:val="28"/>
        </w:rPr>
        <w:t xml:space="preserve"> own legal personality for anything requiring one</w:t>
      </w:r>
      <w:r w:rsidR="00953D37">
        <w:rPr>
          <w:sz w:val="28"/>
          <w:szCs w:val="28"/>
        </w:rPr>
        <w:t>;</w:t>
      </w:r>
      <w:r w:rsidR="00953D37">
        <w:rPr>
          <w:rStyle w:val="FootnoteReference"/>
          <w:sz w:val="28"/>
          <w:szCs w:val="28"/>
        </w:rPr>
        <w:footnoteReference w:id="15"/>
      </w:r>
      <w:r w:rsidR="00953D37" w:rsidRPr="00953D37">
        <w:rPr>
          <w:sz w:val="28"/>
          <w:szCs w:val="28"/>
        </w:rPr>
        <w:t xml:space="preserve"> a criminal sanction against its office-bearers for its </w:t>
      </w:r>
      <w:r w:rsidR="00953D37" w:rsidRPr="00953D37">
        <w:rPr>
          <w:sz w:val="28"/>
          <w:szCs w:val="28"/>
        </w:rPr>
        <w:lastRenderedPageBreak/>
        <w:t>unregistered status is accordingly not, in substance, different from a criminal sanction against the association itself, which paragraph 13 already prohibits.</w:t>
      </w:r>
    </w:p>
    <w:p w14:paraId="3580B3F5" w14:textId="77777777" w:rsidR="003F649E" w:rsidRDefault="003F649E" w:rsidP="00E07FF8">
      <w:pPr>
        <w:snapToGrid w:val="0"/>
        <w:spacing w:after="0" w:line="240" w:lineRule="auto"/>
        <w:ind w:left="547"/>
        <w:jc w:val="both"/>
        <w:rPr>
          <w:sz w:val="28"/>
          <w:szCs w:val="28"/>
        </w:rPr>
      </w:pPr>
    </w:p>
    <w:p w14:paraId="78457FC6" w14:textId="39A8CA57" w:rsidR="00E07FF8" w:rsidRDefault="00E07FF8" w:rsidP="00E07FF8">
      <w:pPr>
        <w:numPr>
          <w:ilvl w:val="0"/>
          <w:numId w:val="3"/>
        </w:numPr>
        <w:snapToGrid w:val="0"/>
        <w:spacing w:before="120" w:after="0" w:line="276" w:lineRule="auto"/>
        <w:ind w:left="547" w:hanging="547"/>
        <w:jc w:val="both"/>
        <w:rPr>
          <w:sz w:val="28"/>
          <w:szCs w:val="28"/>
        </w:rPr>
      </w:pPr>
      <w:r>
        <w:rPr>
          <w:sz w:val="28"/>
          <w:szCs w:val="28"/>
        </w:rPr>
        <w:t xml:space="preserve">It is proposed to insert the underlined text below into paragraph 50 of the Draft General Comment: </w:t>
      </w:r>
    </w:p>
    <w:p w14:paraId="3772F7DC" w14:textId="7E1163BB" w:rsidR="00E07FF8" w:rsidRDefault="007D083D" w:rsidP="00E07FF8">
      <w:pPr>
        <w:snapToGrid w:val="0"/>
        <w:spacing w:before="120" w:after="0" w:line="276" w:lineRule="auto"/>
        <w:ind w:left="810" w:right="270"/>
        <w:jc w:val="both"/>
        <w:rPr>
          <w:sz w:val="28"/>
          <w:szCs w:val="28"/>
        </w:rPr>
      </w:pPr>
      <w:r>
        <w:rPr>
          <w:sz w:val="28"/>
          <w:szCs w:val="28"/>
        </w:rPr>
        <w:t>“</w:t>
      </w:r>
      <w:r w:rsidR="00E07FF8" w:rsidRPr="00E07FF8">
        <w:rPr>
          <w:sz w:val="28"/>
          <w:szCs w:val="28"/>
        </w:rPr>
        <w:t xml:space="preserve">To meet the requirement of article 22 (2), a restriction must also be necessary in a democratic society to achieve one of these purposes. </w:t>
      </w:r>
      <w:r w:rsidR="00E07FF8" w:rsidRPr="00E07FF8">
        <w:rPr>
          <w:sz w:val="28"/>
          <w:szCs w:val="28"/>
          <w:u w:val="single"/>
        </w:rPr>
        <w:t>A registration requirement extending to all forms of associations, irrespective of their size, purpose or the risk they may pose, including informal, unregistered de facto associations, goes further than is necessary to achieve any such purpose and is accordingly neither necessary nor proportionate.</w:t>
      </w:r>
      <w:r w:rsidR="00E07FF8" w:rsidRPr="00E07FF8">
        <w:rPr>
          <w:sz w:val="28"/>
          <w:szCs w:val="28"/>
        </w:rPr>
        <w:t xml:space="preserve"> The necessity and proportionality requirements must be read in conjunction with article 5 (1) . . .</w:t>
      </w:r>
      <w:r w:rsidR="00E07FF8">
        <w:rPr>
          <w:sz w:val="28"/>
          <w:szCs w:val="28"/>
        </w:rPr>
        <w:t>”</w:t>
      </w:r>
    </w:p>
    <w:p w14:paraId="11B26B7E" w14:textId="77777777" w:rsidR="007D083D" w:rsidRDefault="007D083D" w:rsidP="00AC6813">
      <w:pPr>
        <w:snapToGrid w:val="0"/>
        <w:spacing w:before="120" w:after="0" w:line="240" w:lineRule="auto"/>
        <w:ind w:left="810" w:right="270"/>
        <w:jc w:val="both"/>
        <w:rPr>
          <w:sz w:val="28"/>
          <w:szCs w:val="28"/>
        </w:rPr>
      </w:pPr>
    </w:p>
    <w:p w14:paraId="18319714" w14:textId="6BC42343" w:rsidR="00E07FF8" w:rsidRDefault="00E07FF8" w:rsidP="00E07FF8">
      <w:pPr>
        <w:numPr>
          <w:ilvl w:val="0"/>
          <w:numId w:val="3"/>
        </w:numPr>
        <w:snapToGrid w:val="0"/>
        <w:spacing w:before="120" w:after="0" w:line="276" w:lineRule="auto"/>
        <w:ind w:left="547" w:hanging="547"/>
        <w:jc w:val="both"/>
        <w:rPr>
          <w:sz w:val="28"/>
          <w:szCs w:val="28"/>
        </w:rPr>
      </w:pPr>
      <w:r>
        <w:rPr>
          <w:sz w:val="28"/>
          <w:szCs w:val="28"/>
        </w:rPr>
        <w:t xml:space="preserve">This is a further, distinct application of the same principle. Even where a definition such as that discussed in paragraph 13 above is sufficiently precise to satisfy the legality condition, requiring every association falling within it, including informal, unregistered de facto associations, to register is not thereby rendered necessary or proportionate: since registration cannot be made compulsory for such associations, a registration duty of this scope goes further than necessary to achieve any legitimate aim under article 22(2). </w:t>
      </w:r>
    </w:p>
    <w:p w14:paraId="32E22646" w14:textId="77777777" w:rsidR="00E07FF8" w:rsidRDefault="00E07FF8" w:rsidP="009B0FA6">
      <w:pPr>
        <w:snapToGrid w:val="0"/>
        <w:spacing w:before="120" w:after="0" w:line="276" w:lineRule="auto"/>
        <w:jc w:val="both"/>
        <w:rPr>
          <w:sz w:val="28"/>
          <w:szCs w:val="28"/>
        </w:rPr>
      </w:pPr>
    </w:p>
    <w:p w14:paraId="6D8A3A99" w14:textId="5F248CE8" w:rsidR="009B0FA6" w:rsidRPr="005B2B10" w:rsidRDefault="00E07FF8" w:rsidP="007D083D">
      <w:pPr>
        <w:pStyle w:val="ListParagraph"/>
        <w:numPr>
          <w:ilvl w:val="0"/>
          <w:numId w:val="2"/>
        </w:numPr>
        <w:snapToGrid w:val="0"/>
        <w:spacing w:before="120"/>
        <w:ind w:left="547" w:hanging="547"/>
        <w:contextualSpacing w:val="0"/>
        <w:rPr>
          <w:b/>
          <w:bCs/>
          <w:sz w:val="28"/>
          <w:szCs w:val="28"/>
        </w:rPr>
      </w:pPr>
      <w:r>
        <w:rPr>
          <w:b/>
          <w:bCs/>
          <w:sz w:val="28"/>
          <w:szCs w:val="28"/>
        </w:rPr>
        <w:t xml:space="preserve">Summary of Proposed Amendments </w:t>
      </w:r>
    </w:p>
    <w:p w14:paraId="7E4D10CB" w14:textId="4B2E1638" w:rsidR="009B0FA6" w:rsidRDefault="007D083D" w:rsidP="007D083D">
      <w:pPr>
        <w:numPr>
          <w:ilvl w:val="0"/>
          <w:numId w:val="3"/>
        </w:numPr>
        <w:snapToGrid w:val="0"/>
        <w:spacing w:before="120" w:after="0" w:line="276" w:lineRule="auto"/>
        <w:ind w:left="547" w:hanging="547"/>
        <w:jc w:val="both"/>
        <w:rPr>
          <w:sz w:val="28"/>
          <w:szCs w:val="28"/>
        </w:rPr>
      </w:pPr>
      <w:r>
        <w:rPr>
          <w:sz w:val="28"/>
          <w:szCs w:val="28"/>
        </w:rPr>
        <w:t xml:space="preserve">For ease of reference, the proposed amendments discussed above are restated in full below, with proposed insertions underlined. </w:t>
      </w:r>
    </w:p>
    <w:p w14:paraId="7E6B6121" w14:textId="77777777" w:rsidR="007D083D" w:rsidRDefault="007D083D" w:rsidP="007D083D">
      <w:pPr>
        <w:snapToGrid w:val="0"/>
        <w:spacing w:after="0" w:line="240" w:lineRule="auto"/>
        <w:ind w:left="547"/>
        <w:jc w:val="both"/>
        <w:rPr>
          <w:sz w:val="28"/>
          <w:szCs w:val="28"/>
        </w:rPr>
      </w:pPr>
    </w:p>
    <w:p w14:paraId="2EDE8C06" w14:textId="112F8CDB" w:rsidR="007D083D" w:rsidRDefault="007D083D" w:rsidP="007D083D">
      <w:pPr>
        <w:pStyle w:val="ListParagraph"/>
        <w:numPr>
          <w:ilvl w:val="0"/>
          <w:numId w:val="12"/>
        </w:numPr>
        <w:tabs>
          <w:tab w:val="left" w:pos="630"/>
        </w:tabs>
        <w:snapToGrid w:val="0"/>
        <w:spacing w:before="120" w:after="0" w:line="276" w:lineRule="auto"/>
        <w:ind w:left="990" w:hanging="450"/>
        <w:jc w:val="both"/>
        <w:rPr>
          <w:sz w:val="28"/>
          <w:szCs w:val="28"/>
        </w:rPr>
      </w:pPr>
      <w:r>
        <w:rPr>
          <w:sz w:val="28"/>
          <w:szCs w:val="28"/>
        </w:rPr>
        <w:t xml:space="preserve">Paragraph 13: </w:t>
      </w:r>
      <w:r w:rsidRPr="007C3490">
        <w:rPr>
          <w:sz w:val="28"/>
          <w:szCs w:val="28"/>
        </w:rPr>
        <w:t>“As an essential right grounded in the equality and dignity of individuals, its protection applies equally to informal, unregistered de facto associations.</w:t>
      </w:r>
      <w:r>
        <w:rPr>
          <w:sz w:val="28"/>
          <w:szCs w:val="28"/>
        </w:rPr>
        <w:t xml:space="preserve"> </w:t>
      </w:r>
      <w:r w:rsidRPr="007C3490">
        <w:rPr>
          <w:sz w:val="28"/>
          <w:szCs w:val="28"/>
        </w:rPr>
        <w:t xml:space="preserve">Therefore, such associations do not need any domestic authorization or recognition </w:t>
      </w:r>
      <w:proofErr w:type="gramStart"/>
      <w:r w:rsidRPr="007C3490">
        <w:rPr>
          <w:sz w:val="28"/>
          <w:szCs w:val="28"/>
        </w:rPr>
        <w:t>in order to</w:t>
      </w:r>
      <w:proofErr w:type="gramEnd"/>
      <w:r w:rsidRPr="007C3490">
        <w:rPr>
          <w:sz w:val="28"/>
          <w:szCs w:val="28"/>
        </w:rPr>
        <w:t xml:space="preserve"> fall under the protection of the right to freedom of association. </w:t>
      </w:r>
      <w:r w:rsidRPr="007C3490">
        <w:rPr>
          <w:sz w:val="28"/>
          <w:szCs w:val="28"/>
          <w:u w:val="single"/>
        </w:rPr>
        <w:t>Accordingly, State</w:t>
      </w:r>
      <w:r w:rsidR="00053C89">
        <w:rPr>
          <w:sz w:val="28"/>
          <w:szCs w:val="28"/>
          <w:u w:val="single"/>
        </w:rPr>
        <w:t>s</w:t>
      </w:r>
      <w:r w:rsidRPr="007C3490">
        <w:rPr>
          <w:sz w:val="28"/>
          <w:szCs w:val="28"/>
          <w:u w:val="single"/>
        </w:rPr>
        <w:t xml:space="preserve"> Parties shall not make </w:t>
      </w:r>
      <w:r w:rsidRPr="007C3490">
        <w:rPr>
          <w:sz w:val="28"/>
          <w:szCs w:val="28"/>
          <w:u w:val="single"/>
        </w:rPr>
        <w:lastRenderedPageBreak/>
        <w:t xml:space="preserve">registration of associations compulsory, nor shall informal, unregistered de facto associations be punished or criminalized in law or in practice </w:t>
      </w:r>
      <w:proofErr w:type="gramStart"/>
      <w:r w:rsidRPr="007C3490">
        <w:rPr>
          <w:sz w:val="28"/>
          <w:szCs w:val="28"/>
          <w:u w:val="single"/>
        </w:rPr>
        <w:t>on the basis of</w:t>
      </w:r>
      <w:proofErr w:type="gramEnd"/>
      <w:r w:rsidRPr="007C3490">
        <w:rPr>
          <w:sz w:val="28"/>
          <w:szCs w:val="28"/>
          <w:u w:val="single"/>
        </w:rPr>
        <w:t xml:space="preserve"> their unregistered status.</w:t>
      </w:r>
      <w:r w:rsidRPr="007C3490">
        <w:rPr>
          <w:sz w:val="28"/>
          <w:szCs w:val="28"/>
        </w:rPr>
        <w:t xml:space="preserve">  Should individuals request the authorization and registration of their association</w:t>
      </w:r>
      <w:r>
        <w:rPr>
          <w:sz w:val="28"/>
          <w:szCs w:val="28"/>
        </w:rPr>
        <w:t xml:space="preserve"> . . .</w:t>
      </w:r>
      <w:r w:rsidRPr="007C3490">
        <w:rPr>
          <w:sz w:val="28"/>
          <w:szCs w:val="28"/>
        </w:rPr>
        <w:t>”</w:t>
      </w:r>
    </w:p>
    <w:p w14:paraId="0F2B80EB" w14:textId="77777777" w:rsidR="007D083D" w:rsidRDefault="007D083D" w:rsidP="007D083D">
      <w:pPr>
        <w:pStyle w:val="ListParagraph"/>
        <w:tabs>
          <w:tab w:val="left" w:pos="630"/>
        </w:tabs>
        <w:snapToGrid w:val="0"/>
        <w:spacing w:before="120" w:after="0" w:line="240" w:lineRule="auto"/>
        <w:ind w:left="990" w:hanging="450"/>
        <w:jc w:val="both"/>
        <w:rPr>
          <w:sz w:val="28"/>
          <w:szCs w:val="28"/>
        </w:rPr>
      </w:pPr>
    </w:p>
    <w:p w14:paraId="49CB7A11" w14:textId="5A8AC9B7" w:rsidR="007D083D" w:rsidRDefault="007D083D" w:rsidP="007D083D">
      <w:pPr>
        <w:pStyle w:val="ListParagraph"/>
        <w:numPr>
          <w:ilvl w:val="0"/>
          <w:numId w:val="12"/>
        </w:numPr>
        <w:tabs>
          <w:tab w:val="left" w:pos="630"/>
        </w:tabs>
        <w:snapToGrid w:val="0"/>
        <w:spacing w:before="120" w:after="0" w:line="276" w:lineRule="auto"/>
        <w:ind w:left="990" w:hanging="450"/>
        <w:jc w:val="both"/>
        <w:rPr>
          <w:sz w:val="28"/>
          <w:szCs w:val="28"/>
        </w:rPr>
      </w:pPr>
      <w:r>
        <w:rPr>
          <w:sz w:val="28"/>
          <w:szCs w:val="28"/>
        </w:rPr>
        <w:t xml:space="preserve">Paragraph 30: </w:t>
      </w:r>
      <w:r w:rsidRPr="003D74DC">
        <w:rPr>
          <w:sz w:val="28"/>
          <w:szCs w:val="28"/>
        </w:rPr>
        <w:t>“</w:t>
      </w:r>
      <w:r>
        <w:rPr>
          <w:sz w:val="28"/>
          <w:szCs w:val="28"/>
        </w:rPr>
        <w:t xml:space="preserve">. . . criminalizing </w:t>
      </w:r>
      <w:r w:rsidRPr="003D74DC">
        <w:rPr>
          <w:sz w:val="28"/>
          <w:szCs w:val="28"/>
        </w:rPr>
        <w:t xml:space="preserve">association activities or membership, </w:t>
      </w:r>
      <w:r w:rsidRPr="003D74DC">
        <w:rPr>
          <w:sz w:val="28"/>
          <w:szCs w:val="28"/>
          <w:u w:val="single"/>
        </w:rPr>
        <w:t>criminalizing the failure to register an association</w:t>
      </w:r>
      <w:r w:rsidRPr="003D74DC">
        <w:rPr>
          <w:sz w:val="28"/>
          <w:szCs w:val="28"/>
        </w:rPr>
        <w:t>, or criminalizing legal aid associations, and instrumentalizing defamation proceedings and other means of</w:t>
      </w:r>
      <w:r>
        <w:rPr>
          <w:sz w:val="28"/>
          <w:szCs w:val="28"/>
        </w:rPr>
        <w:t xml:space="preserve"> ‘</w:t>
      </w:r>
      <w:r w:rsidRPr="003D74DC">
        <w:rPr>
          <w:sz w:val="28"/>
          <w:szCs w:val="28"/>
        </w:rPr>
        <w:t>strategic litigation against public participation</w:t>
      </w:r>
      <w:r>
        <w:rPr>
          <w:sz w:val="28"/>
          <w:szCs w:val="28"/>
        </w:rPr>
        <w:t>’</w:t>
      </w:r>
      <w:r w:rsidRPr="003D74DC">
        <w:rPr>
          <w:sz w:val="28"/>
          <w:szCs w:val="28"/>
        </w:rPr>
        <w:t xml:space="preserve"> (SLAPP lawsuits). Such measures impede the full </w:t>
      </w:r>
      <w:proofErr w:type="spellStart"/>
      <w:r w:rsidRPr="003D74DC">
        <w:rPr>
          <w:sz w:val="28"/>
          <w:szCs w:val="28"/>
        </w:rPr>
        <w:t>realisation</w:t>
      </w:r>
      <w:proofErr w:type="spellEnd"/>
      <w:r w:rsidRPr="003D74DC">
        <w:rPr>
          <w:sz w:val="28"/>
          <w:szCs w:val="28"/>
        </w:rPr>
        <w:t xml:space="preserve"> of the right and may have a chilling effect on its exercise.</w:t>
      </w:r>
      <w:r>
        <w:rPr>
          <w:sz w:val="28"/>
          <w:szCs w:val="28"/>
        </w:rPr>
        <w:t>”</w:t>
      </w:r>
    </w:p>
    <w:p w14:paraId="4038B296" w14:textId="77777777" w:rsidR="007D083D" w:rsidRPr="007D083D" w:rsidRDefault="007D083D" w:rsidP="007D083D">
      <w:pPr>
        <w:pStyle w:val="ListParagraph"/>
        <w:tabs>
          <w:tab w:val="left" w:pos="630"/>
        </w:tabs>
        <w:ind w:left="990" w:hanging="450"/>
        <w:rPr>
          <w:sz w:val="28"/>
          <w:szCs w:val="28"/>
        </w:rPr>
      </w:pPr>
    </w:p>
    <w:p w14:paraId="4F32F2BF" w14:textId="3DC8D6CC" w:rsidR="007D083D" w:rsidRDefault="007D083D" w:rsidP="007D083D">
      <w:pPr>
        <w:pStyle w:val="ListParagraph"/>
        <w:numPr>
          <w:ilvl w:val="0"/>
          <w:numId w:val="12"/>
        </w:numPr>
        <w:tabs>
          <w:tab w:val="left" w:pos="630"/>
        </w:tabs>
        <w:snapToGrid w:val="0"/>
        <w:spacing w:before="120" w:after="0" w:line="276" w:lineRule="auto"/>
        <w:ind w:left="990" w:hanging="450"/>
        <w:jc w:val="both"/>
        <w:rPr>
          <w:sz w:val="28"/>
          <w:szCs w:val="28"/>
        </w:rPr>
      </w:pPr>
      <w:r>
        <w:rPr>
          <w:sz w:val="28"/>
          <w:szCs w:val="28"/>
        </w:rPr>
        <w:t xml:space="preserve">Paragraph 43: </w:t>
      </w:r>
      <w:r w:rsidRPr="00A46CB2">
        <w:rPr>
          <w:sz w:val="28"/>
          <w:szCs w:val="28"/>
        </w:rPr>
        <w:t>“. . . In the same vein, broad and vague criteria for registering an association</w:t>
      </w:r>
      <w:r>
        <w:rPr>
          <w:sz w:val="28"/>
          <w:szCs w:val="28"/>
        </w:rPr>
        <w:t xml:space="preserve"> </w:t>
      </w:r>
      <w:r w:rsidRPr="00A46CB2">
        <w:rPr>
          <w:sz w:val="28"/>
          <w:szCs w:val="28"/>
          <w:u w:val="single"/>
        </w:rPr>
        <w:t>would not meet the legality condition. Where such criteria are too broad in scope, encompassing all forms of association</w:t>
      </w:r>
      <w:r>
        <w:rPr>
          <w:sz w:val="28"/>
          <w:szCs w:val="28"/>
          <w:u w:val="single"/>
        </w:rPr>
        <w:t>s</w:t>
      </w:r>
      <w:r w:rsidRPr="00A46CB2">
        <w:rPr>
          <w:sz w:val="28"/>
          <w:szCs w:val="28"/>
          <w:u w:val="single"/>
        </w:rPr>
        <w:t xml:space="preserve">, including informal, unregistered de facto associations, the resulting registration requirement risks becoming mandatory in practice, contrary </w:t>
      </w:r>
      <w:r>
        <w:rPr>
          <w:sz w:val="28"/>
          <w:szCs w:val="28"/>
          <w:u w:val="single"/>
        </w:rPr>
        <w:t xml:space="preserve">to the </w:t>
      </w:r>
      <w:r w:rsidRPr="00A46CB2">
        <w:rPr>
          <w:sz w:val="28"/>
          <w:szCs w:val="28"/>
          <w:u w:val="single"/>
        </w:rPr>
        <w:t>principle set out in paragraph 13 above. Similarly, broad and vague criteria</w:t>
      </w:r>
      <w:r w:rsidRPr="00A46CB2">
        <w:rPr>
          <w:sz w:val="28"/>
          <w:szCs w:val="28"/>
        </w:rPr>
        <w:t xml:space="preserve"> for refusing its registration due to its </w:t>
      </w:r>
      <w:r>
        <w:rPr>
          <w:sz w:val="28"/>
          <w:szCs w:val="28"/>
        </w:rPr>
        <w:t>‘</w:t>
      </w:r>
      <w:r w:rsidRPr="00A46CB2">
        <w:rPr>
          <w:sz w:val="28"/>
          <w:szCs w:val="28"/>
        </w:rPr>
        <w:t>political objectives</w:t>
      </w:r>
      <w:r>
        <w:rPr>
          <w:sz w:val="28"/>
          <w:szCs w:val="28"/>
        </w:rPr>
        <w:t>’</w:t>
      </w:r>
      <w:r w:rsidRPr="00A46CB2">
        <w:rPr>
          <w:sz w:val="28"/>
          <w:szCs w:val="28"/>
        </w:rPr>
        <w:t xml:space="preserve">, or an </w:t>
      </w:r>
      <w:proofErr w:type="gramStart"/>
      <w:r w:rsidRPr="00A46CB2">
        <w:rPr>
          <w:sz w:val="28"/>
          <w:szCs w:val="28"/>
        </w:rPr>
        <w:t>open-ended definitions</w:t>
      </w:r>
      <w:proofErr w:type="gramEnd"/>
      <w:r w:rsidRPr="00A46CB2">
        <w:rPr>
          <w:sz w:val="28"/>
          <w:szCs w:val="28"/>
        </w:rPr>
        <w:t xml:space="preserve"> such as </w:t>
      </w:r>
      <w:r>
        <w:rPr>
          <w:sz w:val="28"/>
          <w:szCs w:val="28"/>
        </w:rPr>
        <w:t>‘</w:t>
      </w:r>
      <w:r w:rsidRPr="00A46CB2">
        <w:rPr>
          <w:sz w:val="28"/>
          <w:szCs w:val="28"/>
        </w:rPr>
        <w:t>extremist activity</w:t>
      </w:r>
      <w:r>
        <w:rPr>
          <w:sz w:val="28"/>
          <w:szCs w:val="28"/>
        </w:rPr>
        <w:t>’</w:t>
      </w:r>
      <w:r w:rsidRPr="00A46CB2">
        <w:rPr>
          <w:sz w:val="28"/>
          <w:szCs w:val="28"/>
        </w:rPr>
        <w:t xml:space="preserve"> contained in a law providing the basis for the dissolution of a religious organization would </w:t>
      </w:r>
      <w:r w:rsidRPr="00053C89">
        <w:rPr>
          <w:sz w:val="28"/>
          <w:szCs w:val="28"/>
        </w:rPr>
        <w:t>not</w:t>
      </w:r>
      <w:r w:rsidRPr="00A46CB2">
        <w:rPr>
          <w:sz w:val="28"/>
          <w:szCs w:val="28"/>
        </w:rPr>
        <w:t xml:space="preserve"> meet the legality condition</w:t>
      </w:r>
      <w:r w:rsidR="00053C89">
        <w:rPr>
          <w:sz w:val="28"/>
          <w:szCs w:val="28"/>
        </w:rPr>
        <w:t xml:space="preserve"> </w:t>
      </w:r>
      <w:r>
        <w:rPr>
          <w:sz w:val="28"/>
          <w:szCs w:val="28"/>
        </w:rPr>
        <w:t>. . .”</w:t>
      </w:r>
    </w:p>
    <w:p w14:paraId="7480CEB4" w14:textId="77777777" w:rsidR="007D083D" w:rsidRPr="007D083D" w:rsidRDefault="007D083D" w:rsidP="007D083D">
      <w:pPr>
        <w:pStyle w:val="ListParagraph"/>
        <w:tabs>
          <w:tab w:val="left" w:pos="630"/>
        </w:tabs>
        <w:ind w:left="990" w:hanging="450"/>
        <w:rPr>
          <w:sz w:val="28"/>
          <w:szCs w:val="28"/>
        </w:rPr>
      </w:pPr>
    </w:p>
    <w:p w14:paraId="1A497B56" w14:textId="3897FE7D" w:rsidR="007D083D" w:rsidRPr="007D083D" w:rsidRDefault="007D083D" w:rsidP="007D083D">
      <w:pPr>
        <w:pStyle w:val="ListParagraph"/>
        <w:numPr>
          <w:ilvl w:val="0"/>
          <w:numId w:val="12"/>
        </w:numPr>
        <w:tabs>
          <w:tab w:val="left" w:pos="630"/>
        </w:tabs>
        <w:snapToGrid w:val="0"/>
        <w:spacing w:before="120" w:after="0" w:line="276" w:lineRule="auto"/>
        <w:ind w:left="990" w:hanging="450"/>
        <w:jc w:val="both"/>
        <w:rPr>
          <w:sz w:val="28"/>
          <w:szCs w:val="28"/>
        </w:rPr>
      </w:pPr>
      <w:r>
        <w:rPr>
          <w:sz w:val="28"/>
          <w:szCs w:val="28"/>
        </w:rPr>
        <w:t xml:space="preserve">Paragraph 44: </w:t>
      </w:r>
      <w:r w:rsidRPr="007D083D">
        <w:rPr>
          <w:sz w:val="28"/>
          <w:szCs w:val="28"/>
        </w:rPr>
        <w:t>“In this regard, the use of domestic legislation to criminalize an association, its members, human rights defenders or journalists for their activities</w:t>
      </w:r>
      <w:r w:rsidRPr="007D083D">
        <w:rPr>
          <w:sz w:val="28"/>
          <w:szCs w:val="28"/>
          <w:u w:val="single"/>
        </w:rPr>
        <w:t>, or on the basis of an association’s unregistered status,</w:t>
      </w:r>
      <w:r w:rsidRPr="007D083D">
        <w:rPr>
          <w:sz w:val="28"/>
          <w:szCs w:val="28"/>
        </w:rPr>
        <w:t xml:space="preserve"> must not only respect article 22 but also meet the strict criminal legality principle as enshrined in article 15 of the Covenant. </w:t>
      </w:r>
      <w:r w:rsidRPr="007D083D">
        <w:rPr>
          <w:sz w:val="28"/>
          <w:szCs w:val="28"/>
          <w:u w:val="single"/>
        </w:rPr>
        <w:t>This principle applies equally to offen</w:t>
      </w:r>
      <w:r w:rsidR="00053C89">
        <w:rPr>
          <w:sz w:val="28"/>
          <w:szCs w:val="28"/>
          <w:u w:val="single"/>
        </w:rPr>
        <w:t>s</w:t>
      </w:r>
      <w:r w:rsidRPr="007D083D">
        <w:rPr>
          <w:sz w:val="28"/>
          <w:szCs w:val="28"/>
          <w:u w:val="single"/>
        </w:rPr>
        <w:t>es defined by reference to an association’s failure to register, and not only to offenses based on its conduct or activities. State</w:t>
      </w:r>
      <w:r w:rsidR="00053C89">
        <w:rPr>
          <w:sz w:val="28"/>
          <w:szCs w:val="28"/>
          <w:u w:val="single"/>
        </w:rPr>
        <w:t>s</w:t>
      </w:r>
      <w:r w:rsidRPr="007D083D">
        <w:rPr>
          <w:sz w:val="28"/>
          <w:szCs w:val="28"/>
          <w:u w:val="single"/>
        </w:rPr>
        <w:t xml:space="preserve"> Parties shall not impose criminal sanctions specifically and exclusively on an association’s office-bearers </w:t>
      </w:r>
      <w:proofErr w:type="gramStart"/>
      <w:r w:rsidRPr="007D083D">
        <w:rPr>
          <w:sz w:val="28"/>
          <w:szCs w:val="28"/>
          <w:u w:val="single"/>
        </w:rPr>
        <w:t>on the basis of</w:t>
      </w:r>
      <w:proofErr w:type="gramEnd"/>
      <w:r w:rsidRPr="007D083D">
        <w:rPr>
          <w:sz w:val="28"/>
          <w:szCs w:val="28"/>
          <w:u w:val="single"/>
        </w:rPr>
        <w:t xml:space="preserve"> the association’s failure to register.</w:t>
      </w:r>
      <w:r w:rsidRPr="007D083D">
        <w:rPr>
          <w:sz w:val="28"/>
          <w:szCs w:val="28"/>
        </w:rPr>
        <w:t xml:space="preserve"> The criminal legality principle is non-</w:t>
      </w:r>
      <w:proofErr w:type="spellStart"/>
      <w:r w:rsidRPr="007D083D">
        <w:rPr>
          <w:sz w:val="28"/>
          <w:szCs w:val="28"/>
        </w:rPr>
        <w:t>derogable</w:t>
      </w:r>
      <w:proofErr w:type="spellEnd"/>
      <w:r w:rsidRPr="007D083D">
        <w:rPr>
          <w:sz w:val="28"/>
          <w:szCs w:val="28"/>
        </w:rPr>
        <w:t xml:space="preserve"> and therefore no circumstances such as counterterrorism or anti-money-laundering measures can justify its infringement . . .”</w:t>
      </w:r>
    </w:p>
    <w:p w14:paraId="3B91D8B7" w14:textId="77777777" w:rsidR="007D083D" w:rsidRPr="007D083D" w:rsidRDefault="007D083D" w:rsidP="007D083D">
      <w:pPr>
        <w:pStyle w:val="ListParagraph"/>
        <w:tabs>
          <w:tab w:val="left" w:pos="630"/>
        </w:tabs>
        <w:ind w:left="990" w:hanging="450"/>
        <w:rPr>
          <w:sz w:val="28"/>
          <w:szCs w:val="28"/>
        </w:rPr>
      </w:pPr>
    </w:p>
    <w:p w14:paraId="405B6549" w14:textId="77777777" w:rsidR="007D083D" w:rsidRDefault="007D083D" w:rsidP="007D083D">
      <w:pPr>
        <w:pStyle w:val="ListParagraph"/>
        <w:numPr>
          <w:ilvl w:val="0"/>
          <w:numId w:val="12"/>
        </w:numPr>
        <w:tabs>
          <w:tab w:val="left" w:pos="630"/>
        </w:tabs>
        <w:snapToGrid w:val="0"/>
        <w:spacing w:before="120" w:after="0" w:line="276" w:lineRule="auto"/>
        <w:ind w:left="990" w:hanging="450"/>
        <w:jc w:val="both"/>
        <w:rPr>
          <w:sz w:val="28"/>
          <w:szCs w:val="28"/>
        </w:rPr>
      </w:pPr>
      <w:r>
        <w:rPr>
          <w:sz w:val="28"/>
          <w:szCs w:val="28"/>
        </w:rPr>
        <w:lastRenderedPageBreak/>
        <w:t>Paragraph 50: “</w:t>
      </w:r>
      <w:r w:rsidRPr="00E07FF8">
        <w:rPr>
          <w:sz w:val="28"/>
          <w:szCs w:val="28"/>
        </w:rPr>
        <w:t xml:space="preserve">To meet the requirement of article 22 (2), a restriction must also be necessary in a democratic society to achieve one of these purposes. </w:t>
      </w:r>
      <w:r w:rsidRPr="00E07FF8">
        <w:rPr>
          <w:sz w:val="28"/>
          <w:szCs w:val="28"/>
          <w:u w:val="single"/>
        </w:rPr>
        <w:t>A registration requirement extending to all forms of associations, irrespective of their size, purpose or the risk they may pose, including informal, unregistered de facto associations, goes further than is necessary to achieve any such purpose and is accordingly neither necessary nor proportionate.</w:t>
      </w:r>
      <w:r w:rsidRPr="00E07FF8">
        <w:rPr>
          <w:sz w:val="28"/>
          <w:szCs w:val="28"/>
        </w:rPr>
        <w:t xml:space="preserve"> The necessity and proportionality requirements must be read in conjunction with article 5 (1) . . .</w:t>
      </w:r>
      <w:r>
        <w:rPr>
          <w:sz w:val="28"/>
          <w:szCs w:val="28"/>
        </w:rPr>
        <w:t>”</w:t>
      </w:r>
    </w:p>
    <w:sectPr w:rsidR="007D083D">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958568" w14:textId="77777777" w:rsidR="008426B6" w:rsidRDefault="008426B6" w:rsidP="00476BB0">
      <w:pPr>
        <w:spacing w:after="0" w:line="240" w:lineRule="auto"/>
      </w:pPr>
      <w:r>
        <w:separator/>
      </w:r>
    </w:p>
  </w:endnote>
  <w:endnote w:type="continuationSeparator" w:id="0">
    <w:p w14:paraId="71A3C6CC" w14:textId="77777777" w:rsidR="008426B6" w:rsidRDefault="008426B6" w:rsidP="00476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Microsoft JhengHei">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69918948"/>
      <w:docPartObj>
        <w:docPartGallery w:val="Page Numbers (Bottom of Page)"/>
        <w:docPartUnique/>
      </w:docPartObj>
    </w:sdtPr>
    <w:sdtContent>
      <w:p w14:paraId="0D89FC38" w14:textId="5257892B" w:rsidR="00BA2258" w:rsidRDefault="00BA2258" w:rsidP="004F19C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C23B90" w14:textId="77777777" w:rsidR="00BA2258" w:rsidRDefault="00BA22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70640986"/>
      <w:docPartObj>
        <w:docPartGallery w:val="Page Numbers (Bottom of Page)"/>
        <w:docPartUnique/>
      </w:docPartObj>
    </w:sdtPr>
    <w:sdtContent>
      <w:p w14:paraId="1ECC3182" w14:textId="18E2B59E" w:rsidR="00BA2258" w:rsidRDefault="00BA2258" w:rsidP="004F19C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B14DD0F" w14:textId="77777777" w:rsidR="00BA2258" w:rsidRDefault="00BA22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44C491" w14:textId="77777777" w:rsidR="008426B6" w:rsidRDefault="008426B6" w:rsidP="00476BB0">
      <w:pPr>
        <w:spacing w:after="0" w:line="240" w:lineRule="auto"/>
      </w:pPr>
      <w:r>
        <w:separator/>
      </w:r>
    </w:p>
  </w:footnote>
  <w:footnote w:type="continuationSeparator" w:id="0">
    <w:p w14:paraId="3414EDB6" w14:textId="77777777" w:rsidR="008426B6" w:rsidRDefault="008426B6" w:rsidP="00476BB0">
      <w:pPr>
        <w:spacing w:after="0" w:line="240" w:lineRule="auto"/>
      </w:pPr>
      <w:r>
        <w:continuationSeparator/>
      </w:r>
    </w:p>
  </w:footnote>
  <w:footnote w:id="1">
    <w:p w14:paraId="6BFD3EBB" w14:textId="7B3062A6" w:rsidR="00053C89" w:rsidRPr="0050572E" w:rsidRDefault="00053C89">
      <w:pPr>
        <w:pStyle w:val="FootnoteText"/>
        <w:rPr>
          <w:sz w:val="25"/>
          <w:szCs w:val="25"/>
        </w:rPr>
      </w:pPr>
      <w:r w:rsidRPr="0050572E">
        <w:rPr>
          <w:rStyle w:val="FootnoteReference"/>
          <w:sz w:val="25"/>
          <w:szCs w:val="25"/>
        </w:rPr>
        <w:footnoteRef/>
      </w:r>
      <w:r w:rsidRPr="0050572E">
        <w:rPr>
          <w:sz w:val="25"/>
          <w:szCs w:val="25"/>
        </w:rPr>
        <w:t xml:space="preserve"> HKSAR v Zen Joseph [2026] HKCA 1639, available at: </w:t>
      </w:r>
      <w:hyperlink r:id="rId1" w:history="1">
        <w:r w:rsidRPr="0050572E">
          <w:rPr>
            <w:rStyle w:val="Hyperlink"/>
            <w:sz w:val="25"/>
            <w:szCs w:val="25"/>
          </w:rPr>
          <w:t>https://www.hklii.hk/en/cases/hkca/2026/1639?hl=%5B2026%5D%20HKCA%201639</w:t>
        </w:r>
      </w:hyperlink>
      <w:r w:rsidRPr="0050572E">
        <w:rPr>
          <w:sz w:val="25"/>
          <w:szCs w:val="25"/>
        </w:rPr>
        <w:t>.</w:t>
      </w:r>
    </w:p>
  </w:footnote>
  <w:footnote w:id="2">
    <w:p w14:paraId="1DAA6A25" w14:textId="27846E6B" w:rsidR="00053C89" w:rsidRPr="0050572E" w:rsidRDefault="00053C89">
      <w:pPr>
        <w:pStyle w:val="FootnoteText"/>
        <w:rPr>
          <w:sz w:val="25"/>
          <w:szCs w:val="25"/>
        </w:rPr>
      </w:pPr>
      <w:r w:rsidRPr="0050572E">
        <w:rPr>
          <w:rStyle w:val="FootnoteReference"/>
          <w:sz w:val="25"/>
          <w:szCs w:val="25"/>
        </w:rPr>
        <w:footnoteRef/>
      </w:r>
      <w:r w:rsidRPr="0050572E">
        <w:rPr>
          <w:sz w:val="25"/>
          <w:szCs w:val="25"/>
        </w:rPr>
        <w:t xml:space="preserve"> Brian Wong, “Retired </w:t>
      </w:r>
      <w:r w:rsidR="00C86F12">
        <w:rPr>
          <w:sz w:val="25"/>
          <w:szCs w:val="25"/>
        </w:rPr>
        <w:t>Cardinal</w:t>
      </w:r>
      <w:r w:rsidRPr="0050572E">
        <w:rPr>
          <w:sz w:val="25"/>
          <w:szCs w:val="25"/>
        </w:rPr>
        <w:t xml:space="preserve"> Joseph Zen, 4 others lose appeal over failure to register protest fund,” SCMP (Sept 3, 2026), </w:t>
      </w:r>
      <w:hyperlink r:id="rId2" w:history="1">
        <w:r w:rsidRPr="0050572E">
          <w:rPr>
            <w:rStyle w:val="Hyperlink"/>
            <w:sz w:val="25"/>
            <w:szCs w:val="25"/>
          </w:rPr>
          <w:t>https://www.scmp.com/news/hong-kong/law-and-crime/article/3366194/retired-cardinal-joseph-zen-4-others-lose-appeal-over-failure-register-defence-fund</w:t>
        </w:r>
      </w:hyperlink>
      <w:r w:rsidRPr="0050572E">
        <w:rPr>
          <w:sz w:val="25"/>
          <w:szCs w:val="25"/>
        </w:rPr>
        <w:t>.</w:t>
      </w:r>
    </w:p>
  </w:footnote>
  <w:footnote w:id="3">
    <w:p w14:paraId="2CBFEEB1" w14:textId="4ACEFFDE" w:rsidR="007C3490" w:rsidRPr="0050572E" w:rsidRDefault="007C3490" w:rsidP="007C3490">
      <w:pPr>
        <w:pStyle w:val="FootnoteText"/>
        <w:jc w:val="both"/>
        <w:rPr>
          <w:sz w:val="25"/>
          <w:szCs w:val="25"/>
        </w:rPr>
      </w:pPr>
      <w:r w:rsidRPr="0050572E">
        <w:rPr>
          <w:rStyle w:val="FootnoteReference"/>
          <w:sz w:val="25"/>
          <w:szCs w:val="25"/>
        </w:rPr>
        <w:footnoteRef/>
      </w:r>
      <w:r w:rsidRPr="0050572E">
        <w:rPr>
          <w:sz w:val="25"/>
          <w:szCs w:val="25"/>
        </w:rPr>
        <w:t xml:space="preserve"> </w:t>
      </w:r>
      <w:r w:rsidRPr="0050572E">
        <w:rPr>
          <w:i/>
          <w:iCs/>
          <w:sz w:val="25"/>
          <w:szCs w:val="25"/>
        </w:rPr>
        <w:t>See e.g.</w:t>
      </w:r>
      <w:r w:rsidRPr="0050572E">
        <w:rPr>
          <w:sz w:val="25"/>
          <w:szCs w:val="25"/>
        </w:rPr>
        <w:t>, Alliance for Vietnam’s Democracy, Submission No. CSO-37</w:t>
      </w:r>
      <w:r w:rsidR="006059A4" w:rsidRPr="0050572E">
        <w:rPr>
          <w:sz w:val="25"/>
          <w:szCs w:val="25"/>
        </w:rPr>
        <w:t>, Section II</w:t>
      </w:r>
      <w:r w:rsidRPr="0050572E">
        <w:rPr>
          <w:sz w:val="25"/>
          <w:szCs w:val="25"/>
        </w:rPr>
        <w:t xml:space="preserve"> (arguing that criminalizing or administratively sanctioning individuals solely for forming or participating in unregistered associational structures violates article 22); Joint CSO Submission compiled by the International Center for Not-for-Profit Law on behalf of several </w:t>
      </w:r>
      <w:r w:rsidR="00A47B4B" w:rsidRPr="0050572E">
        <w:rPr>
          <w:sz w:val="25"/>
          <w:szCs w:val="25"/>
        </w:rPr>
        <w:t>organizations</w:t>
      </w:r>
      <w:r w:rsidRPr="0050572E">
        <w:rPr>
          <w:sz w:val="25"/>
          <w:szCs w:val="25"/>
        </w:rPr>
        <w:t>, Submission No. CSO-61</w:t>
      </w:r>
      <w:r w:rsidR="006059A4" w:rsidRPr="0050572E">
        <w:rPr>
          <w:sz w:val="25"/>
          <w:szCs w:val="25"/>
        </w:rPr>
        <w:t xml:space="preserve">, ¶ 7 </w:t>
      </w:r>
      <w:r w:rsidRPr="0050572E">
        <w:rPr>
          <w:sz w:val="25"/>
          <w:szCs w:val="25"/>
        </w:rPr>
        <w:t>(“Associations should be able to operate lawfully even where they choose not to register, and States Parties should not compel registration as a precondition for the lawful exercise of freedom of association”); Civil Society Organizations and Trade Union Organizations in Cambodia, Submission No. CSO-67</w:t>
      </w:r>
      <w:r w:rsidR="006059A4" w:rsidRPr="0050572E">
        <w:rPr>
          <w:sz w:val="25"/>
          <w:szCs w:val="25"/>
        </w:rPr>
        <w:t xml:space="preserve">, ¶ 6 </w:t>
      </w:r>
      <w:r w:rsidRPr="0050572E">
        <w:rPr>
          <w:sz w:val="25"/>
          <w:szCs w:val="25"/>
        </w:rPr>
        <w:t>(recommending that the Committee “[e]</w:t>
      </w:r>
      <w:proofErr w:type="spellStart"/>
      <w:r w:rsidRPr="0050572E">
        <w:rPr>
          <w:sz w:val="25"/>
          <w:szCs w:val="25"/>
        </w:rPr>
        <w:t>xplicitly</w:t>
      </w:r>
      <w:proofErr w:type="spellEnd"/>
      <w:r w:rsidRPr="0050572E">
        <w:rPr>
          <w:sz w:val="25"/>
          <w:szCs w:val="25"/>
        </w:rPr>
        <w:t xml:space="preserve"> condemn laws that criminalize or impose fines on unregistered associations”). All submissions available at OHCHR, Call for comments – Draft General Comment No. 38 on Article 22 (right to freedom of association).</w:t>
      </w:r>
    </w:p>
  </w:footnote>
  <w:footnote w:id="4">
    <w:p w14:paraId="05E77FF3" w14:textId="1A186CB0" w:rsidR="00BD2B05" w:rsidRPr="0050572E" w:rsidRDefault="00BD2B05">
      <w:pPr>
        <w:pStyle w:val="FootnoteText"/>
        <w:rPr>
          <w:sz w:val="25"/>
          <w:szCs w:val="25"/>
        </w:rPr>
      </w:pPr>
      <w:r w:rsidRPr="0050572E">
        <w:rPr>
          <w:rStyle w:val="FootnoteReference"/>
          <w:sz w:val="25"/>
          <w:szCs w:val="25"/>
        </w:rPr>
        <w:footnoteRef/>
      </w:r>
      <w:r w:rsidRPr="0050572E">
        <w:rPr>
          <w:sz w:val="25"/>
          <w:szCs w:val="25"/>
        </w:rPr>
        <w:t xml:space="preserve"> </w:t>
      </w:r>
      <w:r w:rsidRPr="0050572E">
        <w:rPr>
          <w:i/>
          <w:iCs/>
          <w:sz w:val="25"/>
          <w:szCs w:val="25"/>
        </w:rPr>
        <w:t>See</w:t>
      </w:r>
      <w:r w:rsidRPr="0050572E">
        <w:rPr>
          <w:sz w:val="25"/>
          <w:szCs w:val="25"/>
        </w:rPr>
        <w:t xml:space="preserve"> </w:t>
      </w:r>
      <w:r w:rsidR="005A2513" w:rsidRPr="0050572E">
        <w:rPr>
          <w:sz w:val="25"/>
          <w:szCs w:val="25"/>
        </w:rPr>
        <w:t>¶</w:t>
      </w:r>
      <w:r w:rsidRPr="0050572E">
        <w:rPr>
          <w:sz w:val="25"/>
          <w:szCs w:val="25"/>
        </w:rPr>
        <w:t xml:space="preserve"> 11; see also footnotes 36, 39, 46, 111, 117 and 172 of the Draft General Comment. </w:t>
      </w:r>
    </w:p>
  </w:footnote>
  <w:footnote w:id="5">
    <w:p w14:paraId="5779F9A8" w14:textId="3F936CE9" w:rsidR="00BD2B05" w:rsidRPr="0050572E" w:rsidRDefault="00BD2B05">
      <w:pPr>
        <w:pStyle w:val="FootnoteText"/>
        <w:rPr>
          <w:sz w:val="25"/>
          <w:szCs w:val="25"/>
        </w:rPr>
      </w:pPr>
      <w:r w:rsidRPr="0050572E">
        <w:rPr>
          <w:rStyle w:val="FootnoteReference"/>
          <w:sz w:val="25"/>
          <w:szCs w:val="25"/>
        </w:rPr>
        <w:footnoteRef/>
      </w:r>
      <w:r w:rsidRPr="0050572E">
        <w:rPr>
          <w:sz w:val="25"/>
          <w:szCs w:val="25"/>
        </w:rPr>
        <w:t xml:space="preserve"> </w:t>
      </w:r>
      <w:r w:rsidRPr="0050572E">
        <w:rPr>
          <w:i/>
          <w:iCs/>
          <w:sz w:val="25"/>
          <w:szCs w:val="25"/>
        </w:rPr>
        <w:t>See</w:t>
      </w:r>
      <w:r w:rsidRPr="0050572E">
        <w:rPr>
          <w:sz w:val="25"/>
          <w:szCs w:val="25"/>
        </w:rPr>
        <w:t xml:space="preserve"> </w:t>
      </w:r>
      <w:r w:rsidR="005A2513" w:rsidRPr="0050572E">
        <w:rPr>
          <w:sz w:val="25"/>
          <w:szCs w:val="25"/>
        </w:rPr>
        <w:t>¶¶</w:t>
      </w:r>
      <w:r w:rsidRPr="0050572E">
        <w:rPr>
          <w:sz w:val="25"/>
          <w:szCs w:val="25"/>
        </w:rPr>
        <w:t xml:space="preserve"> 48-49; see also footnotes 36, 50, and 111 of the Draft General Comment. </w:t>
      </w:r>
    </w:p>
  </w:footnote>
  <w:footnote w:id="6">
    <w:p w14:paraId="3207F563" w14:textId="18747D0E" w:rsidR="00BD2B05" w:rsidRPr="0050572E" w:rsidRDefault="00BD2B05">
      <w:pPr>
        <w:pStyle w:val="FootnoteText"/>
        <w:rPr>
          <w:sz w:val="25"/>
          <w:szCs w:val="25"/>
        </w:rPr>
      </w:pPr>
      <w:r w:rsidRPr="0050572E">
        <w:rPr>
          <w:rStyle w:val="FootnoteReference"/>
          <w:sz w:val="25"/>
          <w:szCs w:val="25"/>
        </w:rPr>
        <w:footnoteRef/>
      </w:r>
      <w:r w:rsidRPr="0050572E">
        <w:rPr>
          <w:sz w:val="25"/>
          <w:szCs w:val="25"/>
        </w:rPr>
        <w:t xml:space="preserve"> </w:t>
      </w:r>
      <w:r w:rsidRPr="0050572E">
        <w:rPr>
          <w:i/>
          <w:iCs/>
          <w:sz w:val="25"/>
          <w:szCs w:val="25"/>
        </w:rPr>
        <w:t xml:space="preserve">See </w:t>
      </w:r>
      <w:r w:rsidRPr="0050572E">
        <w:rPr>
          <w:sz w:val="25"/>
          <w:szCs w:val="25"/>
        </w:rPr>
        <w:t>Report of the Special Rapporteur on the rights to freedom of peaceful assembly and of association (</w:t>
      </w:r>
      <w:hyperlink r:id="rId3" w:history="1">
        <w:r w:rsidRPr="0050572E">
          <w:rPr>
            <w:rStyle w:val="Hyperlink"/>
            <w:sz w:val="25"/>
            <w:szCs w:val="25"/>
          </w:rPr>
          <w:t>A/HRC/20/27</w:t>
        </w:r>
      </w:hyperlink>
      <w:r w:rsidRPr="0050572E">
        <w:rPr>
          <w:sz w:val="25"/>
          <w:szCs w:val="25"/>
        </w:rPr>
        <w:t>) (“individuals involved in unregistered associations should be free to carry out any activities … and should not be subject to criminal sanctions”)</w:t>
      </w:r>
      <w:r w:rsidR="00174912" w:rsidRPr="0050572E">
        <w:rPr>
          <w:sz w:val="25"/>
          <w:szCs w:val="25"/>
        </w:rPr>
        <w:t>. See also Report of the Special Rapporteur on Human Rights Defenders (</w:t>
      </w:r>
      <w:hyperlink r:id="rId4" w:history="1">
        <w:r w:rsidR="00741718" w:rsidRPr="0050572E">
          <w:rPr>
            <w:rStyle w:val="Hyperlink"/>
            <w:sz w:val="25"/>
            <w:szCs w:val="25"/>
          </w:rPr>
          <w:t>A/59/401</w:t>
        </w:r>
      </w:hyperlink>
      <w:r w:rsidR="00174912" w:rsidRPr="0050572E">
        <w:rPr>
          <w:sz w:val="25"/>
          <w:szCs w:val="25"/>
        </w:rPr>
        <w:t>) (“</w:t>
      </w:r>
      <w:r w:rsidR="00741718" w:rsidRPr="0050572E">
        <w:rPr>
          <w:sz w:val="25"/>
          <w:szCs w:val="25"/>
        </w:rPr>
        <w:t xml:space="preserve">In contrast, a common feature of many laws that restrict freedom of associations is the criminalization of non-registered entities and the requirement to obtain authorizations or registration before carrying out human rights activities. In recent years, many countries have introduced registration requirements where none formerly existed and </w:t>
      </w:r>
      <w:r w:rsidR="00741718" w:rsidRPr="0050572E">
        <w:rPr>
          <w:sz w:val="25"/>
          <w:szCs w:val="25"/>
          <w:u w:val="single"/>
        </w:rPr>
        <w:t xml:space="preserve">have used the new legislation to outlaw organizations that had existed for many years. Under laws in certain countries, failure to register an organization carries a penalty of up to a year at corrective </w:t>
      </w:r>
      <w:proofErr w:type="spellStart"/>
      <w:r w:rsidR="00741718" w:rsidRPr="0050572E">
        <w:rPr>
          <w:sz w:val="25"/>
          <w:szCs w:val="25"/>
          <w:u w:val="single"/>
        </w:rPr>
        <w:t>labour</w:t>
      </w:r>
      <w:proofErr w:type="spellEnd"/>
      <w:r w:rsidR="00741718" w:rsidRPr="0050572E">
        <w:rPr>
          <w:sz w:val="25"/>
          <w:szCs w:val="25"/>
        </w:rPr>
        <w:t>.</w:t>
      </w:r>
      <w:r w:rsidR="00174912" w:rsidRPr="0050572E">
        <w:rPr>
          <w:sz w:val="25"/>
          <w:szCs w:val="25"/>
        </w:rPr>
        <w:t>”)</w:t>
      </w:r>
      <w:r w:rsidR="00741718" w:rsidRPr="0050572E">
        <w:rPr>
          <w:sz w:val="25"/>
          <w:szCs w:val="25"/>
        </w:rPr>
        <w:t xml:space="preserve"> (emphasis added).</w:t>
      </w:r>
    </w:p>
  </w:footnote>
  <w:footnote w:id="7">
    <w:p w14:paraId="7896C1DC" w14:textId="49215A28" w:rsidR="006059A4" w:rsidRPr="0050572E" w:rsidRDefault="006059A4">
      <w:pPr>
        <w:pStyle w:val="FootnoteText"/>
        <w:rPr>
          <w:sz w:val="25"/>
          <w:szCs w:val="25"/>
        </w:rPr>
      </w:pPr>
      <w:r w:rsidRPr="0050572E">
        <w:rPr>
          <w:rStyle w:val="FootnoteReference"/>
          <w:sz w:val="25"/>
          <w:szCs w:val="25"/>
        </w:rPr>
        <w:footnoteRef/>
      </w:r>
      <w:r w:rsidRPr="0050572E">
        <w:rPr>
          <w:sz w:val="25"/>
          <w:szCs w:val="25"/>
        </w:rPr>
        <w:t xml:space="preserve"> </w:t>
      </w:r>
      <w:r w:rsidRPr="0050572E">
        <w:rPr>
          <w:i/>
          <w:iCs/>
          <w:sz w:val="25"/>
          <w:szCs w:val="25"/>
        </w:rPr>
        <w:t xml:space="preserve">See </w:t>
      </w:r>
      <w:proofErr w:type="gramStart"/>
      <w:r w:rsidRPr="0050572E">
        <w:rPr>
          <w:i/>
          <w:iCs/>
          <w:sz w:val="25"/>
          <w:szCs w:val="25"/>
        </w:rPr>
        <w:t>infra</w:t>
      </w:r>
      <w:r w:rsidRPr="0050572E">
        <w:rPr>
          <w:sz w:val="25"/>
          <w:szCs w:val="25"/>
        </w:rPr>
        <w:t xml:space="preserve"> Part</w:t>
      </w:r>
      <w:proofErr w:type="gramEnd"/>
      <w:r w:rsidRPr="0050572E">
        <w:rPr>
          <w:sz w:val="25"/>
          <w:szCs w:val="25"/>
        </w:rPr>
        <w:t xml:space="preserve"> </w:t>
      </w:r>
      <w:r w:rsidR="00B21BB4" w:rsidRPr="0050572E">
        <w:rPr>
          <w:sz w:val="25"/>
          <w:szCs w:val="25"/>
        </w:rPr>
        <w:t>C</w:t>
      </w:r>
      <w:r w:rsidRPr="0050572E">
        <w:rPr>
          <w:sz w:val="25"/>
          <w:szCs w:val="25"/>
        </w:rPr>
        <w:t xml:space="preserve">. </w:t>
      </w:r>
    </w:p>
  </w:footnote>
  <w:footnote w:id="8">
    <w:p w14:paraId="0D1E5038" w14:textId="1A1A91BC" w:rsidR="00A60B0B" w:rsidRPr="0050572E" w:rsidRDefault="00A60B0B">
      <w:pPr>
        <w:pStyle w:val="FootnoteText"/>
        <w:rPr>
          <w:sz w:val="25"/>
          <w:szCs w:val="25"/>
        </w:rPr>
      </w:pPr>
      <w:r w:rsidRPr="0050572E">
        <w:rPr>
          <w:rStyle w:val="FootnoteReference"/>
          <w:sz w:val="25"/>
          <w:szCs w:val="25"/>
        </w:rPr>
        <w:footnoteRef/>
      </w:r>
      <w:r w:rsidRPr="0050572E">
        <w:rPr>
          <w:sz w:val="25"/>
          <w:szCs w:val="25"/>
        </w:rPr>
        <w:t xml:space="preserve"> </w:t>
      </w:r>
      <w:r w:rsidRPr="0050572E">
        <w:rPr>
          <w:i/>
          <w:iCs/>
          <w:sz w:val="25"/>
          <w:szCs w:val="25"/>
        </w:rPr>
        <w:t>See</w:t>
      </w:r>
      <w:r w:rsidRPr="0050572E">
        <w:rPr>
          <w:sz w:val="25"/>
          <w:szCs w:val="25"/>
        </w:rPr>
        <w:t xml:space="preserve"> </w:t>
      </w:r>
      <w:r w:rsidR="006059A4" w:rsidRPr="0050572E">
        <w:rPr>
          <w:i/>
          <w:iCs/>
          <w:sz w:val="25"/>
          <w:szCs w:val="25"/>
        </w:rPr>
        <w:t>supra</w:t>
      </w:r>
      <w:r w:rsidR="006059A4" w:rsidRPr="0050572E">
        <w:rPr>
          <w:sz w:val="25"/>
          <w:szCs w:val="25"/>
        </w:rPr>
        <w:t xml:space="preserve"> note 1. </w:t>
      </w:r>
    </w:p>
  </w:footnote>
  <w:footnote w:id="9">
    <w:p w14:paraId="37CD2FDA" w14:textId="77777777" w:rsidR="005A2513" w:rsidRPr="0050572E" w:rsidRDefault="005A2513" w:rsidP="005A2513">
      <w:pPr>
        <w:pStyle w:val="FootnoteText"/>
        <w:tabs>
          <w:tab w:val="left" w:pos="990"/>
        </w:tabs>
        <w:rPr>
          <w:sz w:val="25"/>
          <w:szCs w:val="25"/>
        </w:rPr>
      </w:pPr>
      <w:r w:rsidRPr="0050572E">
        <w:rPr>
          <w:rStyle w:val="FootnoteReference"/>
          <w:sz w:val="25"/>
          <w:szCs w:val="25"/>
        </w:rPr>
        <w:footnoteRef/>
      </w:r>
      <w:r w:rsidRPr="0050572E">
        <w:rPr>
          <w:sz w:val="25"/>
          <w:szCs w:val="25"/>
        </w:rPr>
        <w:t xml:space="preserve"> </w:t>
      </w:r>
      <w:r w:rsidRPr="0050572E">
        <w:rPr>
          <w:i/>
          <w:iCs/>
          <w:sz w:val="25"/>
          <w:szCs w:val="25"/>
        </w:rPr>
        <w:t>See supra</w:t>
      </w:r>
      <w:r w:rsidRPr="0050572E">
        <w:rPr>
          <w:sz w:val="25"/>
          <w:szCs w:val="25"/>
        </w:rPr>
        <w:t xml:space="preserve"> note 1. </w:t>
      </w:r>
    </w:p>
  </w:footnote>
  <w:footnote w:id="10">
    <w:p w14:paraId="73AA432E" w14:textId="293150F5" w:rsidR="005A2513" w:rsidRPr="0050572E" w:rsidRDefault="005A2513" w:rsidP="005A2513">
      <w:pPr>
        <w:pStyle w:val="FootnoteText"/>
        <w:tabs>
          <w:tab w:val="left" w:pos="990"/>
        </w:tabs>
        <w:rPr>
          <w:sz w:val="25"/>
          <w:szCs w:val="25"/>
        </w:rPr>
      </w:pPr>
      <w:r w:rsidRPr="0050572E">
        <w:rPr>
          <w:rStyle w:val="FootnoteReference"/>
          <w:sz w:val="25"/>
          <w:szCs w:val="25"/>
        </w:rPr>
        <w:footnoteRef/>
      </w:r>
      <w:r w:rsidRPr="0050572E">
        <w:rPr>
          <w:rStyle w:val="FootnoteReference"/>
          <w:sz w:val="25"/>
          <w:szCs w:val="25"/>
        </w:rPr>
        <w:t xml:space="preserve"> </w:t>
      </w:r>
      <w:r w:rsidRPr="0050572E">
        <w:rPr>
          <w:i/>
          <w:iCs/>
          <w:sz w:val="25"/>
          <w:szCs w:val="25"/>
        </w:rPr>
        <w:t xml:space="preserve">See </w:t>
      </w:r>
      <w:r w:rsidRPr="0050572E">
        <w:rPr>
          <w:sz w:val="25"/>
          <w:szCs w:val="25"/>
        </w:rPr>
        <w:t>Draft General Comment, ¶ 13.</w:t>
      </w:r>
    </w:p>
  </w:footnote>
  <w:footnote w:id="11">
    <w:p w14:paraId="193E8A1E" w14:textId="6D72A793" w:rsidR="003D74DC" w:rsidRPr="0050572E" w:rsidRDefault="003D74DC">
      <w:pPr>
        <w:pStyle w:val="FootnoteText"/>
        <w:rPr>
          <w:sz w:val="25"/>
          <w:szCs w:val="25"/>
        </w:rPr>
      </w:pPr>
      <w:r w:rsidRPr="0050572E">
        <w:rPr>
          <w:rStyle w:val="FootnoteReference"/>
          <w:sz w:val="25"/>
          <w:szCs w:val="25"/>
        </w:rPr>
        <w:footnoteRef/>
      </w:r>
      <w:r w:rsidRPr="0050572E">
        <w:rPr>
          <w:sz w:val="25"/>
          <w:szCs w:val="25"/>
        </w:rPr>
        <w:t xml:space="preserve"> </w:t>
      </w:r>
      <w:hyperlink r:id="rId5" w:history="1">
        <w:r w:rsidR="003C7621" w:rsidRPr="0050572E">
          <w:rPr>
            <w:rStyle w:val="Hyperlink"/>
            <w:sz w:val="25"/>
            <w:szCs w:val="25"/>
          </w:rPr>
          <w:t>CCPR/C/TZA/CO/4</w:t>
        </w:r>
      </w:hyperlink>
      <w:r w:rsidR="003C7621" w:rsidRPr="0050572E">
        <w:rPr>
          <w:sz w:val="25"/>
          <w:szCs w:val="25"/>
        </w:rPr>
        <w:t xml:space="preserve">, ¶ 23 (“While noting the information provided by the State party on the Non-Governmental Organizations Act of 2002, the Committee is concerned about reported obstacles to the operation of civil society organizations and their ability to function independently. In particular, it is concerned at the severe penalties for operating an unregistered organization.”); </w:t>
      </w:r>
      <w:hyperlink r:id="rId6" w:history="1">
        <w:r w:rsidR="003C7621" w:rsidRPr="0050572E">
          <w:rPr>
            <w:rStyle w:val="Hyperlink"/>
            <w:sz w:val="25"/>
            <w:szCs w:val="25"/>
          </w:rPr>
          <w:t>M.T. v. Uzbekistan</w:t>
        </w:r>
      </w:hyperlink>
      <w:r w:rsidR="003C7621" w:rsidRPr="0050572E">
        <w:rPr>
          <w:sz w:val="25"/>
          <w:szCs w:val="25"/>
        </w:rPr>
        <w:t xml:space="preserve"> (CCPR/C/114/D/2234/2013), ¶¶ 7.7–7.8; and </w:t>
      </w:r>
      <w:hyperlink r:id="rId7" w:history="1">
        <w:r w:rsidR="003C7621" w:rsidRPr="0050572E">
          <w:rPr>
            <w:rStyle w:val="Hyperlink"/>
            <w:sz w:val="25"/>
            <w:szCs w:val="25"/>
          </w:rPr>
          <w:t>Pinchuk v. Belarus</w:t>
        </w:r>
      </w:hyperlink>
      <w:r w:rsidR="003C7621" w:rsidRPr="0050572E">
        <w:rPr>
          <w:sz w:val="25"/>
          <w:szCs w:val="25"/>
        </w:rPr>
        <w:t xml:space="preserve"> (CCPR/C/112/D/2165/2012), ¶¶ 8.5–8.6.</w:t>
      </w:r>
    </w:p>
  </w:footnote>
  <w:footnote w:id="12">
    <w:p w14:paraId="577EE248" w14:textId="189482F1" w:rsidR="00D67FB5" w:rsidRPr="0050572E" w:rsidRDefault="00D67FB5" w:rsidP="00D67FB5">
      <w:pPr>
        <w:pStyle w:val="FootnoteText"/>
        <w:rPr>
          <w:sz w:val="25"/>
          <w:szCs w:val="25"/>
        </w:rPr>
      </w:pPr>
      <w:r w:rsidRPr="0050572E">
        <w:rPr>
          <w:rStyle w:val="FootnoteReference"/>
          <w:sz w:val="25"/>
          <w:szCs w:val="25"/>
        </w:rPr>
        <w:footnoteRef/>
      </w:r>
      <w:r w:rsidRPr="0050572E">
        <w:rPr>
          <w:sz w:val="25"/>
          <w:szCs w:val="25"/>
        </w:rPr>
        <w:t xml:space="preserve"> </w:t>
      </w:r>
      <w:r w:rsidRPr="0050572E">
        <w:rPr>
          <w:i/>
          <w:iCs/>
          <w:sz w:val="25"/>
          <w:szCs w:val="25"/>
        </w:rPr>
        <w:t>See</w:t>
      </w:r>
      <w:r w:rsidRPr="0050572E">
        <w:rPr>
          <w:sz w:val="25"/>
          <w:szCs w:val="25"/>
        </w:rPr>
        <w:t xml:space="preserve"> </w:t>
      </w:r>
      <w:r w:rsidR="00A7285E" w:rsidRPr="0050572E">
        <w:rPr>
          <w:sz w:val="25"/>
          <w:szCs w:val="25"/>
        </w:rPr>
        <w:t xml:space="preserve">¶ </w:t>
      </w:r>
      <w:r w:rsidRPr="0050572E">
        <w:rPr>
          <w:sz w:val="25"/>
          <w:szCs w:val="25"/>
        </w:rPr>
        <w:t xml:space="preserve">111 of the Judgment.  </w:t>
      </w:r>
    </w:p>
  </w:footnote>
  <w:footnote w:id="13">
    <w:p w14:paraId="7B267EA6" w14:textId="0B65C9AE" w:rsidR="000F3974" w:rsidRPr="0050572E" w:rsidRDefault="000F3974">
      <w:pPr>
        <w:pStyle w:val="FootnoteText"/>
        <w:rPr>
          <w:sz w:val="25"/>
          <w:szCs w:val="25"/>
        </w:rPr>
      </w:pPr>
      <w:r w:rsidRPr="0050572E">
        <w:rPr>
          <w:rStyle w:val="FootnoteReference"/>
          <w:sz w:val="25"/>
          <w:szCs w:val="25"/>
        </w:rPr>
        <w:footnoteRef/>
      </w:r>
      <w:r w:rsidRPr="0050572E">
        <w:rPr>
          <w:sz w:val="25"/>
          <w:szCs w:val="25"/>
        </w:rPr>
        <w:t xml:space="preserve"> </w:t>
      </w:r>
      <w:r w:rsidR="00D67FB5" w:rsidRPr="0050572E">
        <w:rPr>
          <w:sz w:val="25"/>
          <w:szCs w:val="25"/>
        </w:rPr>
        <w:t>Except for those</w:t>
      </w:r>
      <w:r w:rsidRPr="0050572E">
        <w:rPr>
          <w:sz w:val="25"/>
          <w:szCs w:val="25"/>
        </w:rPr>
        <w:t xml:space="preserve"> </w:t>
      </w:r>
      <w:r w:rsidR="00D67FB5" w:rsidRPr="0050572E">
        <w:rPr>
          <w:sz w:val="25"/>
          <w:szCs w:val="25"/>
        </w:rPr>
        <w:t>who are exempted and listed</w:t>
      </w:r>
      <w:r w:rsidRPr="0050572E">
        <w:rPr>
          <w:sz w:val="25"/>
          <w:szCs w:val="25"/>
        </w:rPr>
        <w:t xml:space="preserve"> in the </w:t>
      </w:r>
      <w:r w:rsidR="00D67FB5" w:rsidRPr="0050572E">
        <w:rPr>
          <w:sz w:val="25"/>
          <w:szCs w:val="25"/>
        </w:rPr>
        <w:t>Schedule</w:t>
      </w:r>
      <w:r w:rsidRPr="0050572E">
        <w:rPr>
          <w:sz w:val="25"/>
          <w:szCs w:val="25"/>
        </w:rPr>
        <w:t xml:space="preserve"> to the Societies Ordinance.</w:t>
      </w:r>
    </w:p>
  </w:footnote>
  <w:footnote w:id="14">
    <w:p w14:paraId="01079D6B" w14:textId="019387E7" w:rsidR="003F649E" w:rsidRPr="0050572E" w:rsidRDefault="003F649E">
      <w:pPr>
        <w:pStyle w:val="FootnoteText"/>
        <w:rPr>
          <w:sz w:val="25"/>
          <w:szCs w:val="25"/>
        </w:rPr>
      </w:pPr>
      <w:r w:rsidRPr="0050572E">
        <w:rPr>
          <w:rStyle w:val="FootnoteReference"/>
          <w:sz w:val="25"/>
          <w:szCs w:val="25"/>
        </w:rPr>
        <w:footnoteRef/>
      </w:r>
      <w:r w:rsidRPr="0050572E">
        <w:rPr>
          <w:sz w:val="25"/>
          <w:szCs w:val="25"/>
        </w:rPr>
        <w:t xml:space="preserve"> </w:t>
      </w:r>
      <w:r w:rsidRPr="0050572E">
        <w:rPr>
          <w:i/>
          <w:iCs/>
          <w:sz w:val="25"/>
          <w:szCs w:val="25"/>
        </w:rPr>
        <w:t>See</w:t>
      </w:r>
      <w:r w:rsidRPr="0050572E">
        <w:rPr>
          <w:sz w:val="25"/>
          <w:szCs w:val="25"/>
        </w:rPr>
        <w:t xml:space="preserve"> </w:t>
      </w:r>
      <w:r w:rsidR="00A7285E" w:rsidRPr="0050572E">
        <w:rPr>
          <w:sz w:val="25"/>
          <w:szCs w:val="25"/>
        </w:rPr>
        <w:t>¶¶</w:t>
      </w:r>
      <w:r w:rsidRPr="0050572E">
        <w:rPr>
          <w:sz w:val="25"/>
          <w:szCs w:val="25"/>
        </w:rPr>
        <w:t xml:space="preserve"> 190-191 of the Judgment.</w:t>
      </w:r>
    </w:p>
  </w:footnote>
  <w:footnote w:id="15">
    <w:p w14:paraId="422B0DDF" w14:textId="0B097E17" w:rsidR="00953D37" w:rsidRPr="0050572E" w:rsidRDefault="00953D37">
      <w:pPr>
        <w:pStyle w:val="FootnoteText"/>
        <w:rPr>
          <w:sz w:val="25"/>
          <w:szCs w:val="25"/>
        </w:rPr>
      </w:pPr>
      <w:r w:rsidRPr="0050572E">
        <w:rPr>
          <w:rStyle w:val="FootnoteReference"/>
          <w:sz w:val="25"/>
          <w:szCs w:val="25"/>
        </w:rPr>
        <w:footnoteRef/>
      </w:r>
      <w:r w:rsidRPr="0050572E">
        <w:rPr>
          <w:sz w:val="25"/>
          <w:szCs w:val="25"/>
        </w:rPr>
        <w:t xml:space="preserve"> </w:t>
      </w:r>
      <w:r w:rsidRPr="0050572E">
        <w:rPr>
          <w:i/>
          <w:iCs/>
          <w:sz w:val="25"/>
          <w:szCs w:val="25"/>
        </w:rPr>
        <w:t>See</w:t>
      </w:r>
      <w:r w:rsidRPr="0050572E">
        <w:rPr>
          <w:sz w:val="25"/>
          <w:szCs w:val="25"/>
        </w:rPr>
        <w:t xml:space="preserve"> </w:t>
      </w:r>
      <w:r w:rsidR="0097621D" w:rsidRPr="0050572E">
        <w:rPr>
          <w:sz w:val="25"/>
          <w:szCs w:val="25"/>
        </w:rPr>
        <w:t xml:space="preserve">the OSCE Office and Venice Commission, Joint Guidelines on Freedom of Association, ¶ 50 (“Informal associations </w:t>
      </w:r>
      <w:r w:rsidR="0097621D" w:rsidRPr="0050572E">
        <w:rPr>
          <w:sz w:val="25"/>
          <w:szCs w:val="25"/>
          <w:u w:val="single"/>
        </w:rPr>
        <w:t>depend upon the legal personality of their members for any such actions</w:t>
      </w:r>
      <w:r w:rsidR="0097621D" w:rsidRPr="0050572E">
        <w:rPr>
          <w:sz w:val="25"/>
          <w:szCs w:val="25"/>
        </w:rPr>
        <w:t xml:space="preserve"> required for the pursuit of their objectives.”) (emphasis added). See also A/HRC/20/27, </w:t>
      </w:r>
      <w:r w:rsidR="0097621D" w:rsidRPr="0050572E">
        <w:rPr>
          <w:i/>
          <w:iCs/>
          <w:sz w:val="25"/>
          <w:szCs w:val="25"/>
        </w:rPr>
        <w:t>supra</w:t>
      </w:r>
      <w:r w:rsidR="0097621D" w:rsidRPr="0050572E">
        <w:rPr>
          <w:sz w:val="25"/>
          <w:szCs w:val="25"/>
        </w:rPr>
        <w:t xml:space="preserve"> note 4 above, ¶ 56 (“</w:t>
      </w:r>
      <w:r w:rsidR="0097621D" w:rsidRPr="0050572E">
        <w:rPr>
          <w:sz w:val="25"/>
          <w:szCs w:val="25"/>
          <w:u w:val="single"/>
        </w:rPr>
        <w:t>Individuals</w:t>
      </w:r>
      <w:r w:rsidR="0097621D" w:rsidRPr="0050572E">
        <w:rPr>
          <w:sz w:val="25"/>
          <w:szCs w:val="25"/>
        </w:rPr>
        <w:t xml:space="preserve"> involved in unregistered associations should indeed be free to carry out any activities... and should not be subject to criminal sanctions.”) (emphasis added).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C074B"/>
    <w:multiLevelType w:val="hybridMultilevel"/>
    <w:tmpl w:val="4334790C"/>
    <w:lvl w:ilvl="0" w:tplc="B61AA18E">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 w15:restartNumberingAfterBreak="0">
    <w:nsid w:val="11022295"/>
    <w:multiLevelType w:val="hybridMultilevel"/>
    <w:tmpl w:val="DDB05C2C"/>
    <w:lvl w:ilvl="0" w:tplc="BE50B7BA">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 w15:restartNumberingAfterBreak="0">
    <w:nsid w:val="25684965"/>
    <w:multiLevelType w:val="hybridMultilevel"/>
    <w:tmpl w:val="FE6ABAD2"/>
    <w:lvl w:ilvl="0" w:tplc="9F7CCB9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B13ECA"/>
    <w:multiLevelType w:val="multilevel"/>
    <w:tmpl w:val="1D6283B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AC4EE8"/>
    <w:multiLevelType w:val="hybridMultilevel"/>
    <w:tmpl w:val="618CBFD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737F31"/>
    <w:multiLevelType w:val="hybridMultilevel"/>
    <w:tmpl w:val="ABB260F4"/>
    <w:lvl w:ilvl="0" w:tplc="F3A0DB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1D1F38"/>
    <w:multiLevelType w:val="hybridMultilevel"/>
    <w:tmpl w:val="618CBFD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8A8657A"/>
    <w:multiLevelType w:val="hybridMultilevel"/>
    <w:tmpl w:val="81A068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176DF5"/>
    <w:multiLevelType w:val="hybridMultilevel"/>
    <w:tmpl w:val="2FE4AA20"/>
    <w:lvl w:ilvl="0" w:tplc="602CFA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434717"/>
    <w:multiLevelType w:val="hybridMultilevel"/>
    <w:tmpl w:val="B2D4F606"/>
    <w:lvl w:ilvl="0" w:tplc="AD3EAF62">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6DD2510D"/>
    <w:multiLevelType w:val="hybridMultilevel"/>
    <w:tmpl w:val="77B4C8CE"/>
    <w:lvl w:ilvl="0" w:tplc="141499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E759A3"/>
    <w:multiLevelType w:val="hybridMultilevel"/>
    <w:tmpl w:val="104A3A40"/>
    <w:lvl w:ilvl="0" w:tplc="4566B67C">
      <w:start w:val="1"/>
      <w:numFmt w:val="upperLetter"/>
      <w:pStyle w:val="Heading2"/>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768476009">
    <w:abstractNumId w:val="11"/>
  </w:num>
  <w:num w:numId="2" w16cid:durableId="883297967">
    <w:abstractNumId w:val="10"/>
  </w:num>
  <w:num w:numId="3" w16cid:durableId="17701776">
    <w:abstractNumId w:val="2"/>
  </w:num>
  <w:num w:numId="4" w16cid:durableId="93132942">
    <w:abstractNumId w:val="4"/>
  </w:num>
  <w:num w:numId="5" w16cid:durableId="1282690092">
    <w:abstractNumId w:val="6"/>
  </w:num>
  <w:num w:numId="6" w16cid:durableId="604777166">
    <w:abstractNumId w:val="1"/>
  </w:num>
  <w:num w:numId="7" w16cid:durableId="616836650">
    <w:abstractNumId w:val="7"/>
  </w:num>
  <w:num w:numId="8" w16cid:durableId="1155221986">
    <w:abstractNumId w:val="8"/>
  </w:num>
  <w:num w:numId="9" w16cid:durableId="1853958985">
    <w:abstractNumId w:val="0"/>
  </w:num>
  <w:num w:numId="10" w16cid:durableId="442959060">
    <w:abstractNumId w:val="9"/>
  </w:num>
  <w:num w:numId="11" w16cid:durableId="2032220034">
    <w:abstractNumId w:val="3"/>
  </w:num>
  <w:num w:numId="12" w16cid:durableId="5520148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4F5"/>
    <w:rsid w:val="000133DC"/>
    <w:rsid w:val="00053C89"/>
    <w:rsid w:val="00063384"/>
    <w:rsid w:val="000703B5"/>
    <w:rsid w:val="000844C9"/>
    <w:rsid w:val="00085792"/>
    <w:rsid w:val="000E1706"/>
    <w:rsid w:val="000E55CA"/>
    <w:rsid w:val="000F3974"/>
    <w:rsid w:val="000F6BE3"/>
    <w:rsid w:val="00126F42"/>
    <w:rsid w:val="0015695D"/>
    <w:rsid w:val="00174912"/>
    <w:rsid w:val="00190108"/>
    <w:rsid w:val="001E544D"/>
    <w:rsid w:val="00222DCE"/>
    <w:rsid w:val="002540C2"/>
    <w:rsid w:val="00270462"/>
    <w:rsid w:val="0027062B"/>
    <w:rsid w:val="00294526"/>
    <w:rsid w:val="002D7C8D"/>
    <w:rsid w:val="002E716F"/>
    <w:rsid w:val="002F254D"/>
    <w:rsid w:val="002F283C"/>
    <w:rsid w:val="0033094D"/>
    <w:rsid w:val="0033576C"/>
    <w:rsid w:val="0034680E"/>
    <w:rsid w:val="00371F9A"/>
    <w:rsid w:val="003871F5"/>
    <w:rsid w:val="003C4DB8"/>
    <w:rsid w:val="003C7621"/>
    <w:rsid w:val="003D74DC"/>
    <w:rsid w:val="003F545B"/>
    <w:rsid w:val="003F649E"/>
    <w:rsid w:val="0041020E"/>
    <w:rsid w:val="00424246"/>
    <w:rsid w:val="00431118"/>
    <w:rsid w:val="004746AE"/>
    <w:rsid w:val="00476BB0"/>
    <w:rsid w:val="0048344E"/>
    <w:rsid w:val="00484CB7"/>
    <w:rsid w:val="004A467B"/>
    <w:rsid w:val="004A74CC"/>
    <w:rsid w:val="004B0333"/>
    <w:rsid w:val="0050572E"/>
    <w:rsid w:val="00553438"/>
    <w:rsid w:val="00553A6E"/>
    <w:rsid w:val="00572108"/>
    <w:rsid w:val="005A2513"/>
    <w:rsid w:val="005B2B10"/>
    <w:rsid w:val="005B7A3B"/>
    <w:rsid w:val="005C5893"/>
    <w:rsid w:val="005D1EFB"/>
    <w:rsid w:val="005E24F5"/>
    <w:rsid w:val="006059A4"/>
    <w:rsid w:val="00640242"/>
    <w:rsid w:val="006475F5"/>
    <w:rsid w:val="006919A4"/>
    <w:rsid w:val="00694EF8"/>
    <w:rsid w:val="006C6914"/>
    <w:rsid w:val="006D08FB"/>
    <w:rsid w:val="006D425C"/>
    <w:rsid w:val="006D7BCF"/>
    <w:rsid w:val="00741718"/>
    <w:rsid w:val="007529CF"/>
    <w:rsid w:val="007630A8"/>
    <w:rsid w:val="007C3490"/>
    <w:rsid w:val="007D083D"/>
    <w:rsid w:val="008426B6"/>
    <w:rsid w:val="00843D76"/>
    <w:rsid w:val="008529EE"/>
    <w:rsid w:val="008C22C5"/>
    <w:rsid w:val="008D5E69"/>
    <w:rsid w:val="008D6812"/>
    <w:rsid w:val="008E6162"/>
    <w:rsid w:val="0091284C"/>
    <w:rsid w:val="00926141"/>
    <w:rsid w:val="00933377"/>
    <w:rsid w:val="00953D37"/>
    <w:rsid w:val="0097621D"/>
    <w:rsid w:val="00996BE5"/>
    <w:rsid w:val="009A505F"/>
    <w:rsid w:val="009B0857"/>
    <w:rsid w:val="009B0FA6"/>
    <w:rsid w:val="009C0E40"/>
    <w:rsid w:val="009C4E51"/>
    <w:rsid w:val="009E7733"/>
    <w:rsid w:val="00A063FC"/>
    <w:rsid w:val="00A32F7F"/>
    <w:rsid w:val="00A46CB2"/>
    <w:rsid w:val="00A47B4B"/>
    <w:rsid w:val="00A60B0B"/>
    <w:rsid w:val="00A7285E"/>
    <w:rsid w:val="00A736C1"/>
    <w:rsid w:val="00AA6CD8"/>
    <w:rsid w:val="00AC6813"/>
    <w:rsid w:val="00AF37A2"/>
    <w:rsid w:val="00B03EB8"/>
    <w:rsid w:val="00B209A9"/>
    <w:rsid w:val="00B21BB4"/>
    <w:rsid w:val="00B633B9"/>
    <w:rsid w:val="00B638EB"/>
    <w:rsid w:val="00B97DA3"/>
    <w:rsid w:val="00BA2258"/>
    <w:rsid w:val="00BC716A"/>
    <w:rsid w:val="00BD2B05"/>
    <w:rsid w:val="00BF7CC7"/>
    <w:rsid w:val="00C07656"/>
    <w:rsid w:val="00C368A1"/>
    <w:rsid w:val="00C85993"/>
    <w:rsid w:val="00C86F12"/>
    <w:rsid w:val="00C95232"/>
    <w:rsid w:val="00CB6D4A"/>
    <w:rsid w:val="00CF364B"/>
    <w:rsid w:val="00D16C8C"/>
    <w:rsid w:val="00D16EE2"/>
    <w:rsid w:val="00D632A0"/>
    <w:rsid w:val="00D67FB5"/>
    <w:rsid w:val="00D90B2C"/>
    <w:rsid w:val="00D91783"/>
    <w:rsid w:val="00E07FF8"/>
    <w:rsid w:val="00E91415"/>
    <w:rsid w:val="00EA2B07"/>
    <w:rsid w:val="00EC07A4"/>
    <w:rsid w:val="00F0069E"/>
    <w:rsid w:val="00F310B2"/>
    <w:rsid w:val="00F35901"/>
    <w:rsid w:val="00F61EBE"/>
    <w:rsid w:val="00F70E08"/>
    <w:rsid w:val="00F919B7"/>
    <w:rsid w:val="00FC0BBA"/>
    <w:rsid w:val="00FF7B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7E406F2C"/>
  <w15:chartTrackingRefBased/>
  <w15:docId w15:val="{5829B33E-A7AA-EC41-9927-DB4A11AE9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3DC"/>
    <w:rPr>
      <w:rFonts w:ascii="Garamond" w:hAnsi="Garamond"/>
    </w:rPr>
  </w:style>
  <w:style w:type="paragraph" w:styleId="Heading1">
    <w:name w:val="heading 1"/>
    <w:basedOn w:val="Normal"/>
    <w:next w:val="Normal"/>
    <w:link w:val="Heading1Char"/>
    <w:uiPriority w:val="9"/>
    <w:qFormat/>
    <w:rsid w:val="000133DC"/>
    <w:pPr>
      <w:snapToGrid w:val="0"/>
      <w:spacing w:before="240" w:after="240"/>
      <w:jc w:val="center"/>
      <w:outlineLvl w:val="0"/>
    </w:pPr>
    <w:rPr>
      <w:rFonts w:cstheme="majorBidi"/>
      <w:smallCaps/>
      <w:sz w:val="26"/>
      <w:szCs w:val="26"/>
    </w:rPr>
  </w:style>
  <w:style w:type="paragraph" w:styleId="Heading2">
    <w:name w:val="heading 2"/>
    <w:basedOn w:val="ListParagraph"/>
    <w:next w:val="Normal"/>
    <w:link w:val="Heading2Char"/>
    <w:uiPriority w:val="9"/>
    <w:unhideWhenUsed/>
    <w:qFormat/>
    <w:rsid w:val="000133DC"/>
    <w:pPr>
      <w:numPr>
        <w:numId w:val="1"/>
      </w:numPr>
      <w:snapToGrid w:val="0"/>
      <w:spacing w:before="360" w:after="280"/>
      <w:contextualSpacing w:val="0"/>
      <w:jc w:val="center"/>
      <w:outlineLvl w:val="1"/>
    </w:pPr>
    <w:rPr>
      <w:rFonts w:cstheme="majorBidi"/>
    </w:rPr>
  </w:style>
  <w:style w:type="paragraph" w:styleId="Heading3">
    <w:name w:val="heading 3"/>
    <w:basedOn w:val="Normal"/>
    <w:next w:val="Normal"/>
    <w:link w:val="Heading3Char"/>
    <w:uiPriority w:val="9"/>
    <w:semiHidden/>
    <w:unhideWhenUsed/>
    <w:qFormat/>
    <w:rsid w:val="000133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33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33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33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3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3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3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3DC"/>
    <w:rPr>
      <w:rFonts w:ascii="Garamond" w:hAnsi="Garamond" w:cstheme="majorBidi"/>
      <w:smallCaps/>
      <w:sz w:val="26"/>
      <w:szCs w:val="26"/>
    </w:rPr>
  </w:style>
  <w:style w:type="character" w:customStyle="1" w:styleId="Heading2Char">
    <w:name w:val="Heading 2 Char"/>
    <w:basedOn w:val="DefaultParagraphFont"/>
    <w:link w:val="Heading2"/>
    <w:uiPriority w:val="9"/>
    <w:rsid w:val="000133DC"/>
    <w:rPr>
      <w:rFonts w:ascii="Garamond" w:hAnsi="Garamond" w:cstheme="majorBidi"/>
    </w:rPr>
  </w:style>
  <w:style w:type="character" w:customStyle="1" w:styleId="Heading3Char">
    <w:name w:val="Heading 3 Char"/>
    <w:basedOn w:val="DefaultParagraphFont"/>
    <w:link w:val="Heading3"/>
    <w:uiPriority w:val="9"/>
    <w:semiHidden/>
    <w:rsid w:val="000133DC"/>
    <w:rPr>
      <w:rFonts w:ascii="Garamond" w:eastAsiaTheme="majorEastAsia" w:hAnsi="Garamond"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33DC"/>
    <w:rPr>
      <w:rFonts w:ascii="Garamond" w:eastAsiaTheme="majorEastAsia" w:hAnsi="Garamond" w:cstheme="majorBidi"/>
      <w:i/>
      <w:iCs/>
      <w:color w:val="0F4761" w:themeColor="accent1" w:themeShade="BF"/>
    </w:rPr>
  </w:style>
  <w:style w:type="character" w:customStyle="1" w:styleId="Heading5Char">
    <w:name w:val="Heading 5 Char"/>
    <w:basedOn w:val="DefaultParagraphFont"/>
    <w:link w:val="Heading5"/>
    <w:uiPriority w:val="9"/>
    <w:semiHidden/>
    <w:rsid w:val="000133DC"/>
    <w:rPr>
      <w:rFonts w:ascii="Garamond" w:eastAsiaTheme="majorEastAsia" w:hAnsi="Garamond" w:cstheme="majorBidi"/>
      <w:color w:val="0F4761" w:themeColor="accent1" w:themeShade="BF"/>
    </w:rPr>
  </w:style>
  <w:style w:type="character" w:customStyle="1" w:styleId="Heading6Char">
    <w:name w:val="Heading 6 Char"/>
    <w:basedOn w:val="DefaultParagraphFont"/>
    <w:link w:val="Heading6"/>
    <w:uiPriority w:val="9"/>
    <w:semiHidden/>
    <w:rsid w:val="000133DC"/>
    <w:rPr>
      <w:rFonts w:ascii="Garamond" w:eastAsiaTheme="majorEastAsia" w:hAnsi="Garamond" w:cstheme="majorBidi"/>
      <w:i/>
      <w:iCs/>
      <w:color w:val="595959" w:themeColor="text1" w:themeTint="A6"/>
    </w:rPr>
  </w:style>
  <w:style w:type="character" w:customStyle="1" w:styleId="Heading7Char">
    <w:name w:val="Heading 7 Char"/>
    <w:basedOn w:val="DefaultParagraphFont"/>
    <w:link w:val="Heading7"/>
    <w:uiPriority w:val="9"/>
    <w:semiHidden/>
    <w:rsid w:val="000133DC"/>
    <w:rPr>
      <w:rFonts w:ascii="Garamond" w:eastAsiaTheme="majorEastAsia" w:hAnsi="Garamond" w:cstheme="majorBidi"/>
      <w:color w:val="595959" w:themeColor="text1" w:themeTint="A6"/>
    </w:rPr>
  </w:style>
  <w:style w:type="character" w:customStyle="1" w:styleId="Heading8Char">
    <w:name w:val="Heading 8 Char"/>
    <w:basedOn w:val="DefaultParagraphFont"/>
    <w:link w:val="Heading8"/>
    <w:uiPriority w:val="9"/>
    <w:semiHidden/>
    <w:rsid w:val="000133DC"/>
    <w:rPr>
      <w:rFonts w:ascii="Garamond" w:eastAsiaTheme="majorEastAsia" w:hAnsi="Garamond" w:cstheme="majorBidi"/>
      <w:i/>
      <w:iCs/>
      <w:color w:val="272727" w:themeColor="text1" w:themeTint="D8"/>
    </w:rPr>
  </w:style>
  <w:style w:type="character" w:customStyle="1" w:styleId="Heading9Char">
    <w:name w:val="Heading 9 Char"/>
    <w:basedOn w:val="DefaultParagraphFont"/>
    <w:link w:val="Heading9"/>
    <w:uiPriority w:val="9"/>
    <w:semiHidden/>
    <w:rsid w:val="000133DC"/>
    <w:rPr>
      <w:rFonts w:ascii="Garamond" w:eastAsiaTheme="majorEastAsia" w:hAnsi="Garamond" w:cstheme="majorBidi"/>
      <w:color w:val="272727" w:themeColor="text1" w:themeTint="D8"/>
    </w:rPr>
  </w:style>
  <w:style w:type="paragraph" w:styleId="Title">
    <w:name w:val="Title"/>
    <w:basedOn w:val="Normal"/>
    <w:next w:val="Normal"/>
    <w:link w:val="TitleChar"/>
    <w:uiPriority w:val="10"/>
    <w:qFormat/>
    <w:rsid w:val="000133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3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3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3DC"/>
    <w:rPr>
      <w:rFonts w:ascii="Garamond" w:eastAsiaTheme="majorEastAsia" w:hAnsi="Garamond" w:cstheme="majorBidi"/>
      <w:color w:val="595959" w:themeColor="text1" w:themeTint="A6"/>
      <w:spacing w:val="15"/>
      <w:sz w:val="28"/>
      <w:szCs w:val="28"/>
    </w:rPr>
  </w:style>
  <w:style w:type="character" w:styleId="Strong">
    <w:name w:val="Strong"/>
    <w:basedOn w:val="DefaultParagraphFont"/>
    <w:uiPriority w:val="22"/>
    <w:qFormat/>
    <w:rsid w:val="000133DC"/>
    <w:rPr>
      <w:b/>
      <w:bCs/>
    </w:rPr>
  </w:style>
  <w:style w:type="character" w:styleId="Emphasis">
    <w:name w:val="Emphasis"/>
    <w:basedOn w:val="DefaultParagraphFont"/>
    <w:uiPriority w:val="20"/>
    <w:qFormat/>
    <w:rsid w:val="000133DC"/>
    <w:rPr>
      <w:i/>
      <w:iCs/>
    </w:rPr>
  </w:style>
  <w:style w:type="paragraph" w:styleId="ListParagraph">
    <w:name w:val="List Paragraph"/>
    <w:basedOn w:val="Normal"/>
    <w:uiPriority w:val="34"/>
    <w:qFormat/>
    <w:rsid w:val="000133DC"/>
    <w:pPr>
      <w:ind w:left="720"/>
      <w:contextualSpacing/>
    </w:pPr>
    <w:rPr>
      <w:rFonts w:cs="Times New Roman"/>
    </w:rPr>
  </w:style>
  <w:style w:type="paragraph" w:styleId="Quote">
    <w:name w:val="Quote"/>
    <w:basedOn w:val="Normal"/>
    <w:next w:val="Normal"/>
    <w:link w:val="QuoteChar"/>
    <w:uiPriority w:val="29"/>
    <w:qFormat/>
    <w:rsid w:val="000133DC"/>
    <w:pPr>
      <w:spacing w:before="160"/>
      <w:jc w:val="center"/>
    </w:pPr>
    <w:rPr>
      <w:rFonts w:cs="Times New Roman"/>
      <w:i/>
      <w:iCs/>
      <w:color w:val="404040" w:themeColor="text1" w:themeTint="BF"/>
    </w:rPr>
  </w:style>
  <w:style w:type="character" w:customStyle="1" w:styleId="QuoteChar">
    <w:name w:val="Quote Char"/>
    <w:basedOn w:val="DefaultParagraphFont"/>
    <w:link w:val="Quote"/>
    <w:uiPriority w:val="29"/>
    <w:rsid w:val="000133DC"/>
    <w:rPr>
      <w:rFonts w:ascii="Garamond" w:hAnsi="Garamond" w:cs="Times New Roman"/>
      <w:i/>
      <w:iCs/>
      <w:color w:val="404040" w:themeColor="text1" w:themeTint="BF"/>
    </w:rPr>
  </w:style>
  <w:style w:type="paragraph" w:styleId="IntenseQuote">
    <w:name w:val="Intense Quote"/>
    <w:basedOn w:val="Normal"/>
    <w:next w:val="Normal"/>
    <w:link w:val="IntenseQuoteChar"/>
    <w:uiPriority w:val="30"/>
    <w:qFormat/>
    <w:rsid w:val="000133DC"/>
    <w:pPr>
      <w:pBdr>
        <w:top w:val="single" w:sz="4" w:space="10" w:color="0F4761" w:themeColor="accent1" w:themeShade="BF"/>
        <w:bottom w:val="single" w:sz="4" w:space="10" w:color="0F4761" w:themeColor="accent1" w:themeShade="BF"/>
      </w:pBdr>
      <w:spacing w:before="360" w:after="360"/>
      <w:ind w:left="864" w:right="864"/>
      <w:jc w:val="center"/>
    </w:pPr>
    <w:rPr>
      <w:rFonts w:cs="Times New Roman"/>
      <w:i/>
      <w:iCs/>
      <w:color w:val="0F4761" w:themeColor="accent1" w:themeShade="BF"/>
    </w:rPr>
  </w:style>
  <w:style w:type="character" w:customStyle="1" w:styleId="IntenseQuoteChar">
    <w:name w:val="Intense Quote Char"/>
    <w:basedOn w:val="DefaultParagraphFont"/>
    <w:link w:val="IntenseQuote"/>
    <w:uiPriority w:val="30"/>
    <w:rsid w:val="000133DC"/>
    <w:rPr>
      <w:rFonts w:ascii="Garamond" w:hAnsi="Garamond" w:cs="Times New Roman"/>
      <w:i/>
      <w:iCs/>
      <w:color w:val="0F4761" w:themeColor="accent1" w:themeShade="BF"/>
    </w:rPr>
  </w:style>
  <w:style w:type="character" w:styleId="IntenseEmphasis">
    <w:name w:val="Intense Emphasis"/>
    <w:basedOn w:val="DefaultParagraphFont"/>
    <w:uiPriority w:val="21"/>
    <w:qFormat/>
    <w:rsid w:val="000133DC"/>
    <w:rPr>
      <w:i/>
      <w:iCs/>
      <w:color w:val="0F4761" w:themeColor="accent1" w:themeShade="BF"/>
    </w:rPr>
  </w:style>
  <w:style w:type="character" w:styleId="IntenseReference">
    <w:name w:val="Intense Reference"/>
    <w:basedOn w:val="DefaultParagraphFont"/>
    <w:uiPriority w:val="32"/>
    <w:qFormat/>
    <w:rsid w:val="000133DC"/>
    <w:rPr>
      <w:b/>
      <w:bCs/>
      <w:smallCaps/>
      <w:color w:val="0F4761" w:themeColor="accent1" w:themeShade="BF"/>
      <w:spacing w:val="5"/>
    </w:rPr>
  </w:style>
  <w:style w:type="paragraph" w:styleId="TOCHeading">
    <w:name w:val="TOC Heading"/>
    <w:basedOn w:val="Heading1"/>
    <w:next w:val="Normal"/>
    <w:uiPriority w:val="39"/>
    <w:unhideWhenUsed/>
    <w:qFormat/>
    <w:rsid w:val="000133DC"/>
    <w:pPr>
      <w:spacing w:before="480" w:after="0" w:line="276" w:lineRule="auto"/>
      <w:outlineLvl w:val="9"/>
    </w:pPr>
    <w:rPr>
      <w:b/>
      <w:bCs/>
      <w:kern w:val="0"/>
      <w:sz w:val="28"/>
      <w:szCs w:val="28"/>
      <w:lang w:eastAsia="en-US"/>
      <w14:ligatures w14:val="none"/>
    </w:rPr>
  </w:style>
  <w:style w:type="paragraph" w:customStyle="1" w:styleId="Style1">
    <w:name w:val="Style1"/>
    <w:basedOn w:val="Normal"/>
    <w:qFormat/>
    <w:rsid w:val="000133DC"/>
    <w:pPr>
      <w:snapToGrid w:val="0"/>
      <w:spacing w:before="240" w:after="240"/>
      <w:jc w:val="center"/>
    </w:pPr>
    <w:rPr>
      <w:rFonts w:cs="Times New Roman"/>
      <w:smallCaps/>
      <w:sz w:val="26"/>
      <w:szCs w:val="26"/>
    </w:rPr>
  </w:style>
  <w:style w:type="paragraph" w:styleId="Date">
    <w:name w:val="Date"/>
    <w:basedOn w:val="Normal"/>
    <w:next w:val="Normal"/>
    <w:link w:val="DateChar"/>
    <w:uiPriority w:val="99"/>
    <w:semiHidden/>
    <w:unhideWhenUsed/>
    <w:rsid w:val="005E24F5"/>
  </w:style>
  <w:style w:type="character" w:customStyle="1" w:styleId="DateChar">
    <w:name w:val="Date Char"/>
    <w:basedOn w:val="DefaultParagraphFont"/>
    <w:link w:val="Date"/>
    <w:uiPriority w:val="99"/>
    <w:semiHidden/>
    <w:rsid w:val="005E24F5"/>
    <w:rPr>
      <w:rFonts w:ascii="Garamond" w:hAnsi="Garamond"/>
    </w:rPr>
  </w:style>
  <w:style w:type="paragraph" w:styleId="Header">
    <w:name w:val="header"/>
    <w:basedOn w:val="Normal"/>
    <w:link w:val="HeaderChar"/>
    <w:uiPriority w:val="99"/>
    <w:unhideWhenUsed/>
    <w:rsid w:val="00BA2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258"/>
    <w:rPr>
      <w:rFonts w:ascii="Garamond" w:hAnsi="Garamond"/>
    </w:rPr>
  </w:style>
  <w:style w:type="paragraph" w:styleId="Footer">
    <w:name w:val="footer"/>
    <w:basedOn w:val="Normal"/>
    <w:link w:val="FooterChar"/>
    <w:uiPriority w:val="99"/>
    <w:unhideWhenUsed/>
    <w:rsid w:val="00BA2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258"/>
    <w:rPr>
      <w:rFonts w:ascii="Garamond" w:hAnsi="Garamond"/>
    </w:rPr>
  </w:style>
  <w:style w:type="character" w:styleId="PageNumber">
    <w:name w:val="page number"/>
    <w:basedOn w:val="DefaultParagraphFont"/>
    <w:uiPriority w:val="99"/>
    <w:semiHidden/>
    <w:unhideWhenUsed/>
    <w:rsid w:val="00BA2258"/>
  </w:style>
  <w:style w:type="paragraph" w:styleId="FootnoteText">
    <w:name w:val="footnote text"/>
    <w:basedOn w:val="Normal"/>
    <w:link w:val="FootnoteTextChar"/>
    <w:uiPriority w:val="99"/>
    <w:semiHidden/>
    <w:unhideWhenUsed/>
    <w:rsid w:val="00694E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4EF8"/>
    <w:rPr>
      <w:rFonts w:ascii="Garamond" w:hAnsi="Garamond"/>
      <w:sz w:val="20"/>
      <w:szCs w:val="20"/>
    </w:rPr>
  </w:style>
  <w:style w:type="character" w:styleId="FootnoteReference">
    <w:name w:val="footnote reference"/>
    <w:basedOn w:val="DefaultParagraphFont"/>
    <w:uiPriority w:val="99"/>
    <w:semiHidden/>
    <w:unhideWhenUsed/>
    <w:rsid w:val="00694EF8"/>
    <w:rPr>
      <w:vertAlign w:val="superscript"/>
    </w:rPr>
  </w:style>
  <w:style w:type="character" w:styleId="Hyperlink">
    <w:name w:val="Hyperlink"/>
    <w:basedOn w:val="DefaultParagraphFont"/>
    <w:uiPriority w:val="99"/>
    <w:unhideWhenUsed/>
    <w:rsid w:val="003C7621"/>
    <w:rPr>
      <w:color w:val="467886" w:themeColor="hyperlink"/>
      <w:u w:val="single"/>
    </w:rPr>
  </w:style>
  <w:style w:type="character" w:styleId="UnresolvedMention">
    <w:name w:val="Unresolved Mention"/>
    <w:basedOn w:val="DefaultParagraphFont"/>
    <w:uiPriority w:val="99"/>
    <w:semiHidden/>
    <w:unhideWhenUsed/>
    <w:rsid w:val="003C7621"/>
    <w:rPr>
      <w:color w:val="605E5C"/>
      <w:shd w:val="clear" w:color="auto" w:fill="E1DFDD"/>
    </w:rPr>
  </w:style>
  <w:style w:type="paragraph" w:styleId="NormalWeb">
    <w:name w:val="Normal (Web)"/>
    <w:basedOn w:val="Normal"/>
    <w:uiPriority w:val="99"/>
    <w:semiHidden/>
    <w:unhideWhenUsed/>
    <w:rsid w:val="0017491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926141"/>
    <w:pPr>
      <w:spacing w:after="0" w:line="240" w:lineRule="auto"/>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sites/default/files/Documents/HRBodies/HRCouncil/RegularSession/Session20/A-HRC-20-27_en.pdf" TargetMode="External"/><Relationship Id="rId7" Type="http://schemas.openxmlformats.org/officeDocument/2006/relationships/hyperlink" Target="https://juris.ohchr.org/casedetails/1938/en-US" TargetMode="External"/><Relationship Id="rId2" Type="http://schemas.openxmlformats.org/officeDocument/2006/relationships/hyperlink" Target="https://www.scmp.com/news/hong-kong/law-and-crime/article/3366194/retired-cardinal-joseph-zen-4-others-lose-appeal-over-failure-register-defence-fund" TargetMode="External"/><Relationship Id="rId1" Type="http://schemas.openxmlformats.org/officeDocument/2006/relationships/hyperlink" Target="https://www.hklii.hk/en/cases/hkca/2026/1639?hl=%5B2026%5D%20HKCA%201639" TargetMode="External"/><Relationship Id="rId6" Type="http://schemas.openxmlformats.org/officeDocument/2006/relationships/hyperlink" Target="https://juris.ohchr.org/casedetails/2015/en-US" TargetMode="External"/><Relationship Id="rId5" Type="http://schemas.openxmlformats.org/officeDocument/2006/relationships/hyperlink" Target="https://www.icj.org/wp-content/uploads/2009/08/Concluding-Observations-HRC-Tanzania-2009-eng.pdf" TargetMode="External"/><Relationship Id="rId4" Type="http://schemas.openxmlformats.org/officeDocument/2006/relationships/hyperlink" Target="https://docs.un.org/A/59/4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Garamond">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Cherry Lou Balmaceda - Additional submission for Call for comments | (UpdtRq-6269) </Emailsubject>
    <Sentby xmlns="fa1020ff-48ad-4b90-98f4-7161a6f3b630">
      <UserInfo>
        <DisplayName>Cherry Balmaceda</DisplayName>
        <AccountId>460</AccountId>
        <AccountType/>
      </UserInfo>
    </Sentby>
  </documentManagement>
</p:properties>
</file>

<file path=customXml/itemProps1.xml><?xml version="1.0" encoding="utf-8"?>
<ds:datastoreItem xmlns:ds="http://schemas.openxmlformats.org/officeDocument/2006/customXml" ds:itemID="{32925103-E201-FE45-8466-9D5E61F64FD2}">
  <ds:schemaRefs>
    <ds:schemaRef ds:uri="http://schemas.openxmlformats.org/officeDocument/2006/bibliography"/>
  </ds:schemaRefs>
</ds:datastoreItem>
</file>

<file path=customXml/itemProps2.xml><?xml version="1.0" encoding="utf-8"?>
<ds:datastoreItem xmlns:ds="http://schemas.openxmlformats.org/officeDocument/2006/customXml" ds:itemID="{EEFF949B-C181-472E-A50D-BCB9E77D29BC}"/>
</file>

<file path=customXml/itemProps3.xml><?xml version="1.0" encoding="utf-8"?>
<ds:datastoreItem xmlns:ds="http://schemas.openxmlformats.org/officeDocument/2006/customXml" ds:itemID="{10590555-3563-4130-9DB7-7925989A4213}"/>
</file>

<file path=customXml/itemProps4.xml><?xml version="1.0" encoding="utf-8"?>
<ds:datastoreItem xmlns:ds="http://schemas.openxmlformats.org/officeDocument/2006/customXml" ds:itemID="{C06391AD-9F2A-4510-9BDB-07BDF2E4BFCD}"/>
</file>

<file path=docProps/app.xml><?xml version="1.0" encoding="utf-8"?>
<Properties xmlns="http://schemas.openxmlformats.org/officeDocument/2006/extended-properties" xmlns:vt="http://schemas.openxmlformats.org/officeDocument/2006/docPropsVTypes">
  <Template>Normal.dotm</Template>
  <TotalTime>4</TotalTime>
  <Pages>10</Pages>
  <Words>2494</Words>
  <Characters>14067</Characters>
  <Application>Microsoft Office Word</Application>
  <DocSecurity>0</DocSecurity>
  <Lines>265</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180-acad-georgetown-univ-researcher-v.docx</dc:title>
  <dc:subject/>
  <dc:creator/>
  <cp:keywords/>
  <dc:description/>
  <cp:lastModifiedBy>Venisa Wai</cp:lastModifiedBy>
  <cp:revision>10</cp:revision>
  <dcterms:created xsi:type="dcterms:W3CDTF">2026-09-30T16:03:00Z</dcterms:created>
  <dcterms:modified xsi:type="dcterms:W3CDTF">2026-09-30T16:27:00Z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