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0B2F05" w:rsidRPr="0084712B" w:rsidRDefault="00000000" w:rsidP="0084712B">
      <w:pPr>
        <w:spacing w:after="120" w:line="240" w:lineRule="auto"/>
        <w:jc w:val="center"/>
        <w:rPr>
          <w:rFonts w:ascii="Times New Roman" w:hAnsi="Times New Roman" w:cs="Times New Roman"/>
          <w:b/>
          <w:bCs/>
          <w:sz w:val="26"/>
          <w:szCs w:val="26"/>
        </w:rPr>
      </w:pPr>
      <w:r w:rsidRPr="0084712B">
        <w:rPr>
          <w:rFonts w:ascii="Times New Roman" w:hAnsi="Times New Roman" w:cs="Times New Roman"/>
          <w:b/>
          <w:bCs/>
          <w:sz w:val="26"/>
          <w:szCs w:val="26"/>
        </w:rPr>
        <w:t>Submission to the Human Rights Committee on Draft General Comment No. 38</w:t>
      </w:r>
    </w:p>
    <w:p w14:paraId="00000002" w14:textId="77777777" w:rsidR="000B2F05" w:rsidRPr="0084712B" w:rsidRDefault="00000000" w:rsidP="0084712B">
      <w:pPr>
        <w:spacing w:after="120" w:line="240" w:lineRule="auto"/>
        <w:jc w:val="center"/>
        <w:rPr>
          <w:rFonts w:ascii="Times New Roman" w:hAnsi="Times New Roman" w:cs="Times New Roman"/>
          <w:b/>
          <w:bCs/>
          <w:sz w:val="26"/>
          <w:szCs w:val="26"/>
        </w:rPr>
      </w:pPr>
      <w:r w:rsidRPr="0084712B">
        <w:rPr>
          <w:rFonts w:ascii="Times New Roman" w:hAnsi="Times New Roman" w:cs="Times New Roman"/>
          <w:b/>
          <w:bCs/>
          <w:sz w:val="26"/>
          <w:szCs w:val="26"/>
        </w:rPr>
        <w:t>Article 22 ICCPR, freedom of association</w:t>
      </w:r>
    </w:p>
    <w:p w14:paraId="00000003" w14:textId="77777777" w:rsidR="000B2F05" w:rsidRPr="0084712B" w:rsidRDefault="00000000" w:rsidP="0084712B">
      <w:pPr>
        <w:pStyle w:val="Heading1"/>
        <w:keepNext w:val="0"/>
        <w:keepLines w:val="0"/>
        <w:spacing w:before="240" w:line="240" w:lineRule="auto"/>
        <w:jc w:val="both"/>
        <w:rPr>
          <w:rFonts w:ascii="Times New Roman" w:hAnsi="Times New Roman" w:cs="Times New Roman"/>
          <w:b/>
          <w:bCs/>
          <w:color w:val="365F91"/>
          <w:sz w:val="26"/>
          <w:szCs w:val="26"/>
        </w:rPr>
      </w:pPr>
      <w:bookmarkStart w:id="0" w:name="_92nj1s5yjg2u" w:colFirst="0" w:colLast="0"/>
      <w:bookmarkEnd w:id="0"/>
      <w:r w:rsidRPr="0084712B">
        <w:rPr>
          <w:rFonts w:ascii="Times New Roman" w:hAnsi="Times New Roman" w:cs="Times New Roman"/>
          <w:b/>
          <w:bCs/>
          <w:color w:val="365F91"/>
          <w:sz w:val="26"/>
          <w:szCs w:val="26"/>
        </w:rPr>
        <w:t>Introductory Note</w:t>
      </w:r>
    </w:p>
    <w:p w14:paraId="00000004"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 xml:space="preserve">This submission addresses paragraphs 11, 32, 36 and 39 to 40 of draft General Comment No. 38. It focuses on the protection of freedom of association against transnational repression, including acts directed against persons, associations, family members, representatives and associates across borders. </w:t>
      </w:r>
    </w:p>
    <w:p w14:paraId="00000005"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The submission is made by Dr Andrew Chubb, Senior Lecturer, School of Global Affairs, Lancaster University</w:t>
      </w:r>
      <w:r w:rsidRPr="0084712B">
        <w:rPr>
          <w:rFonts w:ascii="Times New Roman" w:hAnsi="Times New Roman" w:cs="Times New Roman"/>
          <w:b/>
          <w:bCs/>
          <w:sz w:val="24"/>
          <w:szCs w:val="24"/>
        </w:rPr>
        <w:t xml:space="preserve"> </w:t>
      </w:r>
      <w:r w:rsidRPr="0084712B">
        <w:rPr>
          <w:rFonts w:ascii="Times New Roman" w:hAnsi="Times New Roman" w:cs="Times New Roman"/>
          <w:sz w:val="24"/>
          <w:szCs w:val="24"/>
        </w:rPr>
        <w:t>and co-convenor of the Tackling Transnational Repression UK and European Civil Society Working Groups</w:t>
      </w:r>
      <w:r w:rsidRPr="0084712B">
        <w:rPr>
          <w:rFonts w:ascii="Times New Roman" w:hAnsi="Times New Roman" w:cs="Times New Roman"/>
          <w:b/>
          <w:bCs/>
          <w:sz w:val="24"/>
          <w:szCs w:val="24"/>
        </w:rPr>
        <w:t>;</w:t>
      </w:r>
      <w:r w:rsidRPr="0084712B">
        <w:rPr>
          <w:rFonts w:ascii="Times New Roman" w:hAnsi="Times New Roman" w:cs="Times New Roman"/>
          <w:sz w:val="24"/>
          <w:szCs w:val="24"/>
        </w:rPr>
        <w:t xml:space="preserve"> and Dr Kirsten Roberts Lyer, Chair, Human Rights Program, Central European University, Vienna. Dr Chubb and Dr Roberts Lyer are co-authors of </w:t>
      </w:r>
      <w:hyperlink r:id="rId7">
        <w:r w:rsidRPr="0084712B">
          <w:rPr>
            <w:rFonts w:ascii="Times New Roman" w:hAnsi="Times New Roman" w:cs="Times New Roman"/>
            <w:color w:val="174E86"/>
            <w:sz w:val="24"/>
            <w:szCs w:val="24"/>
            <w:u w:val="single"/>
          </w:rPr>
          <w:t>Transnational Human Rights Violations: Addressing the Evolution of Globalized Repression through National Human Rights Institutions</w:t>
        </w:r>
      </w:hyperlink>
      <w:r w:rsidRPr="0084712B">
        <w:rPr>
          <w:rFonts w:ascii="Times New Roman" w:hAnsi="Times New Roman" w:cs="Times New Roman"/>
          <w:sz w:val="24"/>
          <w:szCs w:val="24"/>
        </w:rPr>
        <w:t xml:space="preserve"> (Journal of Human Rights Practice, 2024).</w:t>
      </w:r>
    </w:p>
    <w:p w14:paraId="00000006" w14:textId="77777777" w:rsidR="000B2F05" w:rsidRPr="0084712B" w:rsidRDefault="00000000" w:rsidP="0084712B">
      <w:pPr>
        <w:pStyle w:val="Heading1"/>
        <w:keepNext w:val="0"/>
        <w:keepLines w:val="0"/>
        <w:spacing w:before="240" w:line="240" w:lineRule="auto"/>
        <w:jc w:val="both"/>
        <w:rPr>
          <w:rFonts w:ascii="Times New Roman" w:hAnsi="Times New Roman" w:cs="Times New Roman"/>
          <w:b/>
          <w:bCs/>
          <w:color w:val="365F91"/>
          <w:sz w:val="26"/>
          <w:szCs w:val="26"/>
        </w:rPr>
      </w:pPr>
      <w:bookmarkStart w:id="1" w:name="_mxkn7g97186p" w:colFirst="0" w:colLast="0"/>
      <w:bookmarkEnd w:id="1"/>
      <w:r w:rsidRPr="0084712B">
        <w:rPr>
          <w:rFonts w:ascii="Times New Roman" w:hAnsi="Times New Roman" w:cs="Times New Roman"/>
          <w:b/>
          <w:bCs/>
          <w:color w:val="365F91"/>
          <w:sz w:val="26"/>
          <w:szCs w:val="26"/>
        </w:rPr>
        <w:t>Summary</w:t>
      </w:r>
    </w:p>
    <w:p w14:paraId="00000007"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 xml:space="preserve">The submission welcomes the draft's recognition that Article 22 must be interpreted </w:t>
      </w:r>
      <w:proofErr w:type="gramStart"/>
      <w:r w:rsidRPr="0084712B">
        <w:rPr>
          <w:rFonts w:ascii="Times New Roman" w:hAnsi="Times New Roman" w:cs="Times New Roman"/>
          <w:sz w:val="24"/>
          <w:szCs w:val="24"/>
        </w:rPr>
        <w:t>in light of</w:t>
      </w:r>
      <w:proofErr w:type="gramEnd"/>
      <w:r w:rsidRPr="0084712B">
        <w:rPr>
          <w:rFonts w:ascii="Times New Roman" w:hAnsi="Times New Roman" w:cs="Times New Roman"/>
          <w:sz w:val="24"/>
          <w:szCs w:val="24"/>
        </w:rPr>
        <w:t xml:space="preserve"> contemporary conditions, including digital technologies and cross-border forms of interference. It also welcomes paragraph 32's affirmation that a </w:t>
      </w:r>
      <w:proofErr w:type="gramStart"/>
      <w:r w:rsidRPr="0084712B">
        <w:rPr>
          <w:rFonts w:ascii="Times New Roman" w:hAnsi="Times New Roman" w:cs="Times New Roman"/>
          <w:sz w:val="24"/>
          <w:szCs w:val="24"/>
        </w:rPr>
        <w:t>State</w:t>
      </w:r>
      <w:proofErr w:type="gramEnd"/>
      <w:r w:rsidRPr="0084712B">
        <w:rPr>
          <w:rFonts w:ascii="Times New Roman" w:hAnsi="Times New Roman" w:cs="Times New Roman"/>
          <w:sz w:val="24"/>
          <w:szCs w:val="24"/>
        </w:rPr>
        <w:t xml:space="preserve"> party's obligation to respect Covenant rights is not confined to its territory. These are important clarifications that should be further developed through precise and consistent language on transnational repression and the positive obligations of host States to counter its effects.</w:t>
      </w:r>
    </w:p>
    <w:p w14:paraId="00000008"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In sum, this submission proposes the following key changes.</w:t>
      </w:r>
    </w:p>
    <w:p w14:paraId="00000009" w14:textId="77777777" w:rsidR="000B2F05" w:rsidRPr="0084712B" w:rsidRDefault="00000000" w:rsidP="0084712B">
      <w:pPr>
        <w:numPr>
          <w:ilvl w:val="0"/>
          <w:numId w:val="1"/>
        </w:numPr>
        <w:spacing w:line="240" w:lineRule="auto"/>
        <w:jc w:val="both"/>
        <w:rPr>
          <w:rFonts w:ascii="Times New Roman" w:hAnsi="Times New Roman" w:cs="Times New Roman"/>
          <w:sz w:val="24"/>
          <w:szCs w:val="24"/>
        </w:rPr>
      </w:pPr>
      <w:r w:rsidRPr="0084712B">
        <w:rPr>
          <w:rFonts w:ascii="Times New Roman" w:hAnsi="Times New Roman" w:cs="Times New Roman"/>
          <w:sz w:val="24"/>
          <w:szCs w:val="24"/>
        </w:rPr>
        <w:t xml:space="preserve">Paragraph 11 should retain the reference to transnational </w:t>
      </w:r>
      <w:proofErr w:type="gramStart"/>
      <w:r w:rsidRPr="0084712B">
        <w:rPr>
          <w:rFonts w:ascii="Times New Roman" w:hAnsi="Times New Roman" w:cs="Times New Roman"/>
          <w:sz w:val="24"/>
          <w:szCs w:val="24"/>
        </w:rPr>
        <w:t>repression, but</w:t>
      </w:r>
      <w:proofErr w:type="gramEnd"/>
      <w:r w:rsidRPr="0084712B">
        <w:rPr>
          <w:rFonts w:ascii="Times New Roman" w:hAnsi="Times New Roman" w:cs="Times New Roman"/>
          <w:sz w:val="24"/>
          <w:szCs w:val="24"/>
        </w:rPr>
        <w:t xml:space="preserve"> should replace “online transnational repression” with “digital forms of transnational repression” and refer to states’ obligations. </w:t>
      </w:r>
    </w:p>
    <w:p w14:paraId="0000000A" w14:textId="77777777" w:rsidR="000B2F05" w:rsidRPr="0084712B" w:rsidRDefault="00000000" w:rsidP="0084712B">
      <w:pPr>
        <w:numPr>
          <w:ilvl w:val="0"/>
          <w:numId w:val="1"/>
        </w:numPr>
        <w:spacing w:line="240" w:lineRule="auto"/>
        <w:jc w:val="both"/>
        <w:rPr>
          <w:rFonts w:ascii="Times New Roman" w:hAnsi="Times New Roman" w:cs="Times New Roman"/>
          <w:sz w:val="24"/>
          <w:szCs w:val="24"/>
        </w:rPr>
      </w:pPr>
      <w:r w:rsidRPr="0084712B">
        <w:rPr>
          <w:rFonts w:ascii="Times New Roman" w:hAnsi="Times New Roman" w:cs="Times New Roman"/>
          <w:sz w:val="24"/>
          <w:szCs w:val="24"/>
        </w:rPr>
        <w:t>Section II should affirm that Article 22 protects cross-border, exile and diaspora association where the obligations of a State party are engaged through Article 2 of the Covenant. It should clarify the corresponding duties of repressing states and host States, including the duty not to interfere through agents or proxies abroad, and the duty to protect persons, associations and communities within the host State’s jurisdiction from foreseeable foreign interference.</w:t>
      </w:r>
    </w:p>
    <w:p w14:paraId="0000000B" w14:textId="77777777" w:rsidR="000B2F05" w:rsidRPr="0084712B" w:rsidRDefault="00000000" w:rsidP="0084712B">
      <w:pPr>
        <w:numPr>
          <w:ilvl w:val="0"/>
          <w:numId w:val="1"/>
        </w:numPr>
        <w:spacing w:line="240" w:lineRule="auto"/>
        <w:jc w:val="both"/>
        <w:rPr>
          <w:rFonts w:ascii="Times New Roman" w:hAnsi="Times New Roman" w:cs="Times New Roman"/>
          <w:sz w:val="24"/>
          <w:szCs w:val="24"/>
        </w:rPr>
      </w:pPr>
      <w:r w:rsidRPr="0084712B">
        <w:rPr>
          <w:rFonts w:ascii="Times New Roman" w:hAnsi="Times New Roman" w:cs="Times New Roman"/>
          <w:sz w:val="24"/>
          <w:szCs w:val="24"/>
        </w:rPr>
        <w:t>Paragraph 32 should refer expressly to “transnational repression”, replace “cyber-repressing” with concrete terminology, and mention methods of proxy punishment involving threats or punishments against family members, representatives, colleagues or associates in the home country or a third State.</w:t>
      </w:r>
    </w:p>
    <w:p w14:paraId="0000000C" w14:textId="77777777" w:rsidR="000B2F05" w:rsidRPr="0084712B" w:rsidRDefault="00000000" w:rsidP="0084712B">
      <w:pPr>
        <w:numPr>
          <w:ilvl w:val="0"/>
          <w:numId w:val="1"/>
        </w:numPr>
        <w:spacing w:after="40" w:line="240" w:lineRule="auto"/>
        <w:jc w:val="both"/>
        <w:rPr>
          <w:rFonts w:ascii="Times New Roman" w:hAnsi="Times New Roman" w:cs="Times New Roman"/>
          <w:sz w:val="24"/>
          <w:szCs w:val="24"/>
        </w:rPr>
      </w:pPr>
      <w:r w:rsidRPr="0084712B">
        <w:rPr>
          <w:rFonts w:ascii="Times New Roman" w:hAnsi="Times New Roman" w:cs="Times New Roman"/>
          <w:sz w:val="24"/>
          <w:szCs w:val="24"/>
        </w:rPr>
        <w:t xml:space="preserve">Paragraph 36 and the section around paragraphs 39 to 40 should elaborate the positive obligations of host States to counter the effects of transnational repression on the exercise of human rights. These obligations should address the full range of physical, digital, legal, administrative, financial and social methods of cross-border intimidation or coercion, including community-level chilling effects, and should require accessible, secure, confidential and trauma informed contact points or equivalent </w:t>
      </w:r>
      <w:proofErr w:type="spellStart"/>
      <w:r w:rsidRPr="0084712B">
        <w:rPr>
          <w:rFonts w:ascii="Times New Roman" w:hAnsi="Times New Roman" w:cs="Times New Roman"/>
          <w:sz w:val="24"/>
          <w:szCs w:val="24"/>
        </w:rPr>
        <w:t>specialised</w:t>
      </w:r>
      <w:proofErr w:type="spellEnd"/>
      <w:r w:rsidRPr="0084712B">
        <w:rPr>
          <w:rFonts w:ascii="Times New Roman" w:hAnsi="Times New Roman" w:cs="Times New Roman"/>
          <w:sz w:val="24"/>
          <w:szCs w:val="24"/>
        </w:rPr>
        <w:t xml:space="preserve"> mechanisms.</w:t>
      </w:r>
    </w:p>
    <w:p w14:paraId="49C43B41" w14:textId="77777777" w:rsidR="0084712B" w:rsidRDefault="0084712B" w:rsidP="0084712B">
      <w:pPr>
        <w:pStyle w:val="Heading1"/>
        <w:keepNext w:val="0"/>
        <w:keepLines w:val="0"/>
        <w:spacing w:before="240" w:line="240" w:lineRule="auto"/>
        <w:jc w:val="both"/>
        <w:rPr>
          <w:rFonts w:ascii="Times New Roman" w:hAnsi="Times New Roman" w:cs="Times New Roman"/>
          <w:b/>
          <w:bCs/>
          <w:color w:val="365F91"/>
          <w:sz w:val="26"/>
          <w:szCs w:val="26"/>
        </w:rPr>
      </w:pPr>
      <w:bookmarkStart w:id="2" w:name="_m0hx0tygalkf" w:colFirst="0" w:colLast="0"/>
      <w:bookmarkEnd w:id="2"/>
    </w:p>
    <w:p w14:paraId="0000000D" w14:textId="3772CA36" w:rsidR="000B2F05" w:rsidRPr="0084712B" w:rsidRDefault="00000000" w:rsidP="0084712B">
      <w:pPr>
        <w:pStyle w:val="Heading1"/>
        <w:keepNext w:val="0"/>
        <w:keepLines w:val="0"/>
        <w:spacing w:before="240" w:line="240" w:lineRule="auto"/>
        <w:jc w:val="both"/>
        <w:rPr>
          <w:rFonts w:ascii="Times New Roman" w:hAnsi="Times New Roman" w:cs="Times New Roman"/>
          <w:b/>
          <w:bCs/>
          <w:color w:val="365F91"/>
          <w:sz w:val="26"/>
          <w:szCs w:val="26"/>
        </w:rPr>
      </w:pPr>
      <w:r w:rsidRPr="0084712B">
        <w:rPr>
          <w:rFonts w:ascii="Times New Roman" w:hAnsi="Times New Roman" w:cs="Times New Roman"/>
          <w:b/>
          <w:bCs/>
          <w:color w:val="365F91"/>
          <w:sz w:val="26"/>
          <w:szCs w:val="26"/>
        </w:rPr>
        <w:lastRenderedPageBreak/>
        <w:t>General observations on terminology and sources</w:t>
      </w:r>
    </w:p>
    <w:p w14:paraId="0000000E"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 xml:space="preserve">The General Comment should refer explicitly to “transnational repression”. The term has acquired widespread usage in denoting an array of cross-border violations of core Covenant rights, particularly freedom of expression and freedom of association. OHCHR uses the term to describe acts conducted or directed by a State or by a proxy that deter, silence or punish dissent, criticism or human rights advocacy expressed from abroad. OHCHR also </w:t>
      </w:r>
      <w:proofErr w:type="spellStart"/>
      <w:r w:rsidRPr="0084712B">
        <w:rPr>
          <w:rFonts w:ascii="Times New Roman" w:hAnsi="Times New Roman" w:cs="Times New Roman"/>
          <w:sz w:val="24"/>
          <w:szCs w:val="24"/>
        </w:rPr>
        <w:t>emphasises</w:t>
      </w:r>
      <w:proofErr w:type="spellEnd"/>
      <w:r w:rsidRPr="0084712B">
        <w:rPr>
          <w:rFonts w:ascii="Times New Roman" w:hAnsi="Times New Roman" w:cs="Times New Roman"/>
          <w:sz w:val="24"/>
          <w:szCs w:val="24"/>
        </w:rPr>
        <w:t xml:space="preserve"> that targets frequently include civil society actors abroad and their families or associates in the State of origin.</w:t>
      </w:r>
      <w:r w:rsidRPr="0084712B">
        <w:rPr>
          <w:rFonts w:ascii="Times New Roman" w:hAnsi="Times New Roman" w:cs="Times New Roman"/>
          <w:sz w:val="24"/>
          <w:szCs w:val="24"/>
          <w:vertAlign w:val="superscript"/>
        </w:rPr>
        <w:footnoteReference w:id="1"/>
      </w:r>
    </w:p>
    <w:p w14:paraId="0000000F"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Statements and reports by OHCHR and Special Procedures have described the same pattern. OHCHR has identified practices ranging from digital surveillance and cyberattacks to threats against family members in the country of origin, abusive legal or administrative processes, deprivation of travel documents, abductions, enforced disappearances and targeted killings.</w:t>
      </w:r>
      <w:r w:rsidRPr="0084712B">
        <w:rPr>
          <w:rFonts w:ascii="Times New Roman" w:hAnsi="Times New Roman" w:cs="Times New Roman"/>
          <w:sz w:val="24"/>
          <w:szCs w:val="24"/>
          <w:vertAlign w:val="superscript"/>
        </w:rPr>
        <w:footnoteReference w:id="2"/>
      </w:r>
      <w:r w:rsidRPr="0084712B">
        <w:rPr>
          <w:rFonts w:ascii="Times New Roman" w:hAnsi="Times New Roman" w:cs="Times New Roman"/>
          <w:sz w:val="24"/>
          <w:szCs w:val="24"/>
        </w:rPr>
        <w:t xml:space="preserve"> The Special Rapporteur on freedom of opinion and expression has addressed journalists in exile and their exposure to physical, digital and legal threats.</w:t>
      </w:r>
      <w:r w:rsidRPr="0084712B">
        <w:rPr>
          <w:rFonts w:ascii="Times New Roman" w:hAnsi="Times New Roman" w:cs="Times New Roman"/>
          <w:sz w:val="24"/>
          <w:szCs w:val="24"/>
          <w:vertAlign w:val="superscript"/>
        </w:rPr>
        <w:footnoteReference w:id="3"/>
      </w:r>
    </w:p>
    <w:p w14:paraId="00000010"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The term is also reflected in recent Human Rights Council resolutions. Resolution 58/23 refers to repressive activities conducted abroad by States outside their own jurisdiction to harm, silence and intimidate human rights defenders through digital, physical and other means, including the misuse of spyware and other intrusive surveillance software.</w:t>
      </w:r>
      <w:r w:rsidRPr="0084712B">
        <w:rPr>
          <w:rFonts w:ascii="Times New Roman" w:hAnsi="Times New Roman" w:cs="Times New Roman"/>
          <w:sz w:val="24"/>
          <w:szCs w:val="24"/>
          <w:vertAlign w:val="superscript"/>
        </w:rPr>
        <w:footnoteReference w:id="4"/>
      </w:r>
      <w:r w:rsidRPr="0084712B">
        <w:rPr>
          <w:rFonts w:ascii="Times New Roman" w:hAnsi="Times New Roman" w:cs="Times New Roman"/>
          <w:sz w:val="24"/>
          <w:szCs w:val="24"/>
        </w:rPr>
        <w:t xml:space="preserve"> Resolution 59/10 uses closely related language for civil society actors abroad and refers to States, or actors under their effective control, as well as the targeting of family members, representatives or associates.</w:t>
      </w:r>
      <w:r w:rsidRPr="0084712B">
        <w:rPr>
          <w:rFonts w:ascii="Times New Roman" w:hAnsi="Times New Roman" w:cs="Times New Roman"/>
          <w:sz w:val="24"/>
          <w:szCs w:val="24"/>
          <w:vertAlign w:val="superscript"/>
        </w:rPr>
        <w:footnoteReference w:id="5"/>
      </w:r>
      <w:r w:rsidRPr="0084712B">
        <w:rPr>
          <w:rFonts w:ascii="Times New Roman" w:hAnsi="Times New Roman" w:cs="Times New Roman"/>
          <w:sz w:val="24"/>
          <w:szCs w:val="24"/>
        </w:rPr>
        <w:t xml:space="preserve"> Resolution 59/15 uses similar language in relation to journalists and media workers, including the targeting of family members, representatives and associates.</w:t>
      </w:r>
      <w:r w:rsidRPr="0084712B">
        <w:rPr>
          <w:rFonts w:ascii="Times New Roman" w:hAnsi="Times New Roman" w:cs="Times New Roman"/>
          <w:sz w:val="24"/>
          <w:szCs w:val="24"/>
          <w:vertAlign w:val="superscript"/>
        </w:rPr>
        <w:footnoteReference w:id="6"/>
      </w:r>
    </w:p>
    <w:p w14:paraId="00000011"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Regional and intergovernmental practice points to the increasing interference with rights caused by transnational repression. The Parliamentary Assembly of the Council of Europe has described coercion by proxy, including threats to family members and loved ones.</w:t>
      </w:r>
      <w:r w:rsidRPr="0084712B">
        <w:rPr>
          <w:rFonts w:ascii="Times New Roman" w:hAnsi="Times New Roman" w:cs="Times New Roman"/>
          <w:sz w:val="24"/>
          <w:szCs w:val="24"/>
          <w:vertAlign w:val="superscript"/>
        </w:rPr>
        <w:footnoteReference w:id="7"/>
      </w:r>
      <w:r w:rsidRPr="0084712B">
        <w:rPr>
          <w:rFonts w:ascii="Times New Roman" w:hAnsi="Times New Roman" w:cs="Times New Roman"/>
          <w:sz w:val="24"/>
          <w:szCs w:val="24"/>
        </w:rPr>
        <w:t xml:space="preserve"> The European Parliament has addressed transnational repression of human rights defenders and its impact on civic space.</w:t>
      </w:r>
      <w:r w:rsidRPr="0084712B">
        <w:rPr>
          <w:rFonts w:ascii="Times New Roman" w:hAnsi="Times New Roman" w:cs="Times New Roman"/>
          <w:sz w:val="24"/>
          <w:szCs w:val="24"/>
          <w:vertAlign w:val="superscript"/>
        </w:rPr>
        <w:footnoteReference w:id="8"/>
      </w:r>
      <w:r w:rsidRPr="0084712B">
        <w:rPr>
          <w:rFonts w:ascii="Times New Roman" w:hAnsi="Times New Roman" w:cs="Times New Roman"/>
          <w:sz w:val="24"/>
          <w:szCs w:val="24"/>
        </w:rPr>
        <w:t xml:space="preserve"> </w:t>
      </w:r>
      <w:r w:rsidRPr="0084712B">
        <w:rPr>
          <w:rFonts w:ascii="Times New Roman" w:hAnsi="Times New Roman" w:cs="Times New Roman"/>
          <w:sz w:val="24"/>
          <w:szCs w:val="24"/>
        </w:rPr>
        <w:lastRenderedPageBreak/>
        <w:t xml:space="preserve">The G7 has </w:t>
      </w:r>
      <w:proofErr w:type="spellStart"/>
      <w:r w:rsidRPr="0084712B">
        <w:rPr>
          <w:rFonts w:ascii="Times New Roman" w:hAnsi="Times New Roman" w:cs="Times New Roman"/>
          <w:sz w:val="24"/>
          <w:szCs w:val="24"/>
        </w:rPr>
        <w:t>recognised</w:t>
      </w:r>
      <w:proofErr w:type="spellEnd"/>
      <w:r w:rsidRPr="0084712B">
        <w:rPr>
          <w:rFonts w:ascii="Times New Roman" w:hAnsi="Times New Roman" w:cs="Times New Roman"/>
          <w:sz w:val="24"/>
          <w:szCs w:val="24"/>
        </w:rPr>
        <w:t xml:space="preserve"> transnational repression as an aggressive form of foreign interference affecting the safety and human rights of victims,</w:t>
      </w:r>
      <w:r w:rsidRPr="0084712B">
        <w:rPr>
          <w:rFonts w:ascii="Times New Roman" w:hAnsi="Times New Roman" w:cs="Times New Roman"/>
          <w:sz w:val="24"/>
          <w:szCs w:val="24"/>
          <w:vertAlign w:val="superscript"/>
        </w:rPr>
        <w:footnoteReference w:id="9"/>
      </w:r>
      <w:r w:rsidRPr="0084712B">
        <w:rPr>
          <w:rFonts w:ascii="Times New Roman" w:hAnsi="Times New Roman" w:cs="Times New Roman"/>
          <w:sz w:val="24"/>
          <w:szCs w:val="24"/>
        </w:rPr>
        <w:t xml:space="preserve"> and the United Kingdom Joint Committee on Human Rights has heard evidence of chilling effects on freedoms of expression, assembly and association.</w:t>
      </w:r>
      <w:r w:rsidRPr="0084712B">
        <w:rPr>
          <w:rFonts w:ascii="Times New Roman" w:hAnsi="Times New Roman" w:cs="Times New Roman"/>
          <w:sz w:val="24"/>
          <w:szCs w:val="24"/>
          <w:vertAlign w:val="superscript"/>
        </w:rPr>
        <w:footnoteReference w:id="10"/>
      </w:r>
    </w:p>
    <w:p w14:paraId="00000012"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 xml:space="preserve">These developments bear directly on Article 22 because transnational repression frequently aims to prevent persons in exile or abroad from forming associations, joining diaspora </w:t>
      </w:r>
      <w:proofErr w:type="spellStart"/>
      <w:r w:rsidRPr="0084712B">
        <w:rPr>
          <w:rFonts w:ascii="Times New Roman" w:hAnsi="Times New Roman" w:cs="Times New Roman"/>
          <w:sz w:val="24"/>
          <w:szCs w:val="24"/>
        </w:rPr>
        <w:t>organisations</w:t>
      </w:r>
      <w:proofErr w:type="spellEnd"/>
      <w:r w:rsidRPr="0084712B">
        <w:rPr>
          <w:rFonts w:ascii="Times New Roman" w:hAnsi="Times New Roman" w:cs="Times New Roman"/>
          <w:sz w:val="24"/>
          <w:szCs w:val="24"/>
        </w:rPr>
        <w:t xml:space="preserve">, participating in human rights networks, cooperating with international mechanisms, supporting trade unions, or </w:t>
      </w:r>
      <w:proofErr w:type="spellStart"/>
      <w:r w:rsidRPr="0084712B">
        <w:rPr>
          <w:rFonts w:ascii="Times New Roman" w:hAnsi="Times New Roman" w:cs="Times New Roman"/>
          <w:sz w:val="24"/>
          <w:szCs w:val="24"/>
        </w:rPr>
        <w:t>organising</w:t>
      </w:r>
      <w:proofErr w:type="spellEnd"/>
      <w:r w:rsidRPr="0084712B">
        <w:rPr>
          <w:rFonts w:ascii="Times New Roman" w:hAnsi="Times New Roman" w:cs="Times New Roman"/>
          <w:sz w:val="24"/>
          <w:szCs w:val="24"/>
        </w:rPr>
        <w:t xml:space="preserve"> political, environmental, journalistic, legal, academic, cultural or religious activity outside the reach of the repressing State.</w:t>
      </w:r>
    </w:p>
    <w:p w14:paraId="00000013" w14:textId="77777777" w:rsidR="000B2F05" w:rsidRPr="0084712B" w:rsidRDefault="00000000" w:rsidP="0084712B">
      <w:pPr>
        <w:pStyle w:val="Heading1"/>
        <w:keepNext w:val="0"/>
        <w:keepLines w:val="0"/>
        <w:spacing w:before="240" w:line="240" w:lineRule="auto"/>
        <w:jc w:val="both"/>
        <w:rPr>
          <w:rFonts w:ascii="Times New Roman" w:hAnsi="Times New Roman" w:cs="Times New Roman"/>
          <w:b/>
          <w:bCs/>
          <w:color w:val="365F91"/>
          <w:sz w:val="26"/>
          <w:szCs w:val="26"/>
        </w:rPr>
      </w:pPr>
      <w:bookmarkStart w:id="3" w:name="_em7zer5cxtm3" w:colFirst="0" w:colLast="0"/>
      <w:bookmarkEnd w:id="3"/>
      <w:r w:rsidRPr="0084712B">
        <w:rPr>
          <w:rFonts w:ascii="Times New Roman" w:hAnsi="Times New Roman" w:cs="Times New Roman"/>
          <w:b/>
          <w:bCs/>
          <w:color w:val="365F91"/>
          <w:sz w:val="26"/>
          <w:szCs w:val="26"/>
        </w:rPr>
        <w:t>Paragraph 11</w:t>
      </w:r>
    </w:p>
    <w:p w14:paraId="00000014" w14:textId="77777777" w:rsidR="000B2F05" w:rsidRPr="0084712B" w:rsidRDefault="00000000" w:rsidP="0084712B">
      <w:pPr>
        <w:pStyle w:val="Heading2"/>
        <w:keepNext w:val="0"/>
        <w:keepLines w:val="0"/>
        <w:spacing w:before="160" w:after="80" w:line="240" w:lineRule="auto"/>
        <w:jc w:val="both"/>
        <w:rPr>
          <w:rFonts w:ascii="Times New Roman" w:hAnsi="Times New Roman" w:cs="Times New Roman"/>
          <w:b/>
          <w:bCs/>
          <w:color w:val="4F81BD"/>
          <w:sz w:val="24"/>
          <w:szCs w:val="24"/>
        </w:rPr>
      </w:pPr>
      <w:bookmarkStart w:id="4" w:name="_8qwaq7wfwa0s" w:colFirst="0" w:colLast="0"/>
      <w:bookmarkEnd w:id="4"/>
      <w:r w:rsidRPr="0084712B">
        <w:rPr>
          <w:rFonts w:ascii="Times New Roman" w:hAnsi="Times New Roman" w:cs="Times New Roman"/>
          <w:b/>
          <w:bCs/>
          <w:color w:val="4F81BD"/>
          <w:sz w:val="24"/>
          <w:szCs w:val="24"/>
        </w:rPr>
        <w:t>Proposed revision</w:t>
      </w:r>
    </w:p>
    <w:p w14:paraId="00000015" w14:textId="77777777" w:rsidR="000B2F05" w:rsidRPr="0084712B" w:rsidRDefault="00000000" w:rsidP="0084712B">
      <w:pPr>
        <w:spacing w:after="120" w:line="240" w:lineRule="auto"/>
        <w:jc w:val="both"/>
        <w:rPr>
          <w:rFonts w:ascii="Times New Roman" w:hAnsi="Times New Roman" w:cs="Times New Roman"/>
          <w:b/>
          <w:bCs/>
          <w:sz w:val="24"/>
          <w:szCs w:val="24"/>
          <w:highlight w:val="green"/>
        </w:rPr>
      </w:pPr>
      <w:r w:rsidRPr="0084712B">
        <w:rPr>
          <w:rFonts w:ascii="Times New Roman" w:hAnsi="Times New Roman" w:cs="Times New Roman"/>
          <w:sz w:val="24"/>
          <w:szCs w:val="24"/>
        </w:rPr>
        <w:t xml:space="preserve">Paragraph 11 is significant because it </w:t>
      </w:r>
      <w:proofErr w:type="spellStart"/>
      <w:r w:rsidRPr="0084712B">
        <w:rPr>
          <w:rFonts w:ascii="Times New Roman" w:hAnsi="Times New Roman" w:cs="Times New Roman"/>
          <w:sz w:val="24"/>
          <w:szCs w:val="24"/>
        </w:rPr>
        <w:t>recognises</w:t>
      </w:r>
      <w:proofErr w:type="spellEnd"/>
      <w:r w:rsidRPr="0084712B">
        <w:rPr>
          <w:rFonts w:ascii="Times New Roman" w:hAnsi="Times New Roman" w:cs="Times New Roman"/>
          <w:sz w:val="24"/>
          <w:szCs w:val="24"/>
        </w:rPr>
        <w:t xml:space="preserve"> that Article 22 must be understood in an evolutionary manner. Paragraph 11 should retain the draft's recognition of transnational </w:t>
      </w:r>
      <w:proofErr w:type="gramStart"/>
      <w:r w:rsidRPr="0084712B">
        <w:rPr>
          <w:rFonts w:ascii="Times New Roman" w:hAnsi="Times New Roman" w:cs="Times New Roman"/>
          <w:sz w:val="24"/>
          <w:szCs w:val="24"/>
        </w:rPr>
        <w:t>repression</w:t>
      </w:r>
      <w:proofErr w:type="gramEnd"/>
      <w:r w:rsidRPr="0084712B">
        <w:rPr>
          <w:rFonts w:ascii="Times New Roman" w:hAnsi="Times New Roman" w:cs="Times New Roman"/>
          <w:sz w:val="24"/>
          <w:szCs w:val="24"/>
        </w:rPr>
        <w:t xml:space="preserve"> but the phrase “online transnational repression” should be modified, and states’ obligations should be noted. </w:t>
      </w:r>
    </w:p>
    <w:p w14:paraId="00000016" w14:textId="77777777" w:rsidR="000B2F05" w:rsidRPr="0084712B" w:rsidRDefault="00000000" w:rsidP="0084712B">
      <w:pPr>
        <w:pStyle w:val="Heading2"/>
        <w:keepNext w:val="0"/>
        <w:keepLines w:val="0"/>
        <w:spacing w:before="160" w:after="80" w:line="240" w:lineRule="auto"/>
        <w:jc w:val="both"/>
        <w:rPr>
          <w:rFonts w:ascii="Times New Roman" w:hAnsi="Times New Roman" w:cs="Times New Roman"/>
          <w:b/>
          <w:bCs/>
          <w:color w:val="4F81BD"/>
          <w:sz w:val="24"/>
          <w:szCs w:val="24"/>
        </w:rPr>
      </w:pPr>
      <w:bookmarkStart w:id="5" w:name="_d0o946lln1gs" w:colFirst="0" w:colLast="0"/>
      <w:bookmarkEnd w:id="5"/>
      <w:r w:rsidRPr="0084712B">
        <w:rPr>
          <w:rFonts w:ascii="Times New Roman" w:hAnsi="Times New Roman" w:cs="Times New Roman"/>
          <w:b/>
          <w:bCs/>
          <w:color w:val="4F81BD"/>
          <w:sz w:val="24"/>
          <w:szCs w:val="24"/>
        </w:rPr>
        <w:t>Rationale</w:t>
      </w:r>
    </w:p>
    <w:p w14:paraId="00000017"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 xml:space="preserve">The phrase “online transnational repression” should be modified. Transnational repression has acquired recognition as a general term, whereas “online transnational repression” is less well established. A better formulation would be “digital forms of transnational repression” or “digital transnational repression”. This will preserve the draft's focus on digital technologies while connecting the language with established research and the emerging body of principles and standards from international and regional </w:t>
      </w:r>
      <w:proofErr w:type="spellStart"/>
      <w:r w:rsidRPr="0084712B">
        <w:rPr>
          <w:rFonts w:ascii="Times New Roman" w:hAnsi="Times New Roman" w:cs="Times New Roman"/>
          <w:sz w:val="24"/>
          <w:szCs w:val="24"/>
        </w:rPr>
        <w:t>organisations</w:t>
      </w:r>
      <w:proofErr w:type="spellEnd"/>
      <w:r w:rsidRPr="0084712B">
        <w:rPr>
          <w:rFonts w:ascii="Times New Roman" w:hAnsi="Times New Roman" w:cs="Times New Roman"/>
          <w:sz w:val="24"/>
          <w:szCs w:val="24"/>
        </w:rPr>
        <w:t xml:space="preserve"> on transnational repression.</w:t>
      </w:r>
      <w:r w:rsidRPr="0084712B">
        <w:rPr>
          <w:rFonts w:ascii="Times New Roman" w:hAnsi="Times New Roman" w:cs="Times New Roman"/>
          <w:sz w:val="24"/>
          <w:szCs w:val="24"/>
          <w:vertAlign w:val="superscript"/>
        </w:rPr>
        <w:footnoteReference w:id="11"/>
      </w:r>
      <w:r w:rsidRPr="0084712B">
        <w:rPr>
          <w:rFonts w:ascii="Times New Roman" w:hAnsi="Times New Roman" w:cs="Times New Roman"/>
          <w:sz w:val="24"/>
          <w:szCs w:val="24"/>
        </w:rPr>
        <w:t xml:space="preserve"> ODIHR has recommended that the General Comment address associations irrespective of the technological means through which they are formed or </w:t>
      </w:r>
      <w:proofErr w:type="gramStart"/>
      <w:r w:rsidRPr="0084712B">
        <w:rPr>
          <w:rFonts w:ascii="Times New Roman" w:hAnsi="Times New Roman" w:cs="Times New Roman"/>
          <w:sz w:val="24"/>
          <w:szCs w:val="24"/>
        </w:rPr>
        <w:t>operate, and</w:t>
      </w:r>
      <w:proofErr w:type="gramEnd"/>
      <w:r w:rsidRPr="0084712B">
        <w:rPr>
          <w:rFonts w:ascii="Times New Roman" w:hAnsi="Times New Roman" w:cs="Times New Roman"/>
          <w:sz w:val="24"/>
          <w:szCs w:val="24"/>
        </w:rPr>
        <w:t xml:space="preserve"> should account for cross-border and exiled associations.</w:t>
      </w:r>
      <w:r w:rsidRPr="0084712B">
        <w:rPr>
          <w:rFonts w:ascii="Times New Roman" w:hAnsi="Times New Roman" w:cs="Times New Roman"/>
          <w:sz w:val="24"/>
          <w:szCs w:val="24"/>
          <w:vertAlign w:val="superscript"/>
        </w:rPr>
        <w:footnoteReference w:id="12"/>
      </w:r>
    </w:p>
    <w:p w14:paraId="00000018" w14:textId="77777777" w:rsidR="000B2F05" w:rsidRPr="0084712B" w:rsidRDefault="000B2F05" w:rsidP="0084712B">
      <w:pPr>
        <w:spacing w:after="120" w:line="240" w:lineRule="auto"/>
        <w:jc w:val="both"/>
        <w:rPr>
          <w:rFonts w:ascii="Times New Roman" w:hAnsi="Times New Roman" w:cs="Times New Roman"/>
          <w:sz w:val="24"/>
          <w:szCs w:val="24"/>
        </w:rPr>
      </w:pPr>
    </w:p>
    <w:p w14:paraId="00000019" w14:textId="77777777" w:rsidR="000B2F05" w:rsidRPr="0084712B" w:rsidRDefault="00000000" w:rsidP="0084712B">
      <w:pPr>
        <w:pStyle w:val="Heading2"/>
        <w:keepNext w:val="0"/>
        <w:keepLines w:val="0"/>
        <w:spacing w:before="160" w:after="80" w:line="240" w:lineRule="auto"/>
        <w:jc w:val="both"/>
        <w:rPr>
          <w:rFonts w:ascii="Times New Roman" w:hAnsi="Times New Roman" w:cs="Times New Roman"/>
          <w:b/>
          <w:bCs/>
          <w:color w:val="4F81BD"/>
          <w:sz w:val="24"/>
          <w:szCs w:val="24"/>
        </w:rPr>
      </w:pPr>
      <w:bookmarkStart w:id="6" w:name="_w4y7hjusaeuc" w:colFirst="0" w:colLast="0"/>
      <w:bookmarkEnd w:id="6"/>
      <w:r w:rsidRPr="0084712B">
        <w:rPr>
          <w:rFonts w:ascii="Times New Roman" w:hAnsi="Times New Roman" w:cs="Times New Roman"/>
          <w:b/>
          <w:bCs/>
          <w:color w:val="4F81BD"/>
          <w:sz w:val="24"/>
          <w:szCs w:val="24"/>
        </w:rPr>
        <w:t>Proposed language</w:t>
      </w:r>
    </w:p>
    <w:p w14:paraId="0000001A" w14:textId="77777777" w:rsidR="000B2F05" w:rsidRPr="0084712B" w:rsidRDefault="00000000" w:rsidP="0084712B">
      <w:pPr>
        <w:spacing w:before="240" w:after="240" w:line="240" w:lineRule="auto"/>
        <w:jc w:val="both"/>
        <w:rPr>
          <w:rFonts w:ascii="Times New Roman" w:hAnsi="Times New Roman" w:cs="Times New Roman"/>
          <w:sz w:val="24"/>
          <w:szCs w:val="24"/>
        </w:rPr>
      </w:pPr>
      <w:r w:rsidRPr="0084712B">
        <w:rPr>
          <w:rFonts w:ascii="Times New Roman" w:hAnsi="Times New Roman" w:cs="Times New Roman"/>
          <w:sz w:val="24"/>
          <w:szCs w:val="24"/>
        </w:rPr>
        <w:t>The contexts in which the right to freedom of association is operationalized must be understood in an evolutiona</w:t>
      </w:r>
      <w:r w:rsidRPr="0084712B">
        <w:rPr>
          <w:rFonts w:ascii="Times New Roman" w:hAnsi="Times New Roman" w:cs="Times New Roman"/>
          <w:sz w:val="24"/>
          <w:szCs w:val="24"/>
          <w:highlight w:val="white"/>
        </w:rPr>
        <w:t>ry manner.</w:t>
      </w:r>
      <w:r w:rsidRPr="0084712B">
        <w:rPr>
          <w:rFonts w:ascii="Times New Roman" w:hAnsi="Times New Roman" w:cs="Times New Roman"/>
          <w:b/>
          <w:bCs/>
          <w:sz w:val="24"/>
          <w:szCs w:val="24"/>
          <w:highlight w:val="white"/>
        </w:rPr>
        <w:t xml:space="preserve">  </w:t>
      </w:r>
      <w:r w:rsidRPr="0084712B">
        <w:rPr>
          <w:rFonts w:ascii="Times New Roman" w:hAnsi="Times New Roman" w:cs="Times New Roman"/>
          <w:sz w:val="24"/>
          <w:szCs w:val="24"/>
          <w:highlight w:val="white"/>
        </w:rPr>
        <w:t>Given</w:t>
      </w:r>
      <w:r w:rsidRPr="0084712B">
        <w:rPr>
          <w:rFonts w:ascii="Times New Roman" w:hAnsi="Times New Roman" w:cs="Times New Roman"/>
          <w:sz w:val="24"/>
          <w:szCs w:val="24"/>
        </w:rPr>
        <w:t xml:space="preserve"> the development of new technologies that have significantly affected the way in which associations pursue their collective activities, article 22 applies equally to offline, online and hybrid organizations. Digital civil society and digital civic action have </w:t>
      </w:r>
      <w:r w:rsidRPr="0084712B">
        <w:rPr>
          <w:rFonts w:ascii="Times New Roman" w:hAnsi="Times New Roman" w:cs="Times New Roman"/>
          <w:sz w:val="24"/>
          <w:szCs w:val="24"/>
        </w:rPr>
        <w:lastRenderedPageBreak/>
        <w:t xml:space="preserve">become an important tool for individuals and associations. However, at the same time, new technologies can be used to hamper and undermine the exercise and full realization of the right to freedom of association, both domestically within States and across borders. Digital surveillance, Internet shutdowns, denial of access to digital tools, unduly restrictive monitoring of social media and websites, and digital forms of transnational repression have chilling effects on the exercise of freedom of association. State parties must refrain from such </w:t>
      </w:r>
      <w:proofErr w:type="gramStart"/>
      <w:r w:rsidRPr="0084712B">
        <w:rPr>
          <w:rFonts w:ascii="Times New Roman" w:hAnsi="Times New Roman" w:cs="Times New Roman"/>
          <w:sz w:val="24"/>
          <w:szCs w:val="24"/>
        </w:rPr>
        <w:t>practices, and</w:t>
      </w:r>
      <w:proofErr w:type="gramEnd"/>
      <w:r w:rsidRPr="0084712B">
        <w:rPr>
          <w:rFonts w:ascii="Times New Roman" w:hAnsi="Times New Roman" w:cs="Times New Roman"/>
          <w:sz w:val="24"/>
          <w:szCs w:val="24"/>
        </w:rPr>
        <w:t xml:space="preserve"> take measures to counter digital forms of interference with the right to freedom of association, including transnational repression. </w:t>
      </w:r>
    </w:p>
    <w:p w14:paraId="0000001B" w14:textId="77777777" w:rsidR="000B2F05" w:rsidRPr="0084712B" w:rsidRDefault="00000000" w:rsidP="0084712B">
      <w:pPr>
        <w:pStyle w:val="Heading1"/>
        <w:keepNext w:val="0"/>
        <w:keepLines w:val="0"/>
        <w:spacing w:before="240" w:line="240" w:lineRule="auto"/>
        <w:jc w:val="both"/>
        <w:rPr>
          <w:rFonts w:ascii="Times New Roman" w:hAnsi="Times New Roman" w:cs="Times New Roman"/>
          <w:b/>
          <w:bCs/>
          <w:color w:val="365F91"/>
          <w:sz w:val="26"/>
          <w:szCs w:val="26"/>
        </w:rPr>
      </w:pPr>
      <w:bookmarkStart w:id="7" w:name="_sg2qw9893l6d" w:colFirst="0" w:colLast="0"/>
      <w:bookmarkEnd w:id="7"/>
      <w:r w:rsidRPr="0084712B">
        <w:rPr>
          <w:rFonts w:ascii="Times New Roman" w:hAnsi="Times New Roman" w:cs="Times New Roman"/>
          <w:b/>
          <w:bCs/>
          <w:color w:val="365F91"/>
          <w:sz w:val="26"/>
          <w:szCs w:val="26"/>
        </w:rPr>
        <w:t>Section II. Protection inside and outside a country's borders</w:t>
      </w:r>
    </w:p>
    <w:p w14:paraId="0000001C" w14:textId="77777777" w:rsidR="000B2F05" w:rsidRPr="0084712B" w:rsidRDefault="00000000" w:rsidP="0084712B">
      <w:pPr>
        <w:pStyle w:val="Heading2"/>
        <w:keepNext w:val="0"/>
        <w:keepLines w:val="0"/>
        <w:spacing w:before="160" w:after="80" w:line="240" w:lineRule="auto"/>
        <w:jc w:val="both"/>
        <w:rPr>
          <w:rFonts w:ascii="Times New Roman" w:hAnsi="Times New Roman" w:cs="Times New Roman"/>
          <w:b/>
          <w:bCs/>
          <w:color w:val="4F81BD"/>
          <w:sz w:val="24"/>
          <w:szCs w:val="24"/>
        </w:rPr>
      </w:pPr>
      <w:bookmarkStart w:id="8" w:name="_k0vl54stjq09" w:colFirst="0" w:colLast="0"/>
      <w:bookmarkEnd w:id="8"/>
      <w:r w:rsidRPr="0084712B">
        <w:rPr>
          <w:rFonts w:ascii="Times New Roman" w:hAnsi="Times New Roman" w:cs="Times New Roman"/>
          <w:b/>
          <w:bCs/>
          <w:color w:val="4F81BD"/>
          <w:sz w:val="24"/>
          <w:szCs w:val="24"/>
        </w:rPr>
        <w:t>Proposed revision</w:t>
      </w:r>
    </w:p>
    <w:p w14:paraId="0000001D"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 xml:space="preserve">Section II should affirm that freedom of association applies both inside and outside a country's borders. The right is seriously challenged by the rise in acts of transnational repression, both online and offline, against exiled political opponents, journalists, human rights defenders, environmental defenders, lawyers and legal aid </w:t>
      </w:r>
      <w:proofErr w:type="spellStart"/>
      <w:r w:rsidRPr="0084712B">
        <w:rPr>
          <w:rFonts w:ascii="Times New Roman" w:hAnsi="Times New Roman" w:cs="Times New Roman"/>
          <w:sz w:val="24"/>
          <w:szCs w:val="24"/>
        </w:rPr>
        <w:t>organisations</w:t>
      </w:r>
      <w:proofErr w:type="spellEnd"/>
      <w:r w:rsidRPr="0084712B">
        <w:rPr>
          <w:rFonts w:ascii="Times New Roman" w:hAnsi="Times New Roman" w:cs="Times New Roman"/>
          <w:sz w:val="24"/>
          <w:szCs w:val="24"/>
        </w:rPr>
        <w:t>, trade unionists, academics, media workers and diaspora communities who seek to associate in exile.</w:t>
      </w:r>
      <w:r w:rsidRPr="0084712B">
        <w:rPr>
          <w:rFonts w:ascii="Times New Roman" w:hAnsi="Times New Roman" w:cs="Times New Roman"/>
          <w:sz w:val="24"/>
          <w:szCs w:val="24"/>
          <w:vertAlign w:val="superscript"/>
        </w:rPr>
        <w:footnoteReference w:id="13"/>
      </w:r>
      <w:r w:rsidRPr="0084712B">
        <w:rPr>
          <w:rFonts w:ascii="Times New Roman" w:hAnsi="Times New Roman" w:cs="Times New Roman"/>
          <w:sz w:val="24"/>
          <w:szCs w:val="24"/>
        </w:rPr>
        <w:t xml:space="preserve"> A paragraph should therefore be added to Section II acknowledging this and affirming that Article 22 protects cross-border, exile and diaspora association, and clarifying the duties of repressing States and host States under Article 2.</w:t>
      </w:r>
    </w:p>
    <w:p w14:paraId="0000001E" w14:textId="77777777" w:rsidR="000B2F05" w:rsidRPr="0084712B" w:rsidRDefault="00000000" w:rsidP="0084712B">
      <w:pPr>
        <w:pStyle w:val="Heading2"/>
        <w:keepNext w:val="0"/>
        <w:keepLines w:val="0"/>
        <w:spacing w:before="160" w:after="80" w:line="240" w:lineRule="auto"/>
        <w:jc w:val="both"/>
        <w:rPr>
          <w:rFonts w:ascii="Times New Roman" w:hAnsi="Times New Roman" w:cs="Times New Roman"/>
          <w:b/>
          <w:bCs/>
          <w:color w:val="4F81BD"/>
          <w:sz w:val="24"/>
          <w:szCs w:val="24"/>
        </w:rPr>
      </w:pPr>
      <w:bookmarkStart w:id="9" w:name="_kzlvxzrd3tta" w:colFirst="0" w:colLast="0"/>
      <w:bookmarkEnd w:id="9"/>
      <w:r w:rsidRPr="0084712B">
        <w:rPr>
          <w:rFonts w:ascii="Times New Roman" w:hAnsi="Times New Roman" w:cs="Times New Roman"/>
          <w:b/>
          <w:bCs/>
          <w:color w:val="4F81BD"/>
          <w:sz w:val="24"/>
          <w:szCs w:val="24"/>
        </w:rPr>
        <w:t>Rationale</w:t>
      </w:r>
    </w:p>
    <w:p w14:paraId="0000001F"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The repressing State must not use its agents or controlled proxies to interfere with Article 22 rights abroad. The host State must take reasonable and effective measures, within its territory or otherwise within its jurisdiction, to protect persons, associations and communities from foreseeable interference by foreign States, proxies and other third parties. This distinction follows Article 2 of the Covenant and the Committee's general approach to the duty to respect and ensure Covenant rights.</w:t>
      </w:r>
      <w:r w:rsidRPr="0084712B">
        <w:rPr>
          <w:rFonts w:ascii="Times New Roman" w:hAnsi="Times New Roman" w:cs="Times New Roman"/>
          <w:sz w:val="24"/>
          <w:szCs w:val="24"/>
          <w:vertAlign w:val="superscript"/>
        </w:rPr>
        <w:footnoteReference w:id="14"/>
      </w:r>
    </w:p>
    <w:p w14:paraId="00000020" w14:textId="77777777" w:rsidR="000B2F05" w:rsidRPr="0084712B" w:rsidRDefault="00000000" w:rsidP="0084712B">
      <w:pPr>
        <w:pStyle w:val="Heading2"/>
        <w:keepNext w:val="0"/>
        <w:keepLines w:val="0"/>
        <w:spacing w:before="160" w:after="80" w:line="240" w:lineRule="auto"/>
        <w:jc w:val="both"/>
        <w:rPr>
          <w:rFonts w:ascii="Times New Roman" w:hAnsi="Times New Roman" w:cs="Times New Roman"/>
          <w:b/>
          <w:bCs/>
          <w:color w:val="4F81BD"/>
          <w:sz w:val="24"/>
          <w:szCs w:val="24"/>
        </w:rPr>
      </w:pPr>
      <w:bookmarkStart w:id="10" w:name="_p3kgibn9d6e8" w:colFirst="0" w:colLast="0"/>
      <w:bookmarkEnd w:id="10"/>
      <w:r w:rsidRPr="0084712B">
        <w:rPr>
          <w:rFonts w:ascii="Times New Roman" w:hAnsi="Times New Roman" w:cs="Times New Roman"/>
          <w:b/>
          <w:bCs/>
          <w:color w:val="4F81BD"/>
          <w:sz w:val="24"/>
          <w:szCs w:val="24"/>
        </w:rPr>
        <w:t>Proposed language</w:t>
      </w:r>
    </w:p>
    <w:p w14:paraId="00000021" w14:textId="77777777" w:rsidR="000B2F05" w:rsidRPr="0084712B" w:rsidRDefault="00000000" w:rsidP="0084712B">
      <w:pPr>
        <w:spacing w:before="240" w:after="240" w:line="240" w:lineRule="auto"/>
        <w:jc w:val="both"/>
        <w:rPr>
          <w:rFonts w:ascii="Times New Roman" w:hAnsi="Times New Roman" w:cs="Times New Roman"/>
          <w:sz w:val="24"/>
          <w:szCs w:val="24"/>
          <w:highlight w:val="white"/>
        </w:rPr>
      </w:pPr>
      <w:r w:rsidRPr="0084712B">
        <w:rPr>
          <w:rFonts w:ascii="Times New Roman" w:hAnsi="Times New Roman" w:cs="Times New Roman"/>
          <w:sz w:val="24"/>
          <w:szCs w:val="24"/>
          <w:highlight w:val="white"/>
        </w:rPr>
        <w:t xml:space="preserve">Where the obligations of a </w:t>
      </w:r>
      <w:proofErr w:type="gramStart"/>
      <w:r w:rsidRPr="0084712B">
        <w:rPr>
          <w:rFonts w:ascii="Times New Roman" w:hAnsi="Times New Roman" w:cs="Times New Roman"/>
          <w:sz w:val="24"/>
          <w:szCs w:val="24"/>
          <w:highlight w:val="white"/>
        </w:rPr>
        <w:t>State</w:t>
      </w:r>
      <w:proofErr w:type="gramEnd"/>
      <w:r w:rsidRPr="0084712B">
        <w:rPr>
          <w:rFonts w:ascii="Times New Roman" w:hAnsi="Times New Roman" w:cs="Times New Roman"/>
          <w:sz w:val="24"/>
          <w:szCs w:val="24"/>
          <w:highlight w:val="white"/>
        </w:rPr>
        <w:t xml:space="preserve"> party are engaged under Article 2 of the Covenant, Article 22 protects the right to form, join, participate in and support associations across borders, including through exile, diaspora, online, offline and hybrid associations. The protection of Article 22 extends to persons who associate </w:t>
      </w:r>
      <w:proofErr w:type="gramStart"/>
      <w:r w:rsidRPr="0084712B">
        <w:rPr>
          <w:rFonts w:ascii="Times New Roman" w:hAnsi="Times New Roman" w:cs="Times New Roman"/>
          <w:sz w:val="24"/>
          <w:szCs w:val="24"/>
          <w:highlight w:val="white"/>
        </w:rPr>
        <w:t>in order to</w:t>
      </w:r>
      <w:proofErr w:type="gramEnd"/>
      <w:r w:rsidRPr="0084712B">
        <w:rPr>
          <w:rFonts w:ascii="Times New Roman" w:hAnsi="Times New Roman" w:cs="Times New Roman"/>
          <w:sz w:val="24"/>
          <w:szCs w:val="24"/>
          <w:highlight w:val="white"/>
        </w:rPr>
        <w:t xml:space="preserve"> </w:t>
      </w:r>
      <w:proofErr w:type="spellStart"/>
      <w:r w:rsidRPr="0084712B">
        <w:rPr>
          <w:rFonts w:ascii="Times New Roman" w:hAnsi="Times New Roman" w:cs="Times New Roman"/>
          <w:sz w:val="24"/>
          <w:szCs w:val="24"/>
          <w:highlight w:val="white"/>
        </w:rPr>
        <w:t>criticise</w:t>
      </w:r>
      <w:proofErr w:type="spellEnd"/>
      <w:r w:rsidRPr="0084712B">
        <w:rPr>
          <w:rFonts w:ascii="Times New Roman" w:hAnsi="Times New Roman" w:cs="Times New Roman"/>
          <w:sz w:val="24"/>
          <w:szCs w:val="24"/>
          <w:highlight w:val="white"/>
        </w:rPr>
        <w:t>, monitor, document, report on or advocate in relation to a State from outside that State’s territory. A State party must not interfere with such association through its agents or through persons or entities whose conduct is attributable to it, including persons or entities acting on its instructions or under its direction or control. States parties must also take reasonable and effective measures, within their territory or otherwise within their jurisdiction, to protect persons, associations and communities against foreseeable interference with Article 22 rights by foreign States, their proxies and other third parties.</w:t>
      </w:r>
    </w:p>
    <w:p w14:paraId="00000022" w14:textId="77777777" w:rsidR="000B2F05" w:rsidRPr="0084712B" w:rsidRDefault="00000000" w:rsidP="0084712B">
      <w:pPr>
        <w:pStyle w:val="Heading1"/>
        <w:keepNext w:val="0"/>
        <w:keepLines w:val="0"/>
        <w:spacing w:before="240" w:line="240" w:lineRule="auto"/>
        <w:jc w:val="both"/>
        <w:rPr>
          <w:rFonts w:ascii="Times New Roman" w:hAnsi="Times New Roman" w:cs="Times New Roman"/>
          <w:b/>
          <w:bCs/>
          <w:color w:val="365F91"/>
          <w:sz w:val="26"/>
          <w:szCs w:val="26"/>
        </w:rPr>
      </w:pPr>
      <w:bookmarkStart w:id="11" w:name="_56euywa6v5mr" w:colFirst="0" w:colLast="0"/>
      <w:bookmarkEnd w:id="11"/>
      <w:r w:rsidRPr="0084712B">
        <w:rPr>
          <w:rFonts w:ascii="Times New Roman" w:hAnsi="Times New Roman" w:cs="Times New Roman"/>
          <w:b/>
          <w:bCs/>
          <w:color w:val="365F91"/>
          <w:sz w:val="26"/>
          <w:szCs w:val="26"/>
        </w:rPr>
        <w:t>Paragraph 32</w:t>
      </w:r>
    </w:p>
    <w:p w14:paraId="00000023" w14:textId="77777777" w:rsidR="000B2F05" w:rsidRPr="0084712B" w:rsidRDefault="00000000" w:rsidP="0084712B">
      <w:pPr>
        <w:pStyle w:val="Heading2"/>
        <w:keepNext w:val="0"/>
        <w:keepLines w:val="0"/>
        <w:spacing w:before="160" w:after="80" w:line="240" w:lineRule="auto"/>
        <w:jc w:val="both"/>
        <w:rPr>
          <w:rFonts w:ascii="Times New Roman" w:hAnsi="Times New Roman" w:cs="Times New Roman"/>
          <w:b/>
          <w:bCs/>
          <w:color w:val="4F81BD"/>
          <w:sz w:val="24"/>
          <w:szCs w:val="24"/>
        </w:rPr>
      </w:pPr>
      <w:bookmarkStart w:id="12" w:name="_sn2y1jvxijqo" w:colFirst="0" w:colLast="0"/>
      <w:bookmarkEnd w:id="12"/>
      <w:r w:rsidRPr="0084712B">
        <w:rPr>
          <w:rFonts w:ascii="Times New Roman" w:hAnsi="Times New Roman" w:cs="Times New Roman"/>
          <w:b/>
          <w:bCs/>
          <w:color w:val="4F81BD"/>
          <w:sz w:val="24"/>
          <w:szCs w:val="24"/>
        </w:rPr>
        <w:lastRenderedPageBreak/>
        <w:t>Proposed revision</w:t>
      </w:r>
    </w:p>
    <w:p w14:paraId="00000024"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Paragraph 32 is welcome. Importantly, the draft affirms that negative obligations include refraining from suppression of targets abroad. The paragraph also identifies a wide range of techniques in a non-exhaustive manner. It should, however, refer expressly to “transnational repression”, replace the term “cyber-repressing” with more precise terminology, and mention methods of proxy punishment involving threats or actions against family members, representatives, colleagues or associates in the home country or a third State.</w:t>
      </w:r>
    </w:p>
    <w:p w14:paraId="00000025" w14:textId="77777777" w:rsidR="000B2F05" w:rsidRPr="0084712B" w:rsidRDefault="00000000" w:rsidP="0084712B">
      <w:pPr>
        <w:pStyle w:val="Heading2"/>
        <w:keepNext w:val="0"/>
        <w:keepLines w:val="0"/>
        <w:spacing w:before="160" w:after="80" w:line="240" w:lineRule="auto"/>
        <w:jc w:val="both"/>
        <w:rPr>
          <w:rFonts w:ascii="Times New Roman" w:hAnsi="Times New Roman" w:cs="Times New Roman"/>
          <w:b/>
          <w:bCs/>
          <w:color w:val="4F81BD"/>
          <w:sz w:val="24"/>
          <w:szCs w:val="24"/>
        </w:rPr>
      </w:pPr>
      <w:bookmarkStart w:id="13" w:name="_o70vutp3ts9t" w:colFirst="0" w:colLast="0"/>
      <w:bookmarkEnd w:id="13"/>
      <w:r w:rsidRPr="0084712B">
        <w:rPr>
          <w:rFonts w:ascii="Times New Roman" w:hAnsi="Times New Roman" w:cs="Times New Roman"/>
          <w:b/>
          <w:bCs/>
          <w:color w:val="4F81BD"/>
          <w:sz w:val="24"/>
          <w:szCs w:val="24"/>
        </w:rPr>
        <w:t>Rationale</w:t>
      </w:r>
    </w:p>
    <w:p w14:paraId="00000026"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Proxy punishment is not a collateral effect of transnational repression but one of its most common methods.</w:t>
      </w:r>
      <w:r w:rsidRPr="0084712B">
        <w:rPr>
          <w:rFonts w:ascii="Times New Roman" w:hAnsi="Times New Roman" w:cs="Times New Roman"/>
          <w:sz w:val="24"/>
          <w:szCs w:val="24"/>
          <w:vertAlign w:val="superscript"/>
        </w:rPr>
        <w:footnoteReference w:id="15"/>
      </w:r>
      <w:r w:rsidRPr="0084712B">
        <w:rPr>
          <w:rFonts w:ascii="Times New Roman" w:hAnsi="Times New Roman" w:cs="Times New Roman"/>
          <w:sz w:val="24"/>
          <w:szCs w:val="24"/>
        </w:rPr>
        <w:t xml:space="preserve"> Threats, reprisals and coercive measures against family members or associates can be used to silence a person abroad, deter them from associating, or punish them for work undertaken through diaspora </w:t>
      </w:r>
      <w:proofErr w:type="spellStart"/>
      <w:r w:rsidRPr="0084712B">
        <w:rPr>
          <w:rFonts w:ascii="Times New Roman" w:hAnsi="Times New Roman" w:cs="Times New Roman"/>
          <w:sz w:val="24"/>
          <w:szCs w:val="24"/>
        </w:rPr>
        <w:t>organisations</w:t>
      </w:r>
      <w:proofErr w:type="spellEnd"/>
      <w:r w:rsidRPr="0084712B">
        <w:rPr>
          <w:rFonts w:ascii="Times New Roman" w:hAnsi="Times New Roman" w:cs="Times New Roman"/>
          <w:sz w:val="24"/>
          <w:szCs w:val="24"/>
        </w:rPr>
        <w:t xml:space="preserve">, media outlets, human rights networks, trade unions, legal aid </w:t>
      </w:r>
      <w:proofErr w:type="spellStart"/>
      <w:r w:rsidRPr="0084712B">
        <w:rPr>
          <w:rFonts w:ascii="Times New Roman" w:hAnsi="Times New Roman" w:cs="Times New Roman"/>
          <w:sz w:val="24"/>
          <w:szCs w:val="24"/>
        </w:rPr>
        <w:t>organisations</w:t>
      </w:r>
      <w:proofErr w:type="spellEnd"/>
      <w:r w:rsidRPr="0084712B">
        <w:rPr>
          <w:rFonts w:ascii="Times New Roman" w:hAnsi="Times New Roman" w:cs="Times New Roman"/>
          <w:sz w:val="24"/>
          <w:szCs w:val="24"/>
        </w:rPr>
        <w:t xml:space="preserve"> or political groups. OHCHR and recent Human Rights Council language both support express reference to family members, representatives and associates in this context.</w:t>
      </w:r>
      <w:r w:rsidRPr="0084712B">
        <w:rPr>
          <w:rFonts w:ascii="Times New Roman" w:hAnsi="Times New Roman" w:cs="Times New Roman"/>
          <w:sz w:val="24"/>
          <w:szCs w:val="24"/>
          <w:vertAlign w:val="superscript"/>
        </w:rPr>
        <w:footnoteReference w:id="16"/>
      </w:r>
    </w:p>
    <w:p w14:paraId="00000027" w14:textId="77777777" w:rsidR="000B2F05" w:rsidRPr="0084712B" w:rsidRDefault="00000000" w:rsidP="0084712B">
      <w:pPr>
        <w:pStyle w:val="Heading2"/>
        <w:keepNext w:val="0"/>
        <w:keepLines w:val="0"/>
        <w:spacing w:before="160" w:after="80" w:line="240" w:lineRule="auto"/>
        <w:jc w:val="both"/>
        <w:rPr>
          <w:rFonts w:ascii="Times New Roman" w:hAnsi="Times New Roman" w:cs="Times New Roman"/>
          <w:b/>
          <w:bCs/>
          <w:color w:val="4F81BD"/>
          <w:sz w:val="24"/>
          <w:szCs w:val="24"/>
        </w:rPr>
      </w:pPr>
      <w:bookmarkStart w:id="14" w:name="_2omd93d7ln37" w:colFirst="0" w:colLast="0"/>
      <w:bookmarkEnd w:id="14"/>
      <w:r w:rsidRPr="0084712B">
        <w:rPr>
          <w:rFonts w:ascii="Times New Roman" w:hAnsi="Times New Roman" w:cs="Times New Roman"/>
          <w:b/>
          <w:bCs/>
          <w:color w:val="4F81BD"/>
          <w:sz w:val="24"/>
          <w:szCs w:val="24"/>
        </w:rPr>
        <w:t>Proposed language</w:t>
      </w:r>
    </w:p>
    <w:p w14:paraId="00000028" w14:textId="77777777" w:rsidR="000B2F05" w:rsidRPr="0084712B" w:rsidRDefault="00000000" w:rsidP="0084712B">
      <w:pPr>
        <w:spacing w:before="240" w:after="240" w:line="240" w:lineRule="auto"/>
        <w:jc w:val="both"/>
        <w:rPr>
          <w:rFonts w:ascii="Times New Roman" w:hAnsi="Times New Roman" w:cs="Times New Roman"/>
          <w:sz w:val="24"/>
          <w:szCs w:val="24"/>
          <w:highlight w:val="white"/>
        </w:rPr>
      </w:pPr>
      <w:r w:rsidRPr="0084712B">
        <w:rPr>
          <w:rFonts w:ascii="Times New Roman" w:hAnsi="Times New Roman" w:cs="Times New Roman"/>
          <w:sz w:val="24"/>
          <w:szCs w:val="24"/>
          <w:highlight w:val="white"/>
        </w:rPr>
        <w:t xml:space="preserve">As indicated above, in line with article 2 of the Covenant, the obligation to respect Covenant rights is not limited to a </w:t>
      </w:r>
      <w:proofErr w:type="gramStart"/>
      <w:r w:rsidRPr="0084712B">
        <w:rPr>
          <w:rFonts w:ascii="Times New Roman" w:hAnsi="Times New Roman" w:cs="Times New Roman"/>
          <w:sz w:val="24"/>
          <w:szCs w:val="24"/>
          <w:highlight w:val="white"/>
        </w:rPr>
        <w:t>State</w:t>
      </w:r>
      <w:proofErr w:type="gramEnd"/>
      <w:r w:rsidRPr="0084712B">
        <w:rPr>
          <w:rFonts w:ascii="Times New Roman" w:hAnsi="Times New Roman" w:cs="Times New Roman"/>
          <w:sz w:val="24"/>
          <w:szCs w:val="24"/>
          <w:highlight w:val="white"/>
        </w:rPr>
        <w:t xml:space="preserve"> party’s territory. Article 22 therefore prohibits a State party from engaging in transnational repression or other cross-border conduct against persons or associations abroad, including journalists, human rights defenders, environmental defenders, lawyers and legal aid </w:t>
      </w:r>
      <w:proofErr w:type="spellStart"/>
      <w:r w:rsidRPr="0084712B">
        <w:rPr>
          <w:rFonts w:ascii="Times New Roman" w:hAnsi="Times New Roman" w:cs="Times New Roman"/>
          <w:sz w:val="24"/>
          <w:szCs w:val="24"/>
          <w:highlight w:val="white"/>
        </w:rPr>
        <w:t>organisations</w:t>
      </w:r>
      <w:proofErr w:type="spellEnd"/>
      <w:r w:rsidRPr="0084712B">
        <w:rPr>
          <w:rFonts w:ascii="Times New Roman" w:hAnsi="Times New Roman" w:cs="Times New Roman"/>
          <w:sz w:val="24"/>
          <w:szCs w:val="24"/>
          <w:highlight w:val="white"/>
        </w:rPr>
        <w:t xml:space="preserve">, media workers, trade union members, academics, diaspora </w:t>
      </w:r>
      <w:proofErr w:type="spellStart"/>
      <w:r w:rsidRPr="0084712B">
        <w:rPr>
          <w:rFonts w:ascii="Times New Roman" w:hAnsi="Times New Roman" w:cs="Times New Roman"/>
          <w:sz w:val="24"/>
          <w:szCs w:val="24"/>
          <w:highlight w:val="white"/>
        </w:rPr>
        <w:t>organisations</w:t>
      </w:r>
      <w:proofErr w:type="spellEnd"/>
      <w:r w:rsidRPr="0084712B">
        <w:rPr>
          <w:rFonts w:ascii="Times New Roman" w:hAnsi="Times New Roman" w:cs="Times New Roman"/>
          <w:sz w:val="24"/>
          <w:szCs w:val="24"/>
          <w:highlight w:val="white"/>
        </w:rPr>
        <w:t xml:space="preserve"> and civil society actors, because of their actual, perceived or imputed associational activity, where the conduct is carried out by its agents or by persons or entities acting on its instructions or under its direction or control. States parties must also refrain from consenting to, acquiescing in, facilitating or otherwise supporting such conduct where this would engage their responsibility under the Covenant. Such conduct includes unlawful killing, torture, enforced disappearance, abduction, arbitrary arrest or detention, intimidation, harassment, threats, coercion, cyberattacks, unlawful digital surveillance, hacking, phishing, doxxing, spyware or malware deployment, coordinated smear campaigns, misuse of criminal, administrative, immigration or extradition processes, deprivation or threatened deprivation of nationality or travel documents, and any other act aimed at deterring, silencing or punishing the exercise of freedom of association. It also includes targeting, threatening, intimidating, coercing or punishing family members, representatives, colleagues, associates or others connected to the person or association, including those remaining in the State of origin or located in a third State.</w:t>
      </w:r>
    </w:p>
    <w:p w14:paraId="00000029" w14:textId="77777777" w:rsidR="000B2F05" w:rsidRPr="0084712B" w:rsidRDefault="00000000" w:rsidP="0084712B">
      <w:pPr>
        <w:pStyle w:val="Heading1"/>
        <w:keepNext w:val="0"/>
        <w:keepLines w:val="0"/>
        <w:spacing w:before="240" w:line="240" w:lineRule="auto"/>
        <w:jc w:val="both"/>
        <w:rPr>
          <w:rFonts w:ascii="Times New Roman" w:hAnsi="Times New Roman" w:cs="Times New Roman"/>
          <w:b/>
          <w:bCs/>
          <w:color w:val="365F91"/>
          <w:sz w:val="26"/>
          <w:szCs w:val="26"/>
        </w:rPr>
      </w:pPr>
      <w:bookmarkStart w:id="15" w:name="_8se5cgnmlpbi" w:colFirst="0" w:colLast="0"/>
      <w:bookmarkEnd w:id="15"/>
      <w:r w:rsidRPr="0084712B">
        <w:rPr>
          <w:rFonts w:ascii="Times New Roman" w:hAnsi="Times New Roman" w:cs="Times New Roman"/>
          <w:b/>
          <w:bCs/>
          <w:color w:val="365F91"/>
          <w:sz w:val="26"/>
          <w:szCs w:val="26"/>
        </w:rPr>
        <w:t>Paragraph 36</w:t>
      </w:r>
    </w:p>
    <w:p w14:paraId="0000002A" w14:textId="77777777" w:rsidR="000B2F05" w:rsidRPr="0084712B" w:rsidRDefault="00000000" w:rsidP="0084712B">
      <w:pPr>
        <w:pStyle w:val="Heading2"/>
        <w:keepNext w:val="0"/>
        <w:keepLines w:val="0"/>
        <w:spacing w:before="160" w:after="80" w:line="240" w:lineRule="auto"/>
        <w:jc w:val="both"/>
        <w:rPr>
          <w:rFonts w:ascii="Times New Roman" w:hAnsi="Times New Roman" w:cs="Times New Roman"/>
          <w:b/>
          <w:bCs/>
          <w:color w:val="4F81BD"/>
          <w:sz w:val="24"/>
          <w:szCs w:val="24"/>
        </w:rPr>
      </w:pPr>
      <w:bookmarkStart w:id="16" w:name="_levv3iviu36y" w:colFirst="0" w:colLast="0"/>
      <w:bookmarkEnd w:id="16"/>
      <w:r w:rsidRPr="0084712B">
        <w:rPr>
          <w:rFonts w:ascii="Times New Roman" w:hAnsi="Times New Roman" w:cs="Times New Roman"/>
          <w:b/>
          <w:bCs/>
          <w:color w:val="4F81BD"/>
          <w:sz w:val="24"/>
          <w:szCs w:val="24"/>
        </w:rPr>
        <w:t>Proposed revision</w:t>
      </w:r>
    </w:p>
    <w:p w14:paraId="0000002B"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 xml:space="preserve">Paragraph 36 should refer explicitly to transnational repression. It should also broaden the description of extraterritorial threats to freedom of association. The current focus on “individuals” and “violence” is too narrow. Acts of transnational repression may be directed at individuals, but their intended and actual effects are often collective. A threat to one exile, journalist, lawyer, </w:t>
      </w:r>
      <w:r w:rsidRPr="0084712B">
        <w:rPr>
          <w:rFonts w:ascii="Times New Roman" w:hAnsi="Times New Roman" w:cs="Times New Roman"/>
          <w:sz w:val="24"/>
          <w:szCs w:val="24"/>
        </w:rPr>
        <w:lastRenderedPageBreak/>
        <w:t xml:space="preserve">environmental defender, trade unionist or human rights defender may chill an entire diaspora </w:t>
      </w:r>
      <w:proofErr w:type="spellStart"/>
      <w:r w:rsidRPr="0084712B">
        <w:rPr>
          <w:rFonts w:ascii="Times New Roman" w:hAnsi="Times New Roman" w:cs="Times New Roman"/>
          <w:sz w:val="24"/>
          <w:szCs w:val="24"/>
        </w:rPr>
        <w:t>organisation</w:t>
      </w:r>
      <w:proofErr w:type="spellEnd"/>
      <w:r w:rsidRPr="0084712B">
        <w:rPr>
          <w:rFonts w:ascii="Times New Roman" w:hAnsi="Times New Roman" w:cs="Times New Roman"/>
          <w:sz w:val="24"/>
          <w:szCs w:val="24"/>
        </w:rPr>
        <w:t xml:space="preserve">, minority community, student group, professional network, media </w:t>
      </w:r>
      <w:proofErr w:type="spellStart"/>
      <w:r w:rsidRPr="0084712B">
        <w:rPr>
          <w:rFonts w:ascii="Times New Roman" w:hAnsi="Times New Roman" w:cs="Times New Roman"/>
          <w:sz w:val="24"/>
          <w:szCs w:val="24"/>
        </w:rPr>
        <w:t>organisation</w:t>
      </w:r>
      <w:proofErr w:type="spellEnd"/>
      <w:r w:rsidRPr="0084712B">
        <w:rPr>
          <w:rFonts w:ascii="Times New Roman" w:hAnsi="Times New Roman" w:cs="Times New Roman"/>
          <w:sz w:val="24"/>
          <w:szCs w:val="24"/>
        </w:rPr>
        <w:t xml:space="preserve"> or human rights group.</w:t>
      </w:r>
    </w:p>
    <w:p w14:paraId="0000002C" w14:textId="77777777" w:rsidR="000B2F05" w:rsidRPr="0084712B" w:rsidRDefault="00000000" w:rsidP="0084712B">
      <w:pPr>
        <w:pStyle w:val="Heading2"/>
        <w:keepNext w:val="0"/>
        <w:keepLines w:val="0"/>
        <w:spacing w:before="160" w:after="80" w:line="240" w:lineRule="auto"/>
        <w:jc w:val="both"/>
        <w:rPr>
          <w:rFonts w:ascii="Times New Roman" w:hAnsi="Times New Roman" w:cs="Times New Roman"/>
          <w:b/>
          <w:bCs/>
          <w:color w:val="4F81BD"/>
          <w:sz w:val="24"/>
          <w:szCs w:val="24"/>
        </w:rPr>
      </w:pPr>
      <w:bookmarkStart w:id="17" w:name="_3yat319lzpvr" w:colFirst="0" w:colLast="0"/>
      <w:bookmarkEnd w:id="17"/>
      <w:r w:rsidRPr="0084712B">
        <w:rPr>
          <w:rFonts w:ascii="Times New Roman" w:hAnsi="Times New Roman" w:cs="Times New Roman"/>
          <w:b/>
          <w:bCs/>
          <w:color w:val="4F81BD"/>
          <w:sz w:val="24"/>
          <w:szCs w:val="24"/>
        </w:rPr>
        <w:t>Rationale</w:t>
      </w:r>
    </w:p>
    <w:p w14:paraId="0000002D"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The negative obligations of States to refrain from transnational repression extend beyond refraining from harassment of individuals. The same breadth should inform paragraph 36. Relevant tactics include threats, intimidation, proxy punishment, digital surveillance, spyware, cyberattacks, misuse of legal and administrative processes, deprivation of travel documents, smear campaigns and other practices that produce a chilling effect on association. Positive obligations therefore extend beyond protecting and supporting those who already choose to associate. They also require State parties to ensure that broader communities benefit from an enabling environment in which they can freely choose to associate.</w:t>
      </w:r>
    </w:p>
    <w:p w14:paraId="0000002E" w14:textId="77777777" w:rsidR="000B2F05" w:rsidRPr="0084712B" w:rsidRDefault="00000000" w:rsidP="0084712B">
      <w:pPr>
        <w:pStyle w:val="Heading2"/>
        <w:keepNext w:val="0"/>
        <w:keepLines w:val="0"/>
        <w:spacing w:before="160" w:after="80" w:line="240" w:lineRule="auto"/>
        <w:jc w:val="both"/>
        <w:rPr>
          <w:rFonts w:ascii="Times New Roman" w:hAnsi="Times New Roman" w:cs="Times New Roman"/>
          <w:b/>
          <w:bCs/>
          <w:color w:val="4F81BD"/>
          <w:sz w:val="24"/>
          <w:szCs w:val="24"/>
        </w:rPr>
      </w:pPr>
      <w:bookmarkStart w:id="18" w:name="_g1usm7rgfsvx" w:colFirst="0" w:colLast="0"/>
      <w:bookmarkEnd w:id="18"/>
      <w:r w:rsidRPr="0084712B">
        <w:rPr>
          <w:rFonts w:ascii="Times New Roman" w:hAnsi="Times New Roman" w:cs="Times New Roman"/>
          <w:b/>
          <w:bCs/>
          <w:color w:val="4F81BD"/>
          <w:sz w:val="24"/>
          <w:szCs w:val="24"/>
        </w:rPr>
        <w:t>Proposed language</w:t>
      </w:r>
    </w:p>
    <w:p w14:paraId="0000002F" w14:textId="77777777" w:rsidR="000B2F05" w:rsidRPr="0084712B" w:rsidRDefault="00000000" w:rsidP="0084712B">
      <w:pPr>
        <w:spacing w:before="240" w:after="240" w:line="240" w:lineRule="auto"/>
        <w:jc w:val="both"/>
        <w:rPr>
          <w:rFonts w:ascii="Times New Roman" w:hAnsi="Times New Roman" w:cs="Times New Roman"/>
          <w:sz w:val="24"/>
          <w:szCs w:val="24"/>
          <w:highlight w:val="white"/>
        </w:rPr>
      </w:pPr>
      <w:r w:rsidRPr="0084712B">
        <w:rPr>
          <w:rFonts w:ascii="Times New Roman" w:hAnsi="Times New Roman" w:cs="Times New Roman"/>
          <w:sz w:val="24"/>
          <w:szCs w:val="24"/>
          <w:highlight w:val="white"/>
        </w:rPr>
        <w:t>States parties must exercise due diligence to take reasonable and effective measures to protect individuals, associations and communities within their territory or otherwise subject to their jurisdiction from acts by foreign States, their agents or proxies, and other third parties that interfere with the exercise of Article 22 rights. This duty includes protection against transnational repression. Protective measures must be capable of addressing physical, digital, legal, administrative, financial, familial and reputational methods of intimidation or coercion, including threats, surveillance, cyberattacks, misuse of legal or administrative processes, smear campaigns, and reprisals against family members, representatives, colleagues or associates. States parties should take reasonable measures to prevent, investigate, prosecute or otherwise pursue accountability where possible, and remedy such acts, and to ensure that affected persons, associations and communities can exercise freedom of association without fear.</w:t>
      </w:r>
    </w:p>
    <w:p w14:paraId="00000030" w14:textId="77777777" w:rsidR="000B2F05" w:rsidRPr="0084712B" w:rsidRDefault="00000000" w:rsidP="0084712B">
      <w:pPr>
        <w:pStyle w:val="Heading1"/>
        <w:keepNext w:val="0"/>
        <w:keepLines w:val="0"/>
        <w:spacing w:before="240" w:line="240" w:lineRule="auto"/>
        <w:jc w:val="both"/>
        <w:rPr>
          <w:rFonts w:ascii="Times New Roman" w:hAnsi="Times New Roman" w:cs="Times New Roman"/>
          <w:b/>
          <w:bCs/>
          <w:color w:val="365F91"/>
          <w:sz w:val="26"/>
          <w:szCs w:val="26"/>
        </w:rPr>
      </w:pPr>
      <w:bookmarkStart w:id="19" w:name="_734yy7t842w" w:colFirst="0" w:colLast="0"/>
      <w:bookmarkEnd w:id="19"/>
      <w:r w:rsidRPr="0084712B">
        <w:rPr>
          <w:rFonts w:ascii="Times New Roman" w:hAnsi="Times New Roman" w:cs="Times New Roman"/>
          <w:b/>
          <w:bCs/>
          <w:color w:val="365F91"/>
          <w:sz w:val="26"/>
          <w:szCs w:val="26"/>
        </w:rPr>
        <w:t>New paragraph after paragraphs 39 to 40 - Protection beyond formal legal remedy</w:t>
      </w:r>
    </w:p>
    <w:p w14:paraId="00000031" w14:textId="77777777" w:rsidR="000B2F05" w:rsidRPr="0084712B" w:rsidRDefault="00000000" w:rsidP="0084712B">
      <w:pPr>
        <w:pStyle w:val="Heading2"/>
        <w:keepNext w:val="0"/>
        <w:keepLines w:val="0"/>
        <w:spacing w:before="160" w:after="80" w:line="240" w:lineRule="auto"/>
        <w:jc w:val="both"/>
        <w:rPr>
          <w:rFonts w:ascii="Times New Roman" w:hAnsi="Times New Roman" w:cs="Times New Roman"/>
          <w:b/>
          <w:bCs/>
          <w:color w:val="4F81BD"/>
          <w:sz w:val="24"/>
          <w:szCs w:val="24"/>
        </w:rPr>
      </w:pPr>
      <w:bookmarkStart w:id="20" w:name="_9a50cd52mc3i" w:colFirst="0" w:colLast="0"/>
      <w:bookmarkEnd w:id="20"/>
      <w:r w:rsidRPr="0084712B">
        <w:rPr>
          <w:rFonts w:ascii="Times New Roman" w:hAnsi="Times New Roman" w:cs="Times New Roman"/>
          <w:b/>
          <w:bCs/>
          <w:color w:val="4F81BD"/>
          <w:sz w:val="24"/>
          <w:szCs w:val="24"/>
        </w:rPr>
        <w:t>Proposed revision</w:t>
      </w:r>
    </w:p>
    <w:p w14:paraId="00000032"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 xml:space="preserve">The General Comment should include a new paragraph on positive obligations to prevent transnational violations of Covenant rights beyond the availability of a legal remedy. Violations of Covenant rights, including freedom of association, may be generated by acts originating beyond the jurisdiction of the State in which they take effect, which frequently makes ordinary legal remedies impractical, unsafe or incomplete. Targets may find legal proceedings </w:t>
      </w:r>
      <w:proofErr w:type="spellStart"/>
      <w:r w:rsidRPr="0084712B">
        <w:rPr>
          <w:rFonts w:ascii="Times New Roman" w:hAnsi="Times New Roman" w:cs="Times New Roman"/>
          <w:sz w:val="24"/>
          <w:szCs w:val="24"/>
        </w:rPr>
        <w:t>retraumatising</w:t>
      </w:r>
      <w:proofErr w:type="spellEnd"/>
      <w:r w:rsidRPr="0084712B">
        <w:rPr>
          <w:rFonts w:ascii="Times New Roman" w:hAnsi="Times New Roman" w:cs="Times New Roman"/>
          <w:sz w:val="24"/>
          <w:szCs w:val="24"/>
        </w:rPr>
        <w:t>, may fear authorities, or may be unable to disclose information without exposing family members, representatives or associates to further risk. This is particularly acute where the target is a refugee, asylum seeker, migrant worker, student or person with insecure immigration status.</w:t>
      </w:r>
    </w:p>
    <w:p w14:paraId="00000033" w14:textId="77777777" w:rsidR="000B2F05" w:rsidRPr="0084712B" w:rsidRDefault="00000000" w:rsidP="0084712B">
      <w:pPr>
        <w:pStyle w:val="Heading2"/>
        <w:keepNext w:val="0"/>
        <w:keepLines w:val="0"/>
        <w:spacing w:before="160" w:after="80" w:line="240" w:lineRule="auto"/>
        <w:jc w:val="both"/>
        <w:rPr>
          <w:rFonts w:ascii="Times New Roman" w:hAnsi="Times New Roman" w:cs="Times New Roman"/>
          <w:b/>
          <w:bCs/>
          <w:color w:val="4F81BD"/>
          <w:sz w:val="24"/>
          <w:szCs w:val="24"/>
        </w:rPr>
      </w:pPr>
      <w:bookmarkStart w:id="21" w:name="_dnlclkuhvccg" w:colFirst="0" w:colLast="0"/>
      <w:bookmarkEnd w:id="21"/>
      <w:r w:rsidRPr="0084712B">
        <w:rPr>
          <w:rFonts w:ascii="Times New Roman" w:hAnsi="Times New Roman" w:cs="Times New Roman"/>
          <w:b/>
          <w:bCs/>
          <w:color w:val="4F81BD"/>
          <w:sz w:val="24"/>
          <w:szCs w:val="24"/>
        </w:rPr>
        <w:t>Rationale</w:t>
      </w:r>
    </w:p>
    <w:p w14:paraId="00000034"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 xml:space="preserve">At an absolute minimum, to fulfil their obligations, States parties must provide an accessible, secure and trauma-informed contact point for those targeted extraterritorially to lodge complaints and receive advice. OHCHR's 2025 Civic Space Brief </w:t>
      </w:r>
      <w:proofErr w:type="spellStart"/>
      <w:r w:rsidRPr="0084712B">
        <w:rPr>
          <w:rFonts w:ascii="Times New Roman" w:hAnsi="Times New Roman" w:cs="Times New Roman"/>
          <w:sz w:val="24"/>
          <w:szCs w:val="24"/>
        </w:rPr>
        <w:t>emphasises</w:t>
      </w:r>
      <w:proofErr w:type="spellEnd"/>
      <w:r w:rsidRPr="0084712B">
        <w:rPr>
          <w:rFonts w:ascii="Times New Roman" w:hAnsi="Times New Roman" w:cs="Times New Roman"/>
          <w:sz w:val="24"/>
          <w:szCs w:val="24"/>
        </w:rPr>
        <w:t xml:space="preserve"> holistic protection, confidential referral pathways, documentation, training, an in-government focal point, investigations and effective remedies.</w:t>
      </w:r>
      <w:r w:rsidRPr="0084712B">
        <w:rPr>
          <w:rFonts w:ascii="Times New Roman" w:hAnsi="Times New Roman" w:cs="Times New Roman"/>
          <w:sz w:val="24"/>
          <w:szCs w:val="24"/>
          <w:vertAlign w:val="superscript"/>
        </w:rPr>
        <w:footnoteReference w:id="17"/>
      </w:r>
      <w:r w:rsidRPr="0084712B">
        <w:rPr>
          <w:rFonts w:ascii="Times New Roman" w:hAnsi="Times New Roman" w:cs="Times New Roman"/>
          <w:sz w:val="24"/>
          <w:szCs w:val="24"/>
        </w:rPr>
        <w:t xml:space="preserve"> The United Kingdom Joint Committee on Human Rights has also </w:t>
      </w:r>
      <w:r w:rsidRPr="0084712B">
        <w:rPr>
          <w:rFonts w:ascii="Times New Roman" w:hAnsi="Times New Roman" w:cs="Times New Roman"/>
          <w:sz w:val="24"/>
          <w:szCs w:val="24"/>
        </w:rPr>
        <w:lastRenderedPageBreak/>
        <w:t>recommended a clearer strategy, proactive outreach, police training, data collection and a dedicated reporting line for transnational repression.</w:t>
      </w:r>
      <w:r w:rsidRPr="0084712B">
        <w:rPr>
          <w:rFonts w:ascii="Times New Roman" w:hAnsi="Times New Roman" w:cs="Times New Roman"/>
          <w:sz w:val="24"/>
          <w:szCs w:val="24"/>
          <w:vertAlign w:val="superscript"/>
        </w:rPr>
        <w:footnoteReference w:id="18"/>
      </w:r>
    </w:p>
    <w:p w14:paraId="00000035"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 xml:space="preserve">It is submitted that </w:t>
      </w:r>
      <w:proofErr w:type="gramStart"/>
      <w:r w:rsidRPr="0084712B">
        <w:rPr>
          <w:rFonts w:ascii="Times New Roman" w:hAnsi="Times New Roman" w:cs="Times New Roman"/>
          <w:sz w:val="24"/>
          <w:szCs w:val="24"/>
        </w:rPr>
        <w:t>in order to</w:t>
      </w:r>
      <w:proofErr w:type="gramEnd"/>
      <w:r w:rsidRPr="0084712B">
        <w:rPr>
          <w:rFonts w:ascii="Times New Roman" w:hAnsi="Times New Roman" w:cs="Times New Roman"/>
          <w:sz w:val="24"/>
          <w:szCs w:val="24"/>
        </w:rPr>
        <w:t xml:space="preserve"> ensure such protection in practice, the Committee should require that States parties establish or designate an adequately resourced mechanism capable of performing the required protective functions under the Covenant. One appropriate model is a Transnational Rights Protection Office, either within or in parallel to an existing national human rights institution. Any such model should respect institutional independence, pluralism, accessibility and adequate resourcing, consistent with the Paris Principles.</w:t>
      </w:r>
      <w:r w:rsidRPr="0084712B">
        <w:rPr>
          <w:rFonts w:ascii="Times New Roman" w:hAnsi="Times New Roman" w:cs="Times New Roman"/>
          <w:sz w:val="24"/>
          <w:szCs w:val="24"/>
          <w:vertAlign w:val="superscript"/>
        </w:rPr>
        <w:footnoteReference w:id="19"/>
      </w:r>
    </w:p>
    <w:p w14:paraId="00000036"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Any such structure should satisfy at least five criteria: It should provide an accessible, secure, independent and trauma-informed contact point for targets to report rights violations originating beyond the State's jurisdiction and receive advice and support. It should monitor and report on the occurrence of such transnational infringements against freedom of association and other Covenant rights. It should support individuals, communities and vulnerable family members to access legal assistance and potential avenues of redress. It should advise the State on policy development and the avoidance of complicity in transnational repression. It should liaise internationally on best practices.</w:t>
      </w:r>
    </w:p>
    <w:p w14:paraId="00000037" w14:textId="77777777" w:rsidR="000B2F05" w:rsidRPr="0084712B" w:rsidRDefault="00000000" w:rsidP="0084712B">
      <w:pPr>
        <w:spacing w:after="120" w:line="240" w:lineRule="auto"/>
        <w:jc w:val="both"/>
        <w:rPr>
          <w:rFonts w:ascii="Times New Roman" w:hAnsi="Times New Roman" w:cs="Times New Roman"/>
          <w:sz w:val="24"/>
          <w:szCs w:val="24"/>
        </w:rPr>
      </w:pPr>
      <w:r w:rsidRPr="0084712B">
        <w:rPr>
          <w:rFonts w:ascii="Times New Roman" w:hAnsi="Times New Roman" w:cs="Times New Roman"/>
          <w:sz w:val="24"/>
          <w:szCs w:val="24"/>
        </w:rPr>
        <w:t xml:space="preserve">The mechanism must be provided with core resources to enable its work. Aside from trained staff and researchers, it will require police and court liaison, an avenue for diplomatic engagement, and close ties with NGOs, community </w:t>
      </w:r>
      <w:proofErr w:type="spellStart"/>
      <w:r w:rsidRPr="0084712B">
        <w:rPr>
          <w:rFonts w:ascii="Times New Roman" w:hAnsi="Times New Roman" w:cs="Times New Roman"/>
          <w:sz w:val="24"/>
          <w:szCs w:val="24"/>
        </w:rPr>
        <w:t>organisations</w:t>
      </w:r>
      <w:proofErr w:type="spellEnd"/>
      <w:r w:rsidRPr="0084712B">
        <w:rPr>
          <w:rFonts w:ascii="Times New Roman" w:hAnsi="Times New Roman" w:cs="Times New Roman"/>
          <w:sz w:val="24"/>
          <w:szCs w:val="24"/>
        </w:rPr>
        <w:t>, journalists, scholars and other groups likely to be affected. Because such a mechanism would gather sensitive case data, it would be a likely target for cyberattacks and in-person infiltration by powerful repressive actors. Cybersecurity, confidentiality, personnel vetting and secure communications infrastructure therefore require significant and continuing attention. Public messaging should make the mechanism's confidentiality and information security safeguards clear, because trust and confidence are preconditions for meaningful access by at-risk individuals and communities.</w:t>
      </w:r>
    </w:p>
    <w:p w14:paraId="00000038" w14:textId="77777777" w:rsidR="000B2F05" w:rsidRPr="0084712B" w:rsidRDefault="00000000" w:rsidP="0084712B">
      <w:pPr>
        <w:pStyle w:val="Heading2"/>
        <w:keepNext w:val="0"/>
        <w:keepLines w:val="0"/>
        <w:spacing w:before="160" w:after="80" w:line="240" w:lineRule="auto"/>
        <w:jc w:val="both"/>
        <w:rPr>
          <w:rFonts w:ascii="Times New Roman" w:hAnsi="Times New Roman" w:cs="Times New Roman"/>
          <w:b/>
          <w:bCs/>
          <w:color w:val="4F81BD"/>
          <w:sz w:val="24"/>
          <w:szCs w:val="24"/>
        </w:rPr>
      </w:pPr>
      <w:bookmarkStart w:id="22" w:name="_nvr409nv3nlf" w:colFirst="0" w:colLast="0"/>
      <w:bookmarkEnd w:id="22"/>
      <w:r w:rsidRPr="0084712B">
        <w:rPr>
          <w:rFonts w:ascii="Times New Roman" w:hAnsi="Times New Roman" w:cs="Times New Roman"/>
          <w:b/>
          <w:bCs/>
          <w:color w:val="4F81BD"/>
          <w:sz w:val="24"/>
          <w:szCs w:val="24"/>
        </w:rPr>
        <w:t>Proposed language for new paragraph</w:t>
      </w:r>
    </w:p>
    <w:p w14:paraId="00000039" w14:textId="77777777" w:rsidR="000B2F05" w:rsidRPr="0084712B" w:rsidRDefault="00000000" w:rsidP="0084712B">
      <w:pPr>
        <w:spacing w:before="80" w:after="160" w:line="240" w:lineRule="auto"/>
        <w:ind w:right="220"/>
        <w:jc w:val="both"/>
        <w:rPr>
          <w:rFonts w:ascii="Times New Roman" w:hAnsi="Times New Roman" w:cs="Times New Roman"/>
          <w:b/>
          <w:bCs/>
          <w:sz w:val="20"/>
          <w:szCs w:val="20"/>
        </w:rPr>
      </w:pPr>
      <w:r w:rsidRPr="0084712B">
        <w:rPr>
          <w:rFonts w:ascii="Times New Roman" w:hAnsi="Times New Roman" w:cs="Times New Roman"/>
          <w:sz w:val="24"/>
          <w:szCs w:val="24"/>
          <w:highlight w:val="white"/>
        </w:rPr>
        <w:t>States parties must ensure, where interferences with Article 22 arise from transnational repression or other acts beyond the State’s jurisdiction, protection, complaint and remedy mechanisms are accessible, secure, confidential, victim-</w:t>
      </w:r>
      <w:proofErr w:type="spellStart"/>
      <w:r w:rsidRPr="0084712B">
        <w:rPr>
          <w:rFonts w:ascii="Times New Roman" w:hAnsi="Times New Roman" w:cs="Times New Roman"/>
          <w:sz w:val="24"/>
          <w:szCs w:val="24"/>
          <w:highlight w:val="white"/>
        </w:rPr>
        <w:t>centred</w:t>
      </w:r>
      <w:proofErr w:type="spellEnd"/>
      <w:r w:rsidRPr="0084712B">
        <w:rPr>
          <w:rFonts w:ascii="Times New Roman" w:hAnsi="Times New Roman" w:cs="Times New Roman"/>
          <w:sz w:val="24"/>
          <w:szCs w:val="24"/>
          <w:highlight w:val="white"/>
        </w:rPr>
        <w:t>, trauma-informed, gender-responsive and adapted to the cross-border and digital nature of the harm. To this end, States parties should establish or designate an adequately resourced, independent focal point or mechanism, which may be located within a national human rights institution or similar competent body, to receive confidential reports, provide advice and referrals, coordinate with law enforcement, prosecutorial, asylum, diplomatic and other competent authorities, monitor patterns, support access to legal, psychosocial and digital security assistance, and advise public authorities on avoiding complicity in transnational repression. Complaint and support pathways should ensure targets of such violations are not required to expose themselves, their family members, representatives or associates to further risk.</w:t>
      </w:r>
    </w:p>
    <w:sectPr w:rsidR="000B2F05" w:rsidRPr="0084712B">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CDDBDF" w14:textId="77777777" w:rsidR="00196A67" w:rsidRDefault="00196A67">
      <w:pPr>
        <w:spacing w:line="240" w:lineRule="auto"/>
      </w:pPr>
      <w:r>
        <w:separator/>
      </w:r>
    </w:p>
  </w:endnote>
  <w:endnote w:type="continuationSeparator" w:id="0">
    <w:p w14:paraId="2B2E8B63" w14:textId="77777777" w:rsidR="00196A67" w:rsidRDefault="00196A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087C8E3-DEBF-AF4D-AED4-FED3AF4671B1}"/>
    <w:embedBold r:id="rId2" w:fontKey="{4292B674-7BD7-7740-AD0D-583E610D4A03}"/>
  </w:font>
  <w:font w:name="Arial">
    <w:panose1 w:val="020B0604020202020204"/>
    <w:charset w:val="00"/>
    <w:family w:val="swiss"/>
    <w:pitch w:val="variable"/>
    <w:sig w:usb0="E0002EFF" w:usb1="C000785B" w:usb2="00000009" w:usb3="00000000" w:csb0="000001FF" w:csb1="00000000"/>
    <w:embedRegular r:id="rId3" w:fontKey="{CE493FEB-2D3A-4E43-8127-2A6165583CD4}"/>
    <w:embedBold r:id="rId4" w:fontKey="{3DC2882F-853D-864F-A5A5-951AB0B04E67}"/>
    <w:embedItalic r:id="rId5" w:fontKey="{9869EEE4-8E1F-594D-BA8F-AB6160188942}"/>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6" w:fontKey="{B97E549D-F7BA-7D44-A4D3-138F7248A6AF}"/>
  </w:font>
  <w:font w:name="Cambria">
    <w:panose1 w:val="02040503050406030204"/>
    <w:charset w:val="00"/>
    <w:family w:val="roman"/>
    <w:pitch w:val="variable"/>
    <w:sig w:usb0="E00002FF" w:usb1="400004FF" w:usb2="00000000" w:usb3="00000000" w:csb0="0000019F" w:csb1="00000000"/>
    <w:embedRegular r:id="rId7" w:fontKey="{8432B482-2F4D-A64D-A183-EFB08334BE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3A" w14:textId="5DCC88F1" w:rsidR="000B2F05" w:rsidRDefault="00000000">
    <w:pPr>
      <w:jc w:val="right"/>
    </w:pPr>
    <w:r>
      <w:fldChar w:fldCharType="begin"/>
    </w:r>
    <w:r>
      <w:instrText>PAGE</w:instrText>
    </w:r>
    <w:r>
      <w:fldChar w:fldCharType="separate"/>
    </w:r>
    <w:r w:rsidR="0084712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B88F11" w14:textId="77777777" w:rsidR="00196A67" w:rsidRDefault="00196A67">
      <w:pPr>
        <w:spacing w:line="240" w:lineRule="auto"/>
      </w:pPr>
      <w:r>
        <w:separator/>
      </w:r>
    </w:p>
  </w:footnote>
  <w:footnote w:type="continuationSeparator" w:id="0">
    <w:p w14:paraId="1FC97CB5" w14:textId="77777777" w:rsidR="00196A67" w:rsidRDefault="00196A67">
      <w:pPr>
        <w:spacing w:line="240" w:lineRule="auto"/>
      </w:pPr>
      <w:r>
        <w:continuationSeparator/>
      </w:r>
    </w:p>
  </w:footnote>
  <w:footnote w:id="1">
    <w:p w14:paraId="0000003B"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OHCHR, Civic Space Brief: Transnational Repression (18 June 2025) &lt;https://www.ohchr.org/sites/default/files/documents/publications/transnational-repression-1-en.pdf&gt; accessed 8 July 2026, 1. The brief notes that there is no official definition of the </w:t>
      </w:r>
      <w:proofErr w:type="gramStart"/>
      <w:r w:rsidRPr="0084712B">
        <w:rPr>
          <w:rFonts w:ascii="Times New Roman" w:hAnsi="Times New Roman" w:cs="Times New Roman"/>
          <w:sz w:val="20"/>
          <w:szCs w:val="20"/>
        </w:rPr>
        <w:t>term, but</w:t>
      </w:r>
      <w:proofErr w:type="gramEnd"/>
      <w:r w:rsidRPr="0084712B">
        <w:rPr>
          <w:rFonts w:ascii="Times New Roman" w:hAnsi="Times New Roman" w:cs="Times New Roman"/>
          <w:sz w:val="20"/>
          <w:szCs w:val="20"/>
        </w:rPr>
        <w:t xml:space="preserve"> describes transnational repression as acts conducted or directed by a State, or its proxy, to deter, silence or punish dissent, criticism or human rights advocacy towards it, expressed from outside its territory.</w:t>
      </w:r>
    </w:p>
  </w:footnote>
  <w:footnote w:id="2">
    <w:p w14:paraId="0000003C"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Christina Meinecke, UN Human Rights Regional Representative for Europe, 'Transnational repression: mapping trends and improving responses' (European Parliament, 4 December 2025) &lt;https://europe.ohchr.org/resources/speeches/transnational-repression-mapping-trends-and-improving&gt; accessed 8 July 2026.</w:t>
      </w:r>
    </w:p>
  </w:footnote>
  <w:footnote w:id="3">
    <w:p w14:paraId="0000003D"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Special Rapporteur on the promotion and protection of the right to freedom of opinion and expression, Journalists in exile, UN Doc A/HRC/56/53 (26 April 2024).</w:t>
      </w:r>
    </w:p>
  </w:footnote>
  <w:footnote w:id="4">
    <w:p w14:paraId="0000003E"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Human Rights Council, 'Human rights defenders and new and emerging technologies: protecting human rights defenders, including women human rights defenders, in the digital age' (4 April 2025) UN Doc A/HRC/RES/58/23, preamble.</w:t>
      </w:r>
    </w:p>
  </w:footnote>
  <w:footnote w:id="5">
    <w:p w14:paraId="0000003F"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Human Rights Council, 'Civil society space' (7 July 2025) UN Doc A/HRC/RES/59/10, preamble.</w:t>
      </w:r>
    </w:p>
  </w:footnote>
  <w:footnote w:id="6">
    <w:p w14:paraId="00000040"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Human Rights Council, 'The safety of journalists' (7 July 2025) UN Doc A/HRC/RES/59/15, preamble.</w:t>
      </w:r>
    </w:p>
  </w:footnote>
  <w:footnote w:id="7">
    <w:p w14:paraId="00000041"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Parliamentary Assembly of the Council of Europe, Resolution 2509 (2023), Transnational repression as a growing threat to the rule of law and human rights (23 June 2023) paras 1.1-1.4.</w:t>
      </w:r>
    </w:p>
  </w:footnote>
  <w:footnote w:id="8">
    <w:p w14:paraId="00000042"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European Parliament, resolution of 13 November 2025 on addressing transnational repression of human rights defenders (2025/2048(INI)); European Parliament Directorate-General for External Policies, Transnational repression of human rights defenders: the impacts on civic space and the responsibility of host states (Study PE 754.475, June 2025).</w:t>
      </w:r>
    </w:p>
  </w:footnote>
  <w:footnote w:id="9">
    <w:p w14:paraId="00000043"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G7 Leaders, 'G7 Leaders' Statement on Transnational Repression' (Kananaskis, 17 June 2025); Public Safety Canada, 'G7 Compendium of Tools to Counter Transnational Repression' (23 November 2025) &lt;https://www.publicsafety.gc.ca/cnt/ntnl-scrt/g7/imm-cmpndm-2025-en.aspx&gt; accessed 8 July 2026.</w:t>
      </w:r>
    </w:p>
  </w:footnote>
  <w:footnote w:id="10">
    <w:p w14:paraId="00000044"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Joint Committee on Human Rights, Transnational repression in the UK (Seventh Report of Session 2024-25, HC 681, HL Paper 160, 30 July 2025) &lt;https://publications.parliament.uk/pa/jt5901/jtselect/jtrights/681/report.html&gt; accessed 8 July 2026.</w:t>
      </w:r>
    </w:p>
  </w:footnote>
  <w:footnote w:id="11">
    <w:p w14:paraId="0000004D"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Siena Anstis and Sophie Barnett, ‘Digital Transnational Repression and Host States’ Obligations to Protect Against Human Rights Abuses’ [2022] JHRP.</w:t>
      </w:r>
    </w:p>
  </w:footnote>
  <w:footnote w:id="12">
    <w:p w14:paraId="0000004C"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OSCE Office for Democratic Institutions and Human Rights, </w:t>
      </w:r>
      <w:proofErr w:type="gramStart"/>
      <w:r w:rsidRPr="0084712B">
        <w:rPr>
          <w:rFonts w:ascii="Times New Roman" w:hAnsi="Times New Roman" w:cs="Times New Roman"/>
          <w:sz w:val="20"/>
          <w:szCs w:val="20"/>
        </w:rPr>
        <w:t>Note</w:t>
      </w:r>
      <w:proofErr w:type="gramEnd"/>
      <w:r w:rsidRPr="0084712B">
        <w:rPr>
          <w:rFonts w:ascii="Times New Roman" w:hAnsi="Times New Roman" w:cs="Times New Roman"/>
          <w:sz w:val="20"/>
          <w:szCs w:val="20"/>
        </w:rPr>
        <w:t xml:space="preserve"> on the Draft CCPR General Comment No. 38 on Article 22 of the ICCPR (Right to Freedom of Association) (22 June 2026) &lt;https://odihr.osce.org/odihr/665953&gt; accessed 8 July 2026.</w:t>
      </w:r>
    </w:p>
  </w:footnote>
  <w:footnote w:id="13">
    <w:p w14:paraId="00000047"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Moss and Furstenberg, ‘Introduction: Transnational Repression as a Growing Global Threat’ in Moss and Furstenberg (eds.) 2; Andrew Chubb and Kirsten Roberts Lyer, ‘Transnational Human Rights Violations: Addressing the Evolution of Globalized Repression Through National Human Rights Institutions’ [2024] JHRP 16.</w:t>
      </w:r>
    </w:p>
  </w:footnote>
  <w:footnote w:id="14">
    <w:p w14:paraId="00000045"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Human Rights Committee, General Comment No 31, The Nature of the General Legal Obligation Imposed on States Parties to the Covenant, UN Doc CCPR/C/21/Rev.1/Add.13 (26 May 2004) paras 8, 10.</w:t>
      </w:r>
    </w:p>
  </w:footnote>
  <w:footnote w:id="15">
    <w:p w14:paraId="00000046"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OHCHR, Civic Space Brief: Transnational Repression (n 1).</w:t>
      </w:r>
    </w:p>
  </w:footnote>
  <w:footnote w:id="16">
    <w:p w14:paraId="00000048"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Human Rights Council, The safety of journalists (n 6).</w:t>
      </w:r>
    </w:p>
  </w:footnote>
  <w:footnote w:id="17">
    <w:p w14:paraId="00000049"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OHCHR, Civic Space Brief: Transnational Repression (n 1).</w:t>
      </w:r>
    </w:p>
  </w:footnote>
  <w:footnote w:id="18">
    <w:p w14:paraId="0000004A"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Joint Committee on Human Rights, Transnational repression in the UK (n 10).</w:t>
      </w:r>
    </w:p>
  </w:footnote>
  <w:footnote w:id="19">
    <w:p w14:paraId="0000004B" w14:textId="77777777" w:rsidR="000B2F05" w:rsidRPr="0084712B" w:rsidRDefault="00000000">
      <w:pPr>
        <w:spacing w:line="240" w:lineRule="auto"/>
        <w:rPr>
          <w:rFonts w:ascii="Times New Roman" w:hAnsi="Times New Roman" w:cs="Times New Roman"/>
          <w:sz w:val="20"/>
          <w:szCs w:val="20"/>
        </w:rPr>
      </w:pPr>
      <w:r w:rsidRPr="0084712B">
        <w:rPr>
          <w:rFonts w:ascii="Times New Roman" w:hAnsi="Times New Roman" w:cs="Times New Roman"/>
          <w:vertAlign w:val="superscript"/>
        </w:rPr>
        <w:footnoteRef/>
      </w:r>
      <w:r w:rsidRPr="0084712B">
        <w:rPr>
          <w:rFonts w:ascii="Times New Roman" w:hAnsi="Times New Roman" w:cs="Times New Roman"/>
          <w:sz w:val="20"/>
          <w:szCs w:val="20"/>
        </w:rPr>
        <w:t xml:space="preserve"> Principles relating to the status of national institutions for the promotion and protection of human rights (Paris Principles), UNGA Res 48/134 (20 December 1993) annex. See on this point, Chubb and Roberts Lyer 2024: 783-787.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71739"/>
    <w:multiLevelType w:val="multilevel"/>
    <w:tmpl w:val="44C257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831735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F05"/>
    <w:rsid w:val="000B2F05"/>
    <w:rsid w:val="00196A67"/>
    <w:rsid w:val="0084712B"/>
    <w:rsid w:val="008F1CB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980A625"/>
  <w15:docId w15:val="{E9CEFC61-2146-6E47-8F4E-9D605E64C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doi.org/10.1093/jhuman/huae017"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2</AIcounter>
    <Category xmlns="d42e65b2-cf21-49c1-b27d-d23f90380c0e">Academia</Category>
    <Filename xmlns="d42e65b2-cf21-49c1-b27d-d23f90380c0e" xsi:nil="true"/>
    <Doctype xmlns="d42e65b2-cf21-49c1-b27d-d23f90380c0e">input</Doctype>
    <Contributor xmlns="d42e65b2-cf21-49c1-b27d-d23f90380c0e">Dr. Andrew Chubb, Senior Lecturer at the School of Global Affairs, Lancaster University and Dr. Kirsten Roberts Lyer, Chair of the Human Rights Program, Central European University in Vienna</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EF8B744B-D17D-4136-A61B-EF0B0CC56AE1}"/>
</file>

<file path=customXml/itemProps2.xml><?xml version="1.0" encoding="utf-8"?>
<ds:datastoreItem xmlns:ds="http://schemas.openxmlformats.org/officeDocument/2006/customXml" ds:itemID="{0769D6C3-180A-4E1E-86B2-A39C63EE2423}"/>
</file>

<file path=customXml/itemProps3.xml><?xml version="1.0" encoding="utf-8"?>
<ds:datastoreItem xmlns:ds="http://schemas.openxmlformats.org/officeDocument/2006/customXml" ds:itemID="{AAB0F012-08FE-4C11-8D96-7ECBB89D221D}"/>
</file>

<file path=docProps/app.xml><?xml version="1.0" encoding="utf-8"?>
<Properties xmlns="http://schemas.openxmlformats.org/officeDocument/2006/extended-properties" xmlns:vt="http://schemas.openxmlformats.org/officeDocument/2006/docPropsVTypes">
  <Template>Normal.dotm</Template>
  <TotalTime>1</TotalTime>
  <Pages>7</Pages>
  <Words>3060</Words>
  <Characters>17447</Characters>
  <Application>Microsoft Office Word</Application>
  <DocSecurity>0</DocSecurity>
  <Lines>145</Lines>
  <Paragraphs>40</Paragraphs>
  <ScaleCrop>false</ScaleCrop>
  <Company/>
  <LinksUpToDate>false</LinksUpToDate>
  <CharactersWithSpaces>20467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Chubb, Andrew</cp:lastModifiedBy>
  <cp:revision>2</cp:revision>
  <dcterms:created xsi:type="dcterms:W3CDTF">2026-07-15T12:18:00Z</dcterms:created>
  <dcterms:modified xsi:type="dcterms:W3CDTF">2026-07-15T12:19:00Z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