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Submission by ÜniKuir Association to the Human Rights Committee</w:t>
      </w:r>
    </w:p>
    <w:p w:rsidR="00000000" w:rsidDel="00000000" w:rsidP="00000000" w:rsidRDefault="00000000" w:rsidRPr="00000000" w14:paraId="00000002">
      <w:pPr>
        <w:spacing w:after="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Call for comments on Draft General Comment No. 38 on Article 22 of the ICCPR</w:t>
      </w:r>
    </w:p>
    <w:p w:rsidR="00000000" w:rsidDel="00000000" w:rsidP="00000000" w:rsidRDefault="00000000" w:rsidRPr="00000000" w14:paraId="00000003">
      <w:pPr>
        <w:spacing w:after="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right to freedom of association</w:t>
      </w:r>
    </w:p>
    <w:p w:rsidR="00000000" w:rsidDel="00000000" w:rsidP="00000000" w:rsidRDefault="00000000" w:rsidRPr="00000000" w14:paraId="00000004">
      <w:pPr>
        <w:spacing w:after="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10 July 2026</w:t>
      </w:r>
    </w:p>
    <w:p w:rsidR="00000000" w:rsidDel="00000000" w:rsidP="00000000" w:rsidRDefault="00000000" w:rsidRPr="00000000" w14:paraId="00000005">
      <w:pPr>
        <w:spacing w:after="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6">
      <w:pPr>
        <w:pStyle w:val="Heading1"/>
        <w:keepNext w:val="0"/>
        <w:keepLines w:val="0"/>
        <w:jc w:val="both"/>
        <w:rPr>
          <w:rFonts w:ascii="Times New Roman" w:cs="Times New Roman" w:eastAsia="Times New Roman" w:hAnsi="Times New Roman"/>
          <w:sz w:val="24"/>
          <w:szCs w:val="24"/>
        </w:rPr>
      </w:pPr>
      <w:bookmarkStart w:colFirst="0" w:colLast="0" w:name="_heading=h.nigpihsc9nah" w:id="0"/>
      <w:bookmarkEnd w:id="0"/>
      <w:r w:rsidDel="00000000" w:rsidR="00000000" w:rsidRPr="00000000">
        <w:rPr>
          <w:rFonts w:ascii="Times New Roman" w:cs="Times New Roman" w:eastAsia="Times New Roman" w:hAnsi="Times New Roman"/>
          <w:sz w:val="24"/>
          <w:szCs w:val="24"/>
          <w:rtl w:val="0"/>
        </w:rPr>
        <w:t xml:space="preserve">I. Introduction and scope of the submission</w:t>
      </w:r>
    </w:p>
    <w:p w:rsidR="00000000" w:rsidDel="00000000" w:rsidP="00000000" w:rsidRDefault="00000000" w:rsidRPr="00000000" w14:paraId="00000007">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ÜniKuir Association welcomes the opportunity to comment on Draft General Comment No. 38 on Article 22 of the International Covenant on Civil and Political Rights. ÜniKuir is a Türkiye-based civil society organization working for equal, free and safe universities for LGBTI+ students and young people. Its work includes capacity strengthening, advocacy, monitoring and documentation of rights violations in higher education, support to student clubs and informal youth initiatives, and legal and advocacy support for LGBTI+ youth activism.</w:t>
      </w:r>
    </w:p>
    <w:p w:rsidR="00000000" w:rsidDel="00000000" w:rsidP="00000000" w:rsidRDefault="00000000" w:rsidRPr="00000000" w14:paraId="00000008">
      <w:pPr>
        <w:pStyle w:val="Heading1"/>
        <w:keepNext w:val="0"/>
        <w:keepLines w:val="0"/>
        <w:jc w:val="both"/>
        <w:rPr>
          <w:rFonts w:ascii="Times New Roman" w:cs="Times New Roman" w:eastAsia="Times New Roman" w:hAnsi="Times New Roman"/>
          <w:sz w:val="24"/>
          <w:szCs w:val="24"/>
        </w:rPr>
      </w:pPr>
      <w:bookmarkStart w:colFirst="0" w:colLast="0" w:name="_heading=h.iev72fp1yn2z" w:id="1"/>
      <w:bookmarkEnd w:id="1"/>
      <w:r w:rsidDel="00000000" w:rsidR="00000000" w:rsidRPr="00000000">
        <w:rPr>
          <w:rFonts w:ascii="Times New Roman" w:cs="Times New Roman" w:eastAsia="Times New Roman" w:hAnsi="Times New Roman"/>
          <w:sz w:val="24"/>
          <w:szCs w:val="24"/>
          <w:rtl w:val="0"/>
        </w:rPr>
        <w:t xml:space="preserve">II. General comments on paragraphs 7, 12 and 13: informal, youth-led and student associations</w:t>
      </w:r>
    </w:p>
    <w:p w:rsidR="00000000" w:rsidDel="00000000" w:rsidP="00000000" w:rsidRDefault="00000000" w:rsidRPr="00000000" w14:paraId="00000009">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ÜniKuir strongly supports the draft's statement that the right is not contingent on prior authorization or recognition by the State. The final General Comment should make this protection more explicit for unregistered, informal, youth-led, campus-based and student associations. In many contexts, these groups cannot or do not wish to register as a legal entity. </w:t>
      </w:r>
    </w:p>
    <w:p w:rsidR="00000000" w:rsidDel="00000000" w:rsidP="00000000" w:rsidRDefault="00000000" w:rsidRPr="00000000" w14:paraId="0000000A">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Suggested addition on universities to paragraphs 7, 12 or 13: “States parties should ensure that public authorities, including public educational institutions, do not arbitrarily refuse recognition to student associations, dissolve or suspend them, deny them access to campus facilities, impose discriminatory event-authorization requirements, or retaliate against students for lawful associational activity. Where private educational institutions exercise authority over students' access to education, campus spaces and student life, States parties must regulate and supervise them to prevent unjustified interference with Article 22.”</w:t>
      </w:r>
    </w:p>
    <w:p w:rsidR="00000000" w:rsidDel="00000000" w:rsidP="00000000" w:rsidRDefault="00000000" w:rsidRPr="00000000" w14:paraId="0000000B">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Style w:val="Heading1"/>
        <w:keepNext w:val="0"/>
        <w:keepLines w:val="0"/>
        <w:jc w:val="both"/>
        <w:rPr>
          <w:rFonts w:ascii="Times New Roman" w:cs="Times New Roman" w:eastAsia="Times New Roman" w:hAnsi="Times New Roman"/>
          <w:sz w:val="24"/>
          <w:szCs w:val="24"/>
        </w:rPr>
      </w:pPr>
      <w:bookmarkStart w:colFirst="0" w:colLast="0" w:name="_heading=h.pycu8hmoybra" w:id="2"/>
      <w:bookmarkEnd w:id="2"/>
      <w:r w:rsidDel="00000000" w:rsidR="00000000" w:rsidRPr="00000000">
        <w:rPr>
          <w:rFonts w:ascii="Times New Roman" w:cs="Times New Roman" w:eastAsia="Times New Roman" w:hAnsi="Times New Roman"/>
          <w:sz w:val="24"/>
          <w:szCs w:val="24"/>
          <w:rtl w:val="0"/>
        </w:rPr>
        <w:t xml:space="preserve">III. Paragraphs 9 and 28: non-discrimination and intersectional protection</w:t>
      </w:r>
    </w:p>
    <w:p w:rsidR="00000000" w:rsidDel="00000000" w:rsidP="00000000" w:rsidRDefault="00000000" w:rsidRPr="00000000" w14:paraId="0000000E">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General Comment should include a non-exhaustive list of prohibited grounds of discrimination, including sexual orientation, gender identity, gender expression, sex characteristics, age, youth, student status, disability, migration status, socio-economic status, and other status. The protection should also explicitly cover intersecting forms of discrimination. LGBTI+ students may be targeted not only because they are LGBTI+, but also because they are young, students, human rights defenders, scholarship or dormitory recipients, migrants, persons with disabilities, or members of other marginalized groups. Restrictions that appear neutral may have a disproportionate impact on LGBTI+ groups and other marginalized associations.</w:t>
      </w:r>
    </w:p>
    <w:p w:rsidR="00000000" w:rsidDel="00000000" w:rsidP="00000000" w:rsidRDefault="00000000" w:rsidRPr="00000000" w14:paraId="0000000F">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Suggested addition to paragraph 9 or 28: “States parties must ensure that the right to freedom of association is enjoyed without discrimination of any kind, including on the basis of sexual orientation, gender identity, gender expression, sex characteristics, age, youth, student status, disability, migration status, socio-economic status or other status. Restrictions that are facially neutral but have a disproportionate impact on marginalized groups, or are applied selectively against associations defending the rights of such groups, require particularly strict scrutiny.”</w:t>
      </w:r>
    </w:p>
    <w:p w:rsidR="00000000" w:rsidDel="00000000" w:rsidP="00000000" w:rsidRDefault="00000000" w:rsidRPr="00000000" w14:paraId="00000010">
      <w:pPr>
        <w:pStyle w:val="Heading1"/>
        <w:keepNext w:val="0"/>
        <w:keepLines w:val="0"/>
        <w:jc w:val="both"/>
        <w:rPr>
          <w:rFonts w:ascii="Times New Roman" w:cs="Times New Roman" w:eastAsia="Times New Roman" w:hAnsi="Times New Roman"/>
          <w:sz w:val="24"/>
          <w:szCs w:val="24"/>
        </w:rPr>
      </w:pPr>
      <w:bookmarkStart w:colFirst="0" w:colLast="0" w:name="_heading=h.e2m2nbfhgcmc" w:id="3"/>
      <w:bookmarkEnd w:id="3"/>
      <w:r w:rsidDel="00000000" w:rsidR="00000000" w:rsidRPr="00000000">
        <w:rPr>
          <w:rFonts w:ascii="Times New Roman" w:cs="Times New Roman" w:eastAsia="Times New Roman" w:hAnsi="Times New Roman"/>
          <w:sz w:val="24"/>
          <w:szCs w:val="24"/>
          <w:rtl w:val="0"/>
        </w:rPr>
        <w:t xml:space="preserve">IV. Paragraph 11 and related paragraphs: digital and hybrid association</w:t>
      </w:r>
    </w:p>
    <w:p w:rsidR="00000000" w:rsidDel="00000000" w:rsidP="00000000" w:rsidRDefault="00000000" w:rsidRPr="00000000" w14:paraId="00000011">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General Comment should further clarify that Article 22 protects the use of digital tools for forming, joining, maintaining and operating associations. Digital restrictions can disable the practical exercise of Article 22 as effectively as physical closure of an office. In the Turkish context, practices such as access blocking, social media account restrictions, platform-based suspensions, failure to notify judicial or administrative decisions in a timely manner, and the use of online hostility and coordinated denunciation to reduce the visibility of LGBTI+ organizations are observed. In June 2026, before and during Pride-related events, a wave of access-blocking and account restrictions affected LGBTI+ organizations and related accounts</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should also address the role of private technology companies. State obligations under Article 22 include a duty to protect associations from foreseeable interference by private actors, including arbitrary account suspensions, opaque content moderation, coordinated mass reporting, doxxing, hacking, gender-based online violence, smear campaigns and algorithmic suppression of rights-based content. States parties should require platforms to conduct human rights due diligence, provide meaningful notice and appeal mechanisms, preserve evidence relevant to remedies, and apply heightened safeguards where the affected association represents a marginalized group or works on sensitive human rights issues.</w:t>
      </w:r>
    </w:p>
    <w:sectPr>
      <w:headerReference r:id="rId8" w:type="default"/>
      <w:footerReference r:id="rId9" w:type="default"/>
      <w:pgSz w:h="16838" w:w="11906" w:orient="portrait"/>
      <w:pgMar w:bottom="2127" w:top="3261"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536"/>
        <w:tab w:val="right" w:leader="none" w:pos="9072"/>
      </w:tabs>
      <w:spacing w:after="240" w:line="240" w:lineRule="auto"/>
      <w:rPr>
        <w:color w:val="808080"/>
        <w:sz w:val="18"/>
        <w:szCs w:val="18"/>
      </w:rPr>
    </w:pPr>
    <w:r w:rsidDel="00000000" w:rsidR="00000000" w:rsidRPr="00000000">
      <w:rPr>
        <w:color w:val="808080"/>
        <w:sz w:val="18"/>
        <w:szCs w:val="18"/>
        <w:rtl w:val="0"/>
      </w:rPr>
      <w:t xml:space="preserve">University Queer Research and LGBTI+ Solidarity Association </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536"/>
        <w:tab w:val="right" w:leader="none" w:pos="9072"/>
      </w:tabs>
      <w:spacing w:after="240" w:line="240" w:lineRule="auto"/>
      <w:rPr>
        <w:color w:val="808080"/>
        <w:sz w:val="18"/>
        <w:szCs w:val="18"/>
      </w:rPr>
    </w:pPr>
    <w:r w:rsidDel="00000000" w:rsidR="00000000" w:rsidRPr="00000000">
      <w:rPr>
        <w:color w:val="808080"/>
        <w:sz w:val="18"/>
        <w:szCs w:val="18"/>
        <w:rtl w:val="0"/>
      </w:rPr>
      <w:t xml:space="preserve">www.unikuir.org</w:t>
      <w:tab/>
      <w:tab/>
      <w:t xml:space="preserve">info@unikuir.org </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https://kaosgl1.org/en/single-news/istanbul-police-monitored-accounts-sharing-lgbti-rights-content-through-cyber-patrol-activities</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drawing>
        <wp:inline distB="0" distT="0" distL="0" distR="0">
          <wp:extent cx="661203" cy="1172819"/>
          <wp:effectExtent b="0" l="0" r="0" t="0"/>
          <wp:docPr id="1" name="image1.png"/>
          <a:graphic>
            <a:graphicData uri="http://schemas.openxmlformats.org/drawingml/2006/picture">
              <pic:pic>
                <pic:nvPicPr>
                  <pic:cNvPr id="0" name="image1.png"/>
                  <pic:cNvPicPr preferRelativeResize="0"/>
                </pic:nvPicPr>
                <pic:blipFill>
                  <a:blip r:embed="rId1"/>
                  <a:srcRect b="0" l="4148" r="0" t="0"/>
                  <a:stretch>
                    <a:fillRect/>
                  </a:stretch>
                </pic:blipFill>
                <pic:spPr>
                  <a:xfrm>
                    <a:off x="0" y="0"/>
                    <a:ext cx="661203" cy="117281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fontTable" Target="fontTable.xml"/><Relationship Id="rId7" Type="http://schemas.openxmlformats.org/officeDocument/2006/relationships/customXml" Target="../customXML/item1.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numbering" Target="numbering.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kaosgl1.org/en/single-news/istanbul-police-monitored-accounts-sharing-lgbti-rights-content-through-cyber-patrol-activ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a9e0hMC19T24/zToUXU0PQbfnA==">CgMxLjAyDmgubmlncGloc2M5bmFoMg5oLmlldjcyZnAxeW4yejIOaC5weWN1OGhtb3licmEyDmguZTJtMm5iZmhnY21jOAByITE0d0ExbEtHUUlBLWprdjZ3OWcwOGVkSWlPNzZjWV9kcw==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UniKuir</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994C821-96D2-4AB1-B41A-589D55764E28}"/>
</file>

<file path=customXML/itemProps3.xml><?xml version="1.0" encoding="utf-8"?>
<ds:datastoreItem xmlns:ds="http://schemas.openxmlformats.org/officeDocument/2006/customXml" ds:itemID="{DB01F26A-6ADC-4715-8097-F3A75216F5BC}"/>
</file>

<file path=customXML/itemProps4.xml><?xml version="1.0" encoding="utf-8"?>
<ds:datastoreItem xmlns:ds="http://schemas.openxmlformats.org/officeDocument/2006/customXml" ds:itemID="{BA4E92D4-8BAD-41E3-8A90-398D396B04FD}"/>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