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097FD" w14:textId="77777777" w:rsidR="001E2963" w:rsidRPr="00512B03" w:rsidRDefault="001E2963" w:rsidP="001E2963">
      <w:pPr>
        <w:pStyle w:val="NoSpacing"/>
        <w:jc w:val="center"/>
        <w:rPr>
          <w:rFonts w:ascii="Bookman Old Style" w:hAnsi="Bookman Old Style"/>
          <w:sz w:val="48"/>
          <w:szCs w:val="48"/>
          <w:lang w:val="en-US"/>
        </w:rPr>
      </w:pPr>
      <w:r w:rsidRPr="00512B03">
        <w:rPr>
          <w:rFonts w:cs="Calibri"/>
          <w:b/>
          <w:bCs/>
          <w:color w:val="ED1C24"/>
          <w:sz w:val="96"/>
          <w:szCs w:val="96"/>
          <w:lang w:val="en-US"/>
        </w:rPr>
        <w:t>A</w:t>
      </w:r>
      <w:r w:rsidRPr="00512B03">
        <w:rPr>
          <w:rFonts w:cs="Calibri"/>
          <w:b/>
          <w:bCs/>
          <w:color w:val="FFC000"/>
          <w:sz w:val="96"/>
          <w:szCs w:val="96"/>
          <w:lang w:val="en-US"/>
        </w:rPr>
        <w:t>s</w:t>
      </w:r>
      <w:r w:rsidRPr="00512B03">
        <w:rPr>
          <w:rFonts w:cs="Calibri"/>
          <w:b/>
          <w:bCs/>
          <w:color w:val="5B9BD5"/>
          <w:sz w:val="96"/>
          <w:szCs w:val="96"/>
          <w:lang w:val="en-US"/>
        </w:rPr>
        <w:t>s</w:t>
      </w:r>
      <w:r w:rsidRPr="00512B03">
        <w:rPr>
          <w:rFonts w:cs="Calibri"/>
          <w:b/>
          <w:bCs/>
          <w:color w:val="A349A4"/>
          <w:sz w:val="96"/>
          <w:szCs w:val="96"/>
          <w:lang w:val="en-US"/>
        </w:rPr>
        <w:t>o</w:t>
      </w:r>
      <w:r w:rsidRPr="00512B03">
        <w:rPr>
          <w:rFonts w:cs="Calibri"/>
          <w:b/>
          <w:bCs/>
          <w:color w:val="FFC000"/>
          <w:sz w:val="96"/>
          <w:szCs w:val="96"/>
          <w:lang w:val="en-US"/>
        </w:rPr>
        <w:t>c</w:t>
      </w:r>
      <w:r w:rsidRPr="00512B03">
        <w:rPr>
          <w:rFonts w:cs="Calibri"/>
          <w:b/>
          <w:bCs/>
          <w:color w:val="5B9BD5"/>
          <w:sz w:val="96"/>
          <w:szCs w:val="96"/>
          <w:lang w:val="en-US"/>
        </w:rPr>
        <w:t>i</w:t>
      </w:r>
      <w:r w:rsidRPr="00512B03">
        <w:rPr>
          <w:rFonts w:cs="Calibri"/>
          <w:b/>
          <w:bCs/>
          <w:color w:val="22B14C"/>
          <w:sz w:val="96"/>
          <w:szCs w:val="96"/>
          <w:lang w:val="en-US"/>
        </w:rPr>
        <w:t>a</w:t>
      </w:r>
      <w:r w:rsidRPr="00512B03">
        <w:rPr>
          <w:rFonts w:cs="Calibri"/>
          <w:b/>
          <w:bCs/>
          <w:color w:val="FFC000"/>
          <w:sz w:val="96"/>
          <w:szCs w:val="96"/>
          <w:lang w:val="en-US"/>
        </w:rPr>
        <w:t>t</w:t>
      </w:r>
      <w:r w:rsidRPr="00512B03">
        <w:rPr>
          <w:rFonts w:cs="Calibri"/>
          <w:b/>
          <w:bCs/>
          <w:color w:val="5B9BD5"/>
          <w:sz w:val="96"/>
          <w:szCs w:val="96"/>
          <w:lang w:val="en-US"/>
        </w:rPr>
        <w:t>i</w:t>
      </w:r>
      <w:r w:rsidRPr="00512B03">
        <w:rPr>
          <w:rFonts w:cs="Calibri"/>
          <w:b/>
          <w:bCs/>
          <w:color w:val="FF7F27"/>
          <w:sz w:val="96"/>
          <w:szCs w:val="96"/>
          <w:lang w:val="en-US"/>
        </w:rPr>
        <w:t>o</w:t>
      </w:r>
      <w:r w:rsidRPr="00512B03">
        <w:rPr>
          <w:rFonts w:cs="Calibri"/>
          <w:b/>
          <w:bCs/>
          <w:color w:val="5B9BD5"/>
          <w:sz w:val="96"/>
          <w:szCs w:val="96"/>
          <w:lang w:val="en-US"/>
        </w:rPr>
        <w:t>n</w:t>
      </w:r>
      <w:r w:rsidRPr="00512B03">
        <w:rPr>
          <w:rFonts w:cs="Calibri"/>
          <w:b/>
          <w:bCs/>
          <w:color w:val="FFFFFF"/>
          <w:sz w:val="96"/>
          <w:szCs w:val="96"/>
          <w:lang w:val="en-US"/>
        </w:rPr>
        <w:t xml:space="preserve"> </w:t>
      </w:r>
      <w:r w:rsidRPr="00512B03">
        <w:rPr>
          <w:rFonts w:cs="Calibri"/>
          <w:b/>
          <w:bCs/>
          <w:color w:val="FF0000"/>
          <w:sz w:val="96"/>
          <w:szCs w:val="96"/>
          <w:lang w:val="en-US"/>
        </w:rPr>
        <w:t>T</w:t>
      </w:r>
      <w:r w:rsidRPr="00512B03">
        <w:rPr>
          <w:rFonts w:cs="Calibri"/>
          <w:b/>
          <w:bCs/>
          <w:color w:val="FFC000"/>
          <w:sz w:val="96"/>
          <w:szCs w:val="96"/>
          <w:lang w:val="en-US"/>
        </w:rPr>
        <w:t>h</w:t>
      </w:r>
      <w:r w:rsidRPr="00512B03">
        <w:rPr>
          <w:rFonts w:cs="Calibri"/>
          <w:b/>
          <w:bCs/>
          <w:color w:val="0070C0"/>
          <w:sz w:val="96"/>
          <w:szCs w:val="96"/>
          <w:lang w:val="en-US"/>
        </w:rPr>
        <w:t>e</w:t>
      </w:r>
      <w:r w:rsidRPr="00512B03">
        <w:rPr>
          <w:rFonts w:cs="Calibri"/>
          <w:b/>
          <w:bCs/>
          <w:color w:val="00B050"/>
          <w:sz w:val="96"/>
          <w:szCs w:val="96"/>
          <w:lang w:val="en-US"/>
        </w:rPr>
        <w:t>n</w:t>
      </w:r>
      <w:r w:rsidRPr="00512B03">
        <w:rPr>
          <w:rFonts w:cs="Calibri"/>
          <w:b/>
          <w:bCs/>
          <w:color w:val="00B0F0"/>
          <w:sz w:val="96"/>
          <w:szCs w:val="96"/>
          <w:lang w:val="en-US"/>
        </w:rPr>
        <w:t>d</w:t>
      </w:r>
      <w:r w:rsidRPr="00512B03">
        <w:rPr>
          <w:rFonts w:cs="Calibri"/>
          <w:b/>
          <w:bCs/>
          <w:color w:val="70AD47"/>
          <w:sz w:val="96"/>
          <w:szCs w:val="96"/>
          <w:lang w:val="en-US"/>
        </w:rPr>
        <w:t>r</w:t>
      </w:r>
      <w:r w:rsidRPr="00512B03">
        <w:rPr>
          <w:rFonts w:cs="Calibri"/>
          <w:b/>
          <w:bCs/>
          <w:color w:val="4472C4"/>
          <w:sz w:val="96"/>
          <w:szCs w:val="96"/>
          <w:lang w:val="en-US"/>
        </w:rPr>
        <w:t>a</w:t>
      </w:r>
      <w:r w:rsidRPr="00512B03">
        <w:rPr>
          <w:rFonts w:cs="Calibri"/>
          <w:b/>
          <w:bCs/>
          <w:color w:val="FFC000"/>
          <w:sz w:val="96"/>
          <w:szCs w:val="96"/>
          <w:lang w:val="en-US"/>
        </w:rPr>
        <w:t>l</w:t>
      </w:r>
    </w:p>
    <w:p w14:paraId="67DAFFAD" w14:textId="69C206D6" w:rsidR="001E2963" w:rsidRDefault="001E2963" w:rsidP="001E2963">
      <w:pPr>
        <w:pStyle w:val="Standard"/>
        <w:spacing w:after="40"/>
        <w:jc w:val="center"/>
        <w:rPr>
          <w:color w:val="444444"/>
          <w:sz w:val="20"/>
          <w:szCs w:val="20"/>
        </w:rPr>
      </w:pPr>
      <w:r>
        <w:rPr>
          <w:color w:val="444444"/>
          <w:sz w:val="20"/>
          <w:szCs w:val="20"/>
        </w:rPr>
        <w:t>ECOSOC Accredited NGO — France</w:t>
      </w:r>
    </w:p>
    <w:p w14:paraId="75182D45" w14:textId="77777777" w:rsidR="001E2963" w:rsidRDefault="001E2963">
      <w:pPr>
        <w:spacing w:after="60"/>
        <w:jc w:val="center"/>
        <w:rPr>
          <w:b/>
          <w:bCs/>
          <w:color w:val="1F3864"/>
          <w:sz w:val="30"/>
          <w:szCs w:val="30"/>
          <w:lang w:val="en-GB"/>
        </w:rPr>
      </w:pPr>
    </w:p>
    <w:p w14:paraId="796F25BB" w14:textId="39D651FB" w:rsidR="00DA446C" w:rsidRPr="001E2963" w:rsidRDefault="00000000">
      <w:pPr>
        <w:spacing w:after="60"/>
        <w:jc w:val="center"/>
        <w:rPr>
          <w:lang w:val="en-GB"/>
        </w:rPr>
      </w:pPr>
      <w:r w:rsidRPr="001E2963">
        <w:rPr>
          <w:b/>
          <w:bCs/>
          <w:color w:val="1F3864"/>
          <w:sz w:val="30"/>
          <w:szCs w:val="30"/>
          <w:lang w:val="en-GB"/>
        </w:rPr>
        <w:t>COMMENTS ON DRAFT GENERAL COMMENT NO. 38</w:t>
      </w:r>
    </w:p>
    <w:p w14:paraId="3807823A" w14:textId="77777777" w:rsidR="00DA446C" w:rsidRPr="001E2963" w:rsidRDefault="00000000">
      <w:pPr>
        <w:spacing w:after="300"/>
        <w:jc w:val="center"/>
        <w:rPr>
          <w:sz w:val="22"/>
          <w:szCs w:val="22"/>
          <w:lang w:val="en-GB"/>
        </w:rPr>
      </w:pPr>
      <w:r w:rsidRPr="001E2963">
        <w:rPr>
          <w:b/>
          <w:bCs/>
          <w:color w:val="1F3864"/>
          <w:sz w:val="28"/>
          <w:szCs w:val="28"/>
          <w:lang w:val="en-GB"/>
        </w:rPr>
        <w:t>on Article 22 (Right to Freedom of Association) of the International Covenant on Civil and Political Rights</w:t>
      </w:r>
    </w:p>
    <w:p w14:paraId="131BB853" w14:textId="77777777" w:rsidR="00DA446C" w:rsidRPr="001E2963" w:rsidRDefault="00000000">
      <w:pPr>
        <w:spacing w:after="60"/>
        <w:jc w:val="center"/>
        <w:rPr>
          <w:sz w:val="22"/>
          <w:szCs w:val="22"/>
          <w:lang w:val="en-GB"/>
        </w:rPr>
      </w:pPr>
      <w:r w:rsidRPr="001E2963">
        <w:rPr>
          <w:i/>
          <w:iCs/>
          <w:sz w:val="24"/>
          <w:szCs w:val="24"/>
          <w:lang w:val="en-GB"/>
        </w:rPr>
        <w:t>Submitted to the United Nations Human Rights Committee (CCPR)</w:t>
      </w:r>
    </w:p>
    <w:p w14:paraId="297B060B" w14:textId="77777777" w:rsidR="00DA446C" w:rsidRPr="001E2963" w:rsidRDefault="00000000">
      <w:pPr>
        <w:spacing w:after="60"/>
        <w:jc w:val="center"/>
        <w:rPr>
          <w:sz w:val="22"/>
          <w:szCs w:val="22"/>
          <w:lang w:val="en-GB"/>
        </w:rPr>
      </w:pPr>
      <w:r w:rsidRPr="001E2963">
        <w:rPr>
          <w:i/>
          <w:iCs/>
          <w:sz w:val="24"/>
          <w:szCs w:val="24"/>
          <w:lang w:val="en-GB"/>
        </w:rPr>
        <w:t>By Association Thendral, in partnership with Tamil civil society organisations of the North and East of Sri Lanka</w:t>
      </w:r>
    </w:p>
    <w:p w14:paraId="6FA3AF2E" w14:textId="77777777" w:rsidR="00DA446C" w:rsidRPr="001E2963" w:rsidRDefault="00000000">
      <w:pPr>
        <w:spacing w:after="400"/>
        <w:jc w:val="center"/>
        <w:rPr>
          <w:sz w:val="22"/>
          <w:szCs w:val="22"/>
          <w:lang w:val="en-GB"/>
        </w:rPr>
      </w:pPr>
      <w:r w:rsidRPr="001E2963">
        <w:rPr>
          <w:i/>
          <w:iCs/>
          <w:sz w:val="24"/>
          <w:szCs w:val="24"/>
          <w:lang w:val="en-GB"/>
        </w:rPr>
        <w:t>15 July 2026</w:t>
      </w:r>
    </w:p>
    <w:p w14:paraId="75847A15" w14:textId="77777777" w:rsidR="00DA446C" w:rsidRPr="001E2963" w:rsidRDefault="00DA446C">
      <w:pPr>
        <w:pBdr>
          <w:bottom w:val="single" w:sz="6" w:space="1" w:color="1F3864"/>
        </w:pBdr>
        <w:spacing w:after="300"/>
        <w:rPr>
          <w:sz w:val="22"/>
          <w:szCs w:val="22"/>
          <w:lang w:val="en-GB"/>
        </w:rPr>
      </w:pPr>
    </w:p>
    <w:p w14:paraId="764C79ED" w14:textId="77777777" w:rsidR="00DA446C" w:rsidRPr="001E2963" w:rsidRDefault="00000000">
      <w:pPr>
        <w:spacing w:after="200" w:line="276" w:lineRule="auto"/>
        <w:jc w:val="both"/>
        <w:rPr>
          <w:sz w:val="22"/>
          <w:szCs w:val="22"/>
          <w:lang w:val="en-GB"/>
        </w:rPr>
      </w:pPr>
      <w:r w:rsidRPr="001E2963">
        <w:rPr>
          <w:sz w:val="24"/>
          <w:szCs w:val="24"/>
          <w:lang w:val="en-GB"/>
        </w:rPr>
        <w:t>Association Thendral welcomes the invitation extended by the Human Rights Committee to interested stakeholders to comment on Draft General Comment No. 38 on article 22 of the International Covenant on Civil and Political Rights (ICCPR), following the completion of the first reading at the Committee's 145th session. Association Thendral submits these comments jointly with, and on behalf of, a partnership of Tamil civil society organisations operating in the North and East of Sri Lanka, the historical homeland of the Eelam Tamil people. Because of the security risks that direct, attributed submissions would create for our partners on the ground, this submission speaks on their behalf while preserving the anonymity of the individuals and grassroots structures whose testimony informs it.</w:t>
      </w:r>
    </w:p>
    <w:p w14:paraId="6EEE7481" w14:textId="77777777" w:rsidR="00DA446C" w:rsidRPr="001E2963" w:rsidRDefault="00000000">
      <w:pPr>
        <w:spacing w:after="200" w:line="276" w:lineRule="auto"/>
        <w:jc w:val="both"/>
        <w:rPr>
          <w:sz w:val="22"/>
          <w:szCs w:val="22"/>
          <w:lang w:val="en-GB"/>
        </w:rPr>
      </w:pPr>
      <w:r w:rsidRPr="001E2963">
        <w:rPr>
          <w:sz w:val="24"/>
          <w:szCs w:val="24"/>
          <w:lang w:val="en-GB"/>
        </w:rPr>
        <w:t>Our partnership works daily with communities that continue to live under a pervasive military presence more than fifteen years after the end of the armed conflict in Sri Lanka. We make this submission because the lived experience of Eelam Tamil civil society illustrates, with particular clarity, a set of structural obstacles to freedom of association that the current draft General Comment does not yet address with sufficient specificity: association under conditions of prolonged military occupation and demographic engineering; the militarisation of educational institutions; the criminalisation of public commemoration and assembly; restrictions on transnational cooperation between homeland and diaspora civil society; and the obstruction, by third States hosting United Nations human rights mechanisms, of victims' and defenders' physical access to those mechanisms through the denial of visas. We address each of these in turn below, with reference to the corresponding paragraphs of the draft, and conclude with a set of concrete textual recommendations for the Committee's consideration ahead of the second reading.</w:t>
      </w:r>
    </w:p>
    <w:p w14:paraId="4CF858FF" w14:textId="77777777" w:rsidR="00DA446C" w:rsidRPr="001E2963" w:rsidRDefault="00000000">
      <w:pPr>
        <w:pStyle w:val="Heading1"/>
        <w:spacing w:before="360" w:after="200"/>
        <w:rPr>
          <w:sz w:val="36"/>
          <w:szCs w:val="36"/>
          <w:lang w:val="en-GB"/>
        </w:rPr>
      </w:pPr>
      <w:r w:rsidRPr="001E2963">
        <w:rPr>
          <w:b/>
          <w:bCs/>
          <w:color w:val="1F3864"/>
          <w:sz w:val="28"/>
          <w:szCs w:val="28"/>
          <w:lang w:val="en-GB"/>
        </w:rPr>
        <w:t>I. Freedom of association cannot be assessed in the abstract, apart from conditions of occupation and structural discrimination (paragraphs 1–11)</w:t>
      </w:r>
    </w:p>
    <w:p w14:paraId="6E7B0A46" w14:textId="77777777" w:rsidR="00DA446C" w:rsidRPr="001E2963" w:rsidRDefault="00000000">
      <w:pPr>
        <w:spacing w:after="200" w:line="276" w:lineRule="auto"/>
        <w:jc w:val="both"/>
        <w:rPr>
          <w:sz w:val="22"/>
          <w:szCs w:val="22"/>
          <w:lang w:val="en-GB"/>
        </w:rPr>
      </w:pPr>
      <w:r w:rsidRPr="001E2963">
        <w:rPr>
          <w:sz w:val="24"/>
          <w:szCs w:val="24"/>
          <w:lang w:val="en-GB"/>
        </w:rPr>
        <w:lastRenderedPageBreak/>
        <w:t>The draft General Comment rightly affirms, in paragraph 1, that freedom of association is indispensable to human dignity and constitutes a foundation of participatory governance, and it rightly recognises, in paragraph 9, that restrictions and interferences may have a differentiated and heightened impact on marginalised, disenfranchised or disadvantaged persons, groups, communities and peoples. The paragraph lists a number of categories of particularly affected individuals, including women human rights defenders, Indigenous Peoples, environmental and land rights defenders, and members of political parties in opposition to government. We ask the Committee to consider that this enumeration, while valuable, does not name a category of central relevance to numerous States Parties: populations living under prolonged military occupation, foreign or internal, and subject to systemic demographic, administrative and security-based segregation on ethnic or religious grounds.</w:t>
      </w:r>
    </w:p>
    <w:p w14:paraId="0145FEE4" w14:textId="77777777" w:rsidR="00DA446C" w:rsidRPr="001E2963" w:rsidRDefault="00000000">
      <w:pPr>
        <w:spacing w:after="200" w:line="276" w:lineRule="auto"/>
        <w:jc w:val="both"/>
        <w:rPr>
          <w:sz w:val="22"/>
          <w:szCs w:val="22"/>
          <w:lang w:val="en-GB"/>
        </w:rPr>
      </w:pPr>
      <w:r w:rsidRPr="001E2963">
        <w:rPr>
          <w:sz w:val="24"/>
          <w:szCs w:val="24"/>
          <w:lang w:val="en-GB"/>
        </w:rPr>
        <w:t>In the North and East of Sri Lanka, the Eelam Tamil population continues to live under conditions that our partners describe, in their own terms, as a system of apartheid and segregation sustained by military occupation. This is not a rhetorical characterisation. It refers to a concrete architecture of control: a still-heavy garrisoning of the Tamil homeland by the Sri Lankan armed forces, disproportionate to any current security threat; military ownership and management of land, agriculture, tourism and commercial ventures in Tamil areas, to the exclusion of the Tamil population; military surveillance of civilian gatherings, religious observances and educational institutions; and continuing restrictions on freedom of movement, assembly and association that are applied differently, and more severely, to Tamils than to other communities in the same country. Freedom of association exercised under these conditions is qualitatively different from freedom of association exercised in a peacetime, non-occupied setting, because the baseline enabling environment that article 22 presumes, and that the draft General Comment describes in paragraph 33, is itself absent.</w:t>
      </w:r>
    </w:p>
    <w:p w14:paraId="75503430" w14:textId="77777777" w:rsidR="00DA446C" w:rsidRPr="001E2963" w:rsidRDefault="00000000">
      <w:pPr>
        <w:spacing w:after="200" w:line="276" w:lineRule="auto"/>
        <w:jc w:val="both"/>
        <w:rPr>
          <w:sz w:val="22"/>
          <w:szCs w:val="22"/>
          <w:lang w:val="en-GB"/>
        </w:rPr>
      </w:pPr>
      <w:r w:rsidRPr="001E2963">
        <w:rPr>
          <w:sz w:val="24"/>
          <w:szCs w:val="24"/>
          <w:lang w:val="en-GB"/>
        </w:rPr>
        <w:t>We therefore recommend that paragraph 9 of the draft be amended to add an explicit reference to persons and communities living under military occupation or in situations of protracted post-conflict militarisation, particularly where such militarisation is accompanied by ethnic, religious or other group-based segregation. We further recommend that the General Comment recognise, as a standalone principle applicable throughout the text, that the assessment of whether a State Party has met its obligations under article 22 in such contexts cannot be limited to the existence of a facially neutral legal framework; it must extend to the de facto operation of military and security structures that condition, chill or foreclose associational life for the affected population, consistent with the Committee's own emphasis, in paragraph 34, on cumulative and indirect measures that may breach the right even where no single act appears decisive in isolation.</w:t>
      </w:r>
    </w:p>
    <w:p w14:paraId="20EEFA98" w14:textId="77777777" w:rsidR="00DA446C" w:rsidRPr="001E2963" w:rsidRDefault="00000000">
      <w:pPr>
        <w:pStyle w:val="Heading1"/>
        <w:spacing w:before="360" w:after="200"/>
        <w:rPr>
          <w:sz w:val="36"/>
          <w:szCs w:val="36"/>
          <w:lang w:val="en-GB"/>
        </w:rPr>
      </w:pPr>
      <w:r w:rsidRPr="001E2963">
        <w:rPr>
          <w:b/>
          <w:bCs/>
          <w:color w:val="1F3864"/>
          <w:sz w:val="28"/>
          <w:szCs w:val="28"/>
          <w:lang w:val="en-GB"/>
        </w:rPr>
        <w:t>II. The militarisation of educational institutions as a structural denial of freedom of association (paragraphs 12, 33, 35 and 38)</w:t>
      </w:r>
    </w:p>
    <w:p w14:paraId="0B10607B" w14:textId="77777777" w:rsidR="00DA446C" w:rsidRPr="001E2963" w:rsidRDefault="00000000">
      <w:pPr>
        <w:spacing w:after="200" w:line="276" w:lineRule="auto"/>
        <w:jc w:val="both"/>
        <w:rPr>
          <w:sz w:val="22"/>
          <w:szCs w:val="22"/>
          <w:lang w:val="en-GB"/>
        </w:rPr>
      </w:pPr>
      <w:r w:rsidRPr="001E2963">
        <w:rPr>
          <w:sz w:val="24"/>
          <w:szCs w:val="24"/>
          <w:lang w:val="en-GB"/>
        </w:rPr>
        <w:t xml:space="preserve">Universities and schools are, in the language of paragraph 12 of the draft, natural sites for the exercise of freedom of association: student unions, cultural societies, academic and disciplinary associations, and informal collective activity are integral to university life everywhere. In the Tamil-majority North and East of Sri Lanka, however, our partners report a continuing and, in some locations, intensifying </w:t>
      </w:r>
      <w:r w:rsidRPr="001E2963">
        <w:rPr>
          <w:sz w:val="24"/>
          <w:szCs w:val="24"/>
          <w:lang w:val="en-GB"/>
        </w:rPr>
        <w:lastRenderedPageBreak/>
        <w:t>military presence in and around universities: soldiers stationed on or near campuses, military intelligence personnel monitoring student activity, military-organised events held on university grounds without the consent of the student body or academic staff, and the routine surveillance or informal vetting of student association office-bearers. Tamil students who attempt to organise commemorative events, cultural festivals with political content, or associations connected to the history of the conflict report being summoned for questioning, having events cancelled by university administration acting under military pressure, or facing intimidation of their families.</w:t>
      </w:r>
    </w:p>
    <w:p w14:paraId="0E51F832" w14:textId="77777777" w:rsidR="00DA446C" w:rsidRPr="001E2963" w:rsidRDefault="00000000">
      <w:pPr>
        <w:spacing w:after="200" w:line="276" w:lineRule="auto"/>
        <w:jc w:val="both"/>
        <w:rPr>
          <w:sz w:val="22"/>
          <w:szCs w:val="22"/>
          <w:lang w:val="en-GB"/>
        </w:rPr>
      </w:pPr>
      <w:r w:rsidRPr="001E2963">
        <w:rPr>
          <w:sz w:val="24"/>
          <w:szCs w:val="24"/>
          <w:lang w:val="en-GB"/>
        </w:rPr>
        <w:t>This is a paradigm case of the kind of chilling effect on associational life that the draft General Comment already recognises in relation to digital surveillance in paragraph 11, but the draft does not yet address the analogous, and in many respects more severe, effect of physical military presence within civilian and educational institutions. Paragraph 33 correctly identifies that States Parties' positive obligations require the creation of an enabling environment covering the whole life cycle of an association, and paragraph 35 recognises an obligation to address hostile actions and narratives directed at associations working on sensitive or controversial issues. We submit that the continuous physical presence of military or intelligence personnel within or in the immediate vicinity of universities and schools, particularly in regions with a documented history of conflict-related repression, is itself a hostile structural condition within the meaning of paragraph 35, independent of any single act of interference, and should be named as such.</w:t>
      </w:r>
    </w:p>
    <w:p w14:paraId="79AB61C3" w14:textId="77777777" w:rsidR="00DA446C" w:rsidRPr="001E2963" w:rsidRDefault="00000000">
      <w:pPr>
        <w:spacing w:after="200" w:line="276" w:lineRule="auto"/>
        <w:jc w:val="both"/>
        <w:rPr>
          <w:sz w:val="22"/>
          <w:szCs w:val="22"/>
          <w:lang w:val="en-GB"/>
        </w:rPr>
      </w:pPr>
      <w:r w:rsidRPr="001E2963">
        <w:rPr>
          <w:sz w:val="24"/>
          <w:szCs w:val="24"/>
          <w:lang w:val="en-GB"/>
        </w:rPr>
        <w:t>We recommend that the Committee add language, whether in section II or section IV of the General Comment, recognising that the demilitarisation of educational institutions constitutes a precondition for the meaningful enjoyment of the right to freedom of association by students, academic staff and educational associations, and that the stationing of military or intelligence personnel within schools and universities, or their involvement in the governance, security or disciplinary functions of such institutions, is presumptively incompatible with the enabling environment required by article 22 unless the State Party can demonstrate an exceptional and narrowly tailored security justification meeting the requirements of article 22(2).</w:t>
      </w:r>
    </w:p>
    <w:p w14:paraId="3ED2809C" w14:textId="77777777" w:rsidR="00DA446C" w:rsidRPr="001E2963" w:rsidRDefault="00000000">
      <w:pPr>
        <w:pStyle w:val="Heading1"/>
        <w:spacing w:before="360" w:after="200"/>
        <w:rPr>
          <w:sz w:val="36"/>
          <w:szCs w:val="36"/>
          <w:lang w:val="en-GB"/>
        </w:rPr>
      </w:pPr>
      <w:r w:rsidRPr="001E2963">
        <w:rPr>
          <w:b/>
          <w:bCs/>
          <w:color w:val="1F3864"/>
          <w:sz w:val="28"/>
          <w:szCs w:val="28"/>
          <w:lang w:val="en-GB"/>
        </w:rPr>
        <w:t>III. Blanket and de facto prohibitions on public commemoration and assembly (paragraphs 2 and 30)</w:t>
      </w:r>
    </w:p>
    <w:p w14:paraId="2C9CA36F" w14:textId="77777777" w:rsidR="00DA446C" w:rsidRPr="001E2963" w:rsidRDefault="00000000">
      <w:pPr>
        <w:spacing w:after="200" w:line="276" w:lineRule="auto"/>
        <w:jc w:val="both"/>
        <w:rPr>
          <w:sz w:val="22"/>
          <w:szCs w:val="22"/>
          <w:lang w:val="en-GB"/>
        </w:rPr>
      </w:pPr>
      <w:r w:rsidRPr="001E2963">
        <w:rPr>
          <w:sz w:val="24"/>
          <w:szCs w:val="24"/>
          <w:lang w:val="en-GB"/>
        </w:rPr>
        <w:t>Paragraph 2 of the draft rightly recognises the close interrelation between freedom of association and freedom of peaceful assembly under article 21, and paragraph 30 lists a range of measures that are incompatible with the obligation to respect article 22, including arbitrary refusal to register an association and reprisals against its members. Our partners' experience adds a further, closely related pattern that we believe merits explicit treatment: the blanket, recurring prohibition of specific categories of collective public commemoration, imposed year after year regardless of the peaceful character of the gathering in question.</w:t>
      </w:r>
    </w:p>
    <w:p w14:paraId="1036AD19" w14:textId="77777777" w:rsidR="00DA446C" w:rsidRPr="001E2963" w:rsidRDefault="00000000">
      <w:pPr>
        <w:spacing w:after="200" w:line="276" w:lineRule="auto"/>
        <w:jc w:val="both"/>
        <w:rPr>
          <w:sz w:val="22"/>
          <w:szCs w:val="22"/>
          <w:lang w:val="en-GB"/>
        </w:rPr>
      </w:pPr>
      <w:r w:rsidRPr="001E2963">
        <w:rPr>
          <w:sz w:val="24"/>
          <w:szCs w:val="24"/>
          <w:lang w:val="en-GB"/>
        </w:rPr>
        <w:t xml:space="preserve">Every year, Tamil communities in the North and East seek to hold public remembrance events, most prominently around the anniversary of the end of the armed conflict in May, to commemorate civilian and combatant losses. These gatherings are civil society-organised, peaceful and religious or cultural </w:t>
      </w:r>
      <w:r w:rsidRPr="001E2963">
        <w:rPr>
          <w:sz w:val="24"/>
          <w:szCs w:val="24"/>
          <w:lang w:val="en-GB"/>
        </w:rPr>
        <w:lastRenderedPageBreak/>
        <w:t>in character. Nonetheless, local authorities and security forces routinely deny permits, impose last-minute restrictions on the size, location or duration of gatherings, station security personnel at commemoration sites in a manner designed to intimidate participants, or informally pressure religious and community leaders to cancel events altogether. Associations that persist in organising such commemorations, or that publicly document them, report subsequent visits from security personnel, summons for questioning, and in some cases criminal investigation under counter-terrorism or public order legislation.</w:t>
      </w:r>
    </w:p>
    <w:p w14:paraId="1C9B4E68" w14:textId="77777777" w:rsidR="00DA446C" w:rsidRPr="001E2963" w:rsidRDefault="00000000">
      <w:pPr>
        <w:spacing w:after="200" w:line="276" w:lineRule="auto"/>
        <w:jc w:val="both"/>
        <w:rPr>
          <w:sz w:val="22"/>
          <w:szCs w:val="22"/>
          <w:lang w:val="en-GB"/>
        </w:rPr>
      </w:pPr>
      <w:r w:rsidRPr="001E2963">
        <w:rPr>
          <w:sz w:val="24"/>
          <w:szCs w:val="24"/>
          <w:lang w:val="en-GB"/>
        </w:rPr>
        <w:t>This pattern illustrates precisely the point made in paragraph 10 of the draft: freedom of association cannot be limited to activities that align with the views of the government or the majority population, and the existence of associations that peacefully promote positions not favoured by the authorities is a cornerstone of any democratic society. We recommend that the Committee, when finalising the discussion of restrictions under article 22(2) in section V, add an explicit example addressing the recurring, blanket denial of permission for lawful commemorative or memorial gatherings organised by a specific community, particularly where that community has been affected by past conflict or mass violations, and clarify that such recurring denials cannot be justified merely by reference to abstract public order or national security concerns without a case-specific and proportionate assessment, in accordance with the Committee's existing jurisprudence under article 21.</w:t>
      </w:r>
    </w:p>
    <w:p w14:paraId="0D1BB9B6" w14:textId="77777777" w:rsidR="00DA446C" w:rsidRPr="001E2963" w:rsidRDefault="00000000">
      <w:pPr>
        <w:pStyle w:val="Heading1"/>
        <w:spacing w:before="360" w:after="200"/>
        <w:rPr>
          <w:sz w:val="36"/>
          <w:szCs w:val="36"/>
          <w:lang w:val="en-GB"/>
        </w:rPr>
      </w:pPr>
      <w:r w:rsidRPr="001E2963">
        <w:rPr>
          <w:b/>
          <w:bCs/>
          <w:color w:val="1F3864"/>
          <w:sz w:val="28"/>
          <w:szCs w:val="28"/>
          <w:lang w:val="en-GB"/>
        </w:rPr>
        <w:t>IV. Restrictions on collaboration between homeland and diaspora civil society (paragraphs 14, 30 and 49)</w:t>
      </w:r>
    </w:p>
    <w:p w14:paraId="7BB02AFE" w14:textId="77777777" w:rsidR="00DA446C" w:rsidRPr="001E2963" w:rsidRDefault="00000000">
      <w:pPr>
        <w:spacing w:after="200" w:line="276" w:lineRule="auto"/>
        <w:jc w:val="both"/>
        <w:rPr>
          <w:sz w:val="22"/>
          <w:szCs w:val="22"/>
          <w:lang w:val="en-GB"/>
        </w:rPr>
      </w:pPr>
      <w:r w:rsidRPr="001E2963">
        <w:rPr>
          <w:sz w:val="24"/>
          <w:szCs w:val="24"/>
          <w:lang w:val="en-GB"/>
        </w:rPr>
        <w:t>Paragraph 14 of the draft affirms that the right to freedom of association covers an association's right to seek, receive and expend funding and material resources, including from outside the State Party, without the risk of being labelled a foreign agent or a threat to national security. Paragraph 49 further clarifies that motives invoked to justify foreign-agent-type laws, such as public or social transparency, are not among the legitimate grounds for restriction listed in article 22(2). We welcome these provisions, which are directly relevant to a further obstacle documented by our partners: the systematic discouragement and, in some instances, criminalisation of formal collaboration between Tamil civil society organisations based in Sri Lanka and Tamil diaspora organisations, including Association Thendral itself, based in France, Canada, the United Kingdom, Australia and elsewhere.</w:t>
      </w:r>
    </w:p>
    <w:p w14:paraId="306E5519" w14:textId="77777777" w:rsidR="00DA446C" w:rsidRPr="001E2963" w:rsidRDefault="00000000">
      <w:pPr>
        <w:spacing w:after="200" w:line="276" w:lineRule="auto"/>
        <w:jc w:val="both"/>
        <w:rPr>
          <w:sz w:val="22"/>
          <w:szCs w:val="22"/>
          <w:lang w:val="en-GB"/>
        </w:rPr>
      </w:pPr>
      <w:r w:rsidRPr="001E2963">
        <w:rPr>
          <w:sz w:val="24"/>
          <w:szCs w:val="24"/>
          <w:lang w:val="en-GB"/>
        </w:rPr>
        <w:t>Organisations in the North and East that maintain visible partnerships with diaspora civil society, participate in joint advocacy before United Nations mechanisms, or receive funding channelled through diaspora networks report enhanced surveillance, difficulty renewing registration, informal warnings from security officials characterising such cooperation as supportive of a banned or proscribed movement, and, in some cases, arrest or prosecution of individual members under counter-terrorism legislation whose scope extends well beyond any legitimate security purpose. The practical effect is to sever, or force underground, the transnational associational links between the Eelam Tamil homeland and its diaspora, links which are essential both to the ordinary functioning of civil society and to the ability of affected communities to bring their situation to the attention of international human rights mechanisms.</w:t>
      </w:r>
    </w:p>
    <w:p w14:paraId="13C37F9E" w14:textId="77777777" w:rsidR="00DA446C" w:rsidRPr="001E2963" w:rsidRDefault="00000000">
      <w:pPr>
        <w:spacing w:after="200" w:line="276" w:lineRule="auto"/>
        <w:jc w:val="both"/>
        <w:rPr>
          <w:sz w:val="22"/>
          <w:szCs w:val="22"/>
          <w:lang w:val="en-GB"/>
        </w:rPr>
      </w:pPr>
      <w:r w:rsidRPr="001E2963">
        <w:rPr>
          <w:sz w:val="24"/>
          <w:szCs w:val="24"/>
          <w:lang w:val="en-GB"/>
        </w:rPr>
        <w:lastRenderedPageBreak/>
        <w:t>We recommend that the Committee extend the treatment of transnational funding and cooperation in paragraph 14 to state explicitly that formal or informal partnership between civil society organisations based in a State Party and diaspora organisations of the same community abroad is a protected exercise of freedom of association, and that the invocation of counter-terrorism, national security or foreign-influence legislation to penalise such partnership, absent individualised evidence of unlawful conduct, does not meet the legality and legitimacy requirements set out in paragraph 43 and paragraph 45 of the draft.</w:t>
      </w:r>
    </w:p>
    <w:p w14:paraId="4E039A94" w14:textId="77777777" w:rsidR="00DA446C" w:rsidRPr="001E2963" w:rsidRDefault="00000000">
      <w:pPr>
        <w:pStyle w:val="Heading1"/>
        <w:spacing w:before="360" w:after="200"/>
        <w:rPr>
          <w:sz w:val="36"/>
          <w:szCs w:val="36"/>
          <w:lang w:val="en-GB"/>
        </w:rPr>
      </w:pPr>
      <w:r w:rsidRPr="001E2963">
        <w:rPr>
          <w:b/>
          <w:bCs/>
          <w:color w:val="1F3864"/>
          <w:sz w:val="28"/>
          <w:szCs w:val="28"/>
          <w:lang w:val="en-GB"/>
        </w:rPr>
        <w:t>V. Obstruction, by host States, of victims' and defenders' access to United Nations human rights mechanisms through the denial of visas (paragraphs 29, 32, 36 and 39–40)</w:t>
      </w:r>
    </w:p>
    <w:p w14:paraId="7B4DF2DC" w14:textId="77777777" w:rsidR="00DA446C" w:rsidRPr="001E2963" w:rsidRDefault="00000000">
      <w:pPr>
        <w:spacing w:after="200" w:line="276" w:lineRule="auto"/>
        <w:jc w:val="both"/>
        <w:rPr>
          <w:sz w:val="22"/>
          <w:szCs w:val="22"/>
          <w:lang w:val="en-GB"/>
        </w:rPr>
      </w:pPr>
      <w:r w:rsidRPr="001E2963">
        <w:rPr>
          <w:sz w:val="24"/>
          <w:szCs w:val="24"/>
          <w:lang w:val="en-GB"/>
        </w:rPr>
        <w:t>The final and, in our partnership's assessment, most urgent gap in the draft concerns the positive obligations of States Parties that host United Nations human rights bodies. Paragraph 29 of the draft affirms that the obligations of a State Party under the Covenant extend to multilateral levels for associations acting transnationally and before international bodies, and that these obligations apply to anyone within the power or effective control of that State Party, even where the person concerned is not situated within its territory. Paragraph 33 recognises a positive obligation to create an enabling environment covering the whole life cycle of an association's activity. Paragraphs 39 and 40 address the right to an effective remedy in relation to violations of article 22. None of these provisions, however, squarely addresses a practice that our partnership encounters on a recurring basis: the refusal, by Switzerland, of visas to Tamil victims of human rights violations and to Tamil human rights defenders who seek to travel to Geneva to attend sessions of the Human Rights Council, sessions of United Nations treaty bodies including this Committee, or related civil society side events.</w:t>
      </w:r>
    </w:p>
    <w:p w14:paraId="786ACC9E" w14:textId="77777777" w:rsidR="00DA446C" w:rsidRPr="001E2963" w:rsidRDefault="00000000">
      <w:pPr>
        <w:spacing w:after="200" w:line="276" w:lineRule="auto"/>
        <w:jc w:val="both"/>
        <w:rPr>
          <w:sz w:val="22"/>
          <w:szCs w:val="22"/>
          <w:lang w:val="en-GB"/>
        </w:rPr>
      </w:pPr>
      <w:r w:rsidRPr="001E2963">
        <w:rPr>
          <w:sz w:val="24"/>
          <w:szCs w:val="24"/>
          <w:lang w:val="en-GB"/>
        </w:rPr>
        <w:t>Geneva is the seat of the principal United Nations human rights mechanisms, and physical presence there, whether to deliver an oral statement, to meet with mandate holders and treaty body members, to participate in side events organised by other civil society actors, or simply to be present as a witness, remains for many victims and defenders an irreplaceable form of associational and advocacy activity, one that written submissions cannot substitute for. When Switzerland, as the host State, denies entry visas to Tamil applicants invited by accredited non-governmental organisations, including organisations with ECOSOC consultative status, to participate in these processes, often on the stated ground of insufficient proof of intent to return or insufficient financial guarantees, the practical effect is to exclude precisely those victims and defenders whose testimony is most directly relevant to the work of the Council and the treaty bodies, while leaving unaffected those less connected to the underlying violations. Our partners have documented repeated visa refusals affecting Tamil civil society representatives seeking to attend sessions relevant to Sri Lanka, including individuals who had received formal invitations and letters of support from accredited organisations.</w:t>
      </w:r>
    </w:p>
    <w:p w14:paraId="3438BC6A" w14:textId="77777777" w:rsidR="00DA446C" w:rsidRPr="001E2963" w:rsidRDefault="00000000">
      <w:pPr>
        <w:spacing w:after="200" w:line="276" w:lineRule="auto"/>
        <w:jc w:val="both"/>
        <w:rPr>
          <w:sz w:val="22"/>
          <w:szCs w:val="22"/>
          <w:lang w:val="en-GB"/>
        </w:rPr>
      </w:pPr>
      <w:r w:rsidRPr="001E2963">
        <w:rPr>
          <w:sz w:val="24"/>
          <w:szCs w:val="24"/>
          <w:lang w:val="en-GB"/>
        </w:rPr>
        <w:t xml:space="preserve">This practice sits at the intersection of the host State's ordinary immigration discretion and its distinct obligations, as host of United Nations human rights bodies, to facilitate rather than obstruct civil society engagement with those bodies. We submit that a visa refusal directed at a victim or human </w:t>
      </w:r>
      <w:r w:rsidRPr="001E2963">
        <w:rPr>
          <w:sz w:val="24"/>
          <w:szCs w:val="24"/>
          <w:lang w:val="en-GB"/>
        </w:rPr>
        <w:lastRenderedPageBreak/>
        <w:t>rights defender seeking to attend a session of a United Nations human rights mechanism in the host State's territory, particularly where that person has a documented invitation from an accredited organisation, is properly understood as interference with the exercise of the right to freedom of association under article 22, because it obstructs a core associational activity, namely the collective act of advocacy before an international human rights body that the Committee has itself recognised in paragraph 29. Such a refusal also engages the host State's independent responsibilities, as reflected in relevant United Nations headquarters and host agreements, to facilitate access by representatives of non-governmental organisations to United Nations premises and proceedings.</w:t>
      </w:r>
    </w:p>
    <w:p w14:paraId="7FA10173" w14:textId="77777777" w:rsidR="00DA446C" w:rsidRPr="001E2963" w:rsidRDefault="00000000">
      <w:pPr>
        <w:spacing w:after="200" w:line="276" w:lineRule="auto"/>
        <w:jc w:val="both"/>
        <w:rPr>
          <w:sz w:val="22"/>
          <w:szCs w:val="22"/>
          <w:lang w:val="en-GB"/>
        </w:rPr>
      </w:pPr>
      <w:r w:rsidRPr="001E2963">
        <w:rPr>
          <w:sz w:val="24"/>
          <w:szCs w:val="24"/>
          <w:lang w:val="en-GB"/>
        </w:rPr>
        <w:t>We recognise that the regulation of entry is, in the first instance, a matter of the discretion of the State concerned, and that article 22 does not create a general right of entry. Our recommendation is narrower and more specific: that the draft General Comment recognise that where a State Party hosts a United Nations human rights body, its positive obligations under article 22, read together with article 2(3) on the right to an effective remedy, require it to apply visa procedures for accredited civil society representatives, victims and defenders invited to participate in the proceedings of that body in a manner that does not discriminate, directly or indirectly, on grounds such as national or ethnic origin, and to provide a reasoned, reviewable decision where a visa is refused to such an applicant. We further recommend that the Committee encourage States Parties hosting international human rights mechanisms to establish expedited and transparent visa procedures for individuals holding documented invitations connected to sessions of those mechanisms, consistent with the spirit of paragraph 29's recognition of the multilateral dimension of the obligations under article 22.</w:t>
      </w:r>
    </w:p>
    <w:p w14:paraId="5EC19BE6" w14:textId="77777777" w:rsidR="00DA446C" w:rsidRPr="001E2963" w:rsidRDefault="00000000">
      <w:pPr>
        <w:pStyle w:val="Heading1"/>
        <w:spacing w:before="360" w:after="200"/>
        <w:rPr>
          <w:sz w:val="36"/>
          <w:szCs w:val="36"/>
          <w:lang w:val="en-GB"/>
        </w:rPr>
      </w:pPr>
      <w:r w:rsidRPr="001E2963">
        <w:rPr>
          <w:b/>
          <w:bCs/>
          <w:color w:val="1F3864"/>
          <w:sz w:val="28"/>
          <w:szCs w:val="28"/>
          <w:lang w:val="en-GB"/>
        </w:rPr>
        <w:t>VI. Recommendations for the second reading</w:t>
      </w:r>
    </w:p>
    <w:p w14:paraId="4486C1F6" w14:textId="77777777" w:rsidR="00DA446C" w:rsidRPr="001E2963" w:rsidRDefault="00000000">
      <w:pPr>
        <w:spacing w:after="200" w:line="276" w:lineRule="auto"/>
        <w:jc w:val="both"/>
        <w:rPr>
          <w:sz w:val="22"/>
          <w:szCs w:val="22"/>
          <w:lang w:val="en-GB"/>
        </w:rPr>
      </w:pPr>
      <w:r w:rsidRPr="001E2963">
        <w:rPr>
          <w:sz w:val="24"/>
          <w:szCs w:val="24"/>
          <w:lang w:val="en-GB"/>
        </w:rPr>
        <w:t>In light of the foregoing, and without prejudice to the many strengths of the current draft, Association Thendral and its partners in the North and East of Sri Lanka respectfully recommend that the Committee consider the following amendments and additions ahead of the second reading of Draft General Comment No. 38:</w:t>
      </w:r>
    </w:p>
    <w:p w14:paraId="00CBDA6E" w14:textId="77777777" w:rsidR="00DA446C" w:rsidRPr="001E2963" w:rsidRDefault="00000000">
      <w:pPr>
        <w:spacing w:after="160" w:line="276" w:lineRule="auto"/>
        <w:jc w:val="both"/>
        <w:rPr>
          <w:sz w:val="22"/>
          <w:szCs w:val="22"/>
          <w:lang w:val="en-GB"/>
        </w:rPr>
      </w:pPr>
      <w:r w:rsidRPr="001E2963">
        <w:rPr>
          <w:b/>
          <w:bCs/>
          <w:sz w:val="24"/>
          <w:szCs w:val="24"/>
          <w:lang w:val="en-GB"/>
        </w:rPr>
        <w:t xml:space="preserve">1. </w:t>
      </w:r>
      <w:r w:rsidRPr="001E2963">
        <w:rPr>
          <w:sz w:val="24"/>
          <w:szCs w:val="24"/>
          <w:lang w:val="en-GB"/>
        </w:rPr>
        <w:t xml:space="preserve">Amend paragraph 9 to add an explicit reference to persons and communities living under military occupation or protracted post-conflict militarisation, particularly </w:t>
      </w:r>
      <w:proofErr w:type="gramStart"/>
      <w:r w:rsidRPr="001E2963">
        <w:rPr>
          <w:sz w:val="24"/>
          <w:szCs w:val="24"/>
          <w:lang w:val="en-GB"/>
        </w:rPr>
        <w:t>where</w:t>
      </w:r>
      <w:proofErr w:type="gramEnd"/>
      <w:r w:rsidRPr="001E2963">
        <w:rPr>
          <w:sz w:val="24"/>
          <w:szCs w:val="24"/>
          <w:lang w:val="en-GB"/>
        </w:rPr>
        <w:t xml:space="preserve"> accompanied by ethnic, religious or other group-based segregation, among the categories whose exercise of freedom of association is subject to differentiated and heightened restriction.</w:t>
      </w:r>
    </w:p>
    <w:p w14:paraId="27875C32" w14:textId="77777777" w:rsidR="00DA446C" w:rsidRPr="001E2963" w:rsidRDefault="00000000">
      <w:pPr>
        <w:spacing w:after="160" w:line="276" w:lineRule="auto"/>
        <w:jc w:val="both"/>
        <w:rPr>
          <w:sz w:val="22"/>
          <w:szCs w:val="22"/>
          <w:lang w:val="en-GB"/>
        </w:rPr>
      </w:pPr>
      <w:r w:rsidRPr="001E2963">
        <w:rPr>
          <w:b/>
          <w:bCs/>
          <w:sz w:val="24"/>
          <w:szCs w:val="24"/>
          <w:lang w:val="en-GB"/>
        </w:rPr>
        <w:t xml:space="preserve">2. </w:t>
      </w:r>
      <w:r w:rsidRPr="001E2963">
        <w:rPr>
          <w:sz w:val="24"/>
          <w:szCs w:val="24"/>
          <w:lang w:val="en-GB"/>
        </w:rPr>
        <w:t>Add a general principle, applicable throughout the General Comment, that the assessment of compliance with article 22 in occupied or heavily militarised contexts must extend beyond the existence of a facially neutral legal framework to the de facto operation of military and security structures that condition or chill associational life.</w:t>
      </w:r>
    </w:p>
    <w:p w14:paraId="0EE8A06B" w14:textId="77777777" w:rsidR="00DA446C" w:rsidRPr="001E2963" w:rsidRDefault="00000000">
      <w:pPr>
        <w:spacing w:after="160" w:line="276" w:lineRule="auto"/>
        <w:jc w:val="both"/>
        <w:rPr>
          <w:sz w:val="22"/>
          <w:szCs w:val="22"/>
          <w:lang w:val="en-GB"/>
        </w:rPr>
      </w:pPr>
      <w:r w:rsidRPr="001E2963">
        <w:rPr>
          <w:b/>
          <w:bCs/>
          <w:sz w:val="24"/>
          <w:szCs w:val="24"/>
          <w:lang w:val="en-GB"/>
        </w:rPr>
        <w:t xml:space="preserve">3. </w:t>
      </w:r>
      <w:r w:rsidRPr="001E2963">
        <w:rPr>
          <w:sz w:val="24"/>
          <w:szCs w:val="24"/>
          <w:lang w:val="en-GB"/>
        </w:rPr>
        <w:t xml:space="preserve">Add language recognising that the demilitarisation of schools and universities is a precondition for the meaningful enjoyment of freedom of association by students, staff and educational associations, and that the stationing of military or intelligence personnel within or in the governance of such </w:t>
      </w:r>
      <w:r w:rsidRPr="001E2963">
        <w:rPr>
          <w:sz w:val="24"/>
          <w:szCs w:val="24"/>
          <w:lang w:val="en-GB"/>
        </w:rPr>
        <w:lastRenderedPageBreak/>
        <w:t>institutions is presumptively incompatible with article 22 absent an exceptional, narrowly tailored justification.</w:t>
      </w:r>
    </w:p>
    <w:p w14:paraId="0D5ED4F8" w14:textId="77777777" w:rsidR="00DA446C" w:rsidRPr="001E2963" w:rsidRDefault="00000000">
      <w:pPr>
        <w:spacing w:after="160" w:line="276" w:lineRule="auto"/>
        <w:jc w:val="both"/>
        <w:rPr>
          <w:sz w:val="22"/>
          <w:szCs w:val="22"/>
          <w:lang w:val="en-GB"/>
        </w:rPr>
      </w:pPr>
      <w:r w:rsidRPr="001E2963">
        <w:rPr>
          <w:b/>
          <w:bCs/>
          <w:sz w:val="24"/>
          <w:szCs w:val="24"/>
          <w:lang w:val="en-GB"/>
        </w:rPr>
        <w:t xml:space="preserve">4. </w:t>
      </w:r>
      <w:r w:rsidRPr="001E2963">
        <w:rPr>
          <w:sz w:val="24"/>
          <w:szCs w:val="24"/>
          <w:lang w:val="en-GB"/>
        </w:rPr>
        <w:t>Add an example, within the discussion of restrictions under article 22(2), addressing the recurring blanket denial of permits for lawful commemorative or memorial gatherings organised by a specific community, and clarify that such recurring denials require a case-specific, proportionate justification and cannot rest on abstract invocations of public order or national security.</w:t>
      </w:r>
    </w:p>
    <w:p w14:paraId="0A1CF0BF" w14:textId="77777777" w:rsidR="00DA446C" w:rsidRPr="001E2963" w:rsidRDefault="00000000">
      <w:pPr>
        <w:spacing w:after="160" w:line="276" w:lineRule="auto"/>
        <w:jc w:val="both"/>
        <w:rPr>
          <w:sz w:val="22"/>
          <w:szCs w:val="22"/>
          <w:lang w:val="en-GB"/>
        </w:rPr>
      </w:pPr>
      <w:r w:rsidRPr="001E2963">
        <w:rPr>
          <w:b/>
          <w:bCs/>
          <w:sz w:val="24"/>
          <w:szCs w:val="24"/>
          <w:lang w:val="en-GB"/>
        </w:rPr>
        <w:t xml:space="preserve">5. </w:t>
      </w:r>
      <w:r w:rsidRPr="001E2963">
        <w:rPr>
          <w:sz w:val="24"/>
          <w:szCs w:val="24"/>
          <w:lang w:val="en-GB"/>
        </w:rPr>
        <w:t>Extend paragraph 14 to state explicitly that partnership between civil society organisations based in a State Party and diaspora organisations of the same community abroad is a protected exercise of freedom of association, and that counter-terrorism, national security or foreign-influence legislation may not be invoked to penalise such partnership absent individualised evidence of unlawful conduct.</w:t>
      </w:r>
    </w:p>
    <w:p w14:paraId="134C8587" w14:textId="77777777" w:rsidR="00DA446C" w:rsidRPr="001E2963" w:rsidRDefault="00000000">
      <w:pPr>
        <w:spacing w:after="160" w:line="276" w:lineRule="auto"/>
        <w:jc w:val="both"/>
        <w:rPr>
          <w:sz w:val="22"/>
          <w:szCs w:val="22"/>
          <w:lang w:val="en-GB"/>
        </w:rPr>
      </w:pPr>
      <w:r w:rsidRPr="001E2963">
        <w:rPr>
          <w:b/>
          <w:bCs/>
          <w:sz w:val="24"/>
          <w:szCs w:val="24"/>
          <w:lang w:val="en-GB"/>
        </w:rPr>
        <w:t xml:space="preserve">6. </w:t>
      </w:r>
      <w:r w:rsidRPr="001E2963">
        <w:rPr>
          <w:sz w:val="24"/>
          <w:szCs w:val="24"/>
          <w:lang w:val="en-GB"/>
        </w:rPr>
        <w:t>Add a dedicated paragraph, in the discussion of extraterritorial and multilateral obligations following paragraph 29, recognising that a State Party hosting a United Nations human rights mechanism has a positive obligation, flowing from article 22 read with article 2(3), to apply visa procedures for accredited civil society representatives, victims and defenders in a non-discriminatory, reasoned and reviewable manner, and encouraging expedited procedures for individuals holding documented invitations connected to sessions of such mechanisms.</w:t>
      </w:r>
    </w:p>
    <w:p w14:paraId="79AB355D" w14:textId="77777777" w:rsidR="00DA446C" w:rsidRPr="001E2963" w:rsidRDefault="00000000">
      <w:pPr>
        <w:spacing w:after="160" w:line="276" w:lineRule="auto"/>
        <w:jc w:val="both"/>
        <w:rPr>
          <w:sz w:val="22"/>
          <w:szCs w:val="22"/>
          <w:lang w:val="en-GB"/>
        </w:rPr>
      </w:pPr>
      <w:r w:rsidRPr="001E2963">
        <w:rPr>
          <w:b/>
          <w:bCs/>
          <w:sz w:val="24"/>
          <w:szCs w:val="24"/>
          <w:lang w:val="en-GB"/>
        </w:rPr>
        <w:t xml:space="preserve">7. </w:t>
      </w:r>
      <w:r w:rsidRPr="001E2963">
        <w:rPr>
          <w:sz w:val="24"/>
          <w:szCs w:val="24"/>
          <w:lang w:val="en-GB"/>
        </w:rPr>
        <w:t>Clarify, in the discussion of remedies in paragraphs 39 and 40, that a reasoned and reviewable process for challenging visa refusals affecting participation in international human rights mechanisms forms part of the effective remedy owed under article 2(3) in this context.</w:t>
      </w:r>
    </w:p>
    <w:p w14:paraId="382B2483" w14:textId="77777777" w:rsidR="00DA446C" w:rsidRPr="001E2963" w:rsidRDefault="00000000">
      <w:pPr>
        <w:spacing w:after="160" w:line="276" w:lineRule="auto"/>
        <w:jc w:val="both"/>
        <w:rPr>
          <w:sz w:val="22"/>
          <w:szCs w:val="22"/>
          <w:lang w:val="en-GB"/>
        </w:rPr>
      </w:pPr>
      <w:r w:rsidRPr="001E2963">
        <w:rPr>
          <w:b/>
          <w:bCs/>
          <w:sz w:val="24"/>
          <w:szCs w:val="24"/>
          <w:lang w:val="en-GB"/>
        </w:rPr>
        <w:t xml:space="preserve">8. </w:t>
      </w:r>
      <w:r w:rsidRPr="001E2963">
        <w:rPr>
          <w:sz w:val="24"/>
          <w:szCs w:val="24"/>
          <w:lang w:val="en-GB"/>
        </w:rPr>
        <w:t>Cross-reference, in section VI on states of emergency, armed conflict and occupation, the specific compounding effect of prolonged low-intensity militarisation short of a formally declared emergency, which our partnership's experience shows can produce restrictive effects on associational life comparable to those arising in declared states of emergency, without triggering the procedural safeguards of article 4.</w:t>
      </w:r>
    </w:p>
    <w:p w14:paraId="6A24913A" w14:textId="77777777" w:rsidR="00DA446C" w:rsidRPr="001E2963" w:rsidRDefault="00000000">
      <w:pPr>
        <w:pStyle w:val="Heading1"/>
        <w:spacing w:before="360" w:after="200"/>
        <w:rPr>
          <w:sz w:val="36"/>
          <w:szCs w:val="36"/>
          <w:lang w:val="en-GB"/>
        </w:rPr>
      </w:pPr>
      <w:r w:rsidRPr="001E2963">
        <w:rPr>
          <w:b/>
          <w:bCs/>
          <w:color w:val="1F3864"/>
          <w:sz w:val="28"/>
          <w:szCs w:val="28"/>
          <w:lang w:val="en-GB"/>
        </w:rPr>
        <w:t>VII. Conclusion</w:t>
      </w:r>
    </w:p>
    <w:p w14:paraId="17E43D88" w14:textId="77777777" w:rsidR="00DA446C" w:rsidRPr="001E2963" w:rsidRDefault="00000000">
      <w:pPr>
        <w:spacing w:after="200" w:line="276" w:lineRule="auto"/>
        <w:jc w:val="both"/>
        <w:rPr>
          <w:sz w:val="22"/>
          <w:szCs w:val="22"/>
          <w:lang w:val="en-GB"/>
        </w:rPr>
      </w:pPr>
      <w:r w:rsidRPr="001E2963">
        <w:rPr>
          <w:sz w:val="24"/>
          <w:szCs w:val="24"/>
          <w:lang w:val="en-GB"/>
        </w:rPr>
        <w:t>Association Thendral and its partners in the North and East of Sri Lanka offer these comments in a constructive spirit, in support of the Committee's evident intention to produce a General Comment that speaks to the full range of contemporary obstacles to freedom of association. The Eelam Tamil experience, of associational life conducted under sustained military occupation, within militarised universities, under recurring bans on commemorative assembly, amid restrictions on diaspora cooperation, and against a backdrop of obstructed access to the very United Nations mechanisms mandated to hear these concerns, is not a marginal case. It illustrates, in concentrated form, several of the structural pressures on freedom of association that civil society actors face in a range of post-conflict, occupied or otherwise heavily securitised settings around the world. We thank the Committee for its consideration of these comments and remain available to provide further information or documentation ahead of the second reading.</w:t>
      </w:r>
    </w:p>
    <w:sectPr w:rsidR="00DA446C" w:rsidRPr="001E2963" w:rsidSect="001E2963">
      <w:headerReference w:type="default" r:id="rId10"/>
      <w:footerReference w:type="default" r:id="rId11"/>
      <w:pgSz w:w="11906" w:h="16838" w:code="9"/>
      <w:pgMar w:top="1134" w:right="1077" w:bottom="1134" w:left="1077" w:header="454"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7253F" w14:textId="77777777" w:rsidR="00457013" w:rsidRDefault="00457013">
      <w:r>
        <w:separator/>
      </w:r>
    </w:p>
  </w:endnote>
  <w:endnote w:type="continuationSeparator" w:id="0">
    <w:p w14:paraId="7F5FC292" w14:textId="77777777" w:rsidR="00457013" w:rsidRDefault="00457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2256A" w14:textId="77777777" w:rsidR="00DA446C" w:rsidRDefault="00000000">
    <w:pPr>
      <w:jc w:val="center"/>
    </w:pPr>
    <w:r>
      <w:rPr>
        <w:color w:val="808080"/>
        <w:sz w:val="18"/>
        <w:szCs w:val="18"/>
      </w:rPr>
      <w:t xml:space="preserve">Page </w:t>
    </w:r>
    <w:r>
      <w:rPr>
        <w:color w:val="808080"/>
        <w:sz w:val="18"/>
        <w:szCs w:val="18"/>
      </w:rPr>
      <w:fldChar w:fldCharType="begin"/>
    </w:r>
    <w:r>
      <w:rPr>
        <w:color w:val="808080"/>
        <w:sz w:val="18"/>
        <w:szCs w:val="18"/>
      </w:rPr>
      <w:instrText>PAGE</w:instrText>
    </w:r>
    <w:r>
      <w:rPr>
        <w:color w:val="808080"/>
        <w:sz w:val="18"/>
        <w:szCs w:val="18"/>
      </w:rPr>
      <w:fldChar w:fldCharType="separate"/>
    </w:r>
    <w:r w:rsidR="001E2963">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38D1A" w14:textId="77777777" w:rsidR="00457013" w:rsidRDefault="00457013">
      <w:r>
        <w:separator/>
      </w:r>
    </w:p>
  </w:footnote>
  <w:footnote w:type="continuationSeparator" w:id="0">
    <w:p w14:paraId="695F57B7" w14:textId="77777777" w:rsidR="00457013" w:rsidRDefault="00457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95188" w14:textId="77777777" w:rsidR="001E2963" w:rsidRPr="00A8589A" w:rsidRDefault="001E2963" w:rsidP="001E2963">
    <w:pPr>
      <w:pStyle w:val="NoSpacing"/>
      <w:rPr>
        <w:rFonts w:ascii="Bookman Old Style" w:hAnsi="Bookman Old Style"/>
        <w:sz w:val="20"/>
        <w:szCs w:val="20"/>
      </w:rPr>
    </w:pPr>
    <w:r w:rsidRPr="00A8589A">
      <w:rPr>
        <w:rFonts w:cs="Calibri"/>
        <w:b/>
        <w:bCs/>
        <w:color w:val="ED1C24"/>
        <w:sz w:val="32"/>
        <w:szCs w:val="32"/>
      </w:rPr>
      <w:t>A</w:t>
    </w:r>
    <w:r w:rsidRPr="00A8589A">
      <w:rPr>
        <w:rFonts w:cs="Calibri"/>
        <w:b/>
        <w:bCs/>
        <w:color w:val="FFC000"/>
        <w:sz w:val="32"/>
        <w:szCs w:val="32"/>
      </w:rPr>
      <w:t>s</w:t>
    </w:r>
    <w:r w:rsidRPr="00A8589A">
      <w:rPr>
        <w:rFonts w:cs="Calibri"/>
        <w:b/>
        <w:bCs/>
        <w:color w:val="5B9BD5"/>
        <w:sz w:val="32"/>
        <w:szCs w:val="32"/>
      </w:rPr>
      <w:t>s</w:t>
    </w:r>
    <w:r w:rsidRPr="00A8589A">
      <w:rPr>
        <w:rFonts w:cs="Calibri"/>
        <w:b/>
        <w:bCs/>
        <w:color w:val="A349A4"/>
        <w:sz w:val="32"/>
        <w:szCs w:val="32"/>
      </w:rPr>
      <w:t>o</w:t>
    </w:r>
    <w:r w:rsidRPr="00A8589A">
      <w:rPr>
        <w:rFonts w:cs="Calibri"/>
        <w:b/>
        <w:bCs/>
        <w:color w:val="FFC000"/>
        <w:sz w:val="32"/>
        <w:szCs w:val="32"/>
      </w:rPr>
      <w:t>c</w:t>
    </w:r>
    <w:r w:rsidRPr="00A8589A">
      <w:rPr>
        <w:rFonts w:cs="Calibri"/>
        <w:b/>
        <w:bCs/>
        <w:color w:val="5B9BD5"/>
        <w:sz w:val="32"/>
        <w:szCs w:val="32"/>
      </w:rPr>
      <w:t>i</w:t>
    </w:r>
    <w:r w:rsidRPr="00A8589A">
      <w:rPr>
        <w:rFonts w:cs="Calibri"/>
        <w:b/>
        <w:bCs/>
        <w:color w:val="22B14C"/>
        <w:sz w:val="32"/>
        <w:szCs w:val="32"/>
      </w:rPr>
      <w:t>a</w:t>
    </w:r>
    <w:r w:rsidRPr="00A8589A">
      <w:rPr>
        <w:rFonts w:cs="Calibri"/>
        <w:b/>
        <w:bCs/>
        <w:color w:val="FFC000"/>
        <w:sz w:val="32"/>
        <w:szCs w:val="32"/>
      </w:rPr>
      <w:t>t</w:t>
    </w:r>
    <w:r w:rsidRPr="00A8589A">
      <w:rPr>
        <w:rFonts w:cs="Calibri"/>
        <w:b/>
        <w:bCs/>
        <w:color w:val="5B9BD5"/>
        <w:sz w:val="32"/>
        <w:szCs w:val="32"/>
      </w:rPr>
      <w:t>i</w:t>
    </w:r>
    <w:r w:rsidRPr="00A8589A">
      <w:rPr>
        <w:rFonts w:cs="Calibri"/>
        <w:b/>
        <w:bCs/>
        <w:color w:val="FF7F27"/>
        <w:sz w:val="32"/>
        <w:szCs w:val="32"/>
      </w:rPr>
      <w:t>o</w:t>
    </w:r>
    <w:r w:rsidRPr="00A8589A">
      <w:rPr>
        <w:rFonts w:cs="Calibri"/>
        <w:b/>
        <w:bCs/>
        <w:color w:val="5B9BD5"/>
        <w:sz w:val="32"/>
        <w:szCs w:val="32"/>
      </w:rPr>
      <w:t>n</w:t>
    </w:r>
    <w:r w:rsidRPr="00A8589A">
      <w:rPr>
        <w:rFonts w:cs="Calibri"/>
        <w:b/>
        <w:bCs/>
        <w:color w:val="FFFFFF"/>
        <w:sz w:val="32"/>
        <w:szCs w:val="32"/>
      </w:rPr>
      <w:t xml:space="preserve"> </w:t>
    </w:r>
    <w:r w:rsidRPr="00A8589A">
      <w:rPr>
        <w:rFonts w:cs="Calibri"/>
        <w:b/>
        <w:bCs/>
        <w:color w:val="FF0000"/>
        <w:sz w:val="32"/>
        <w:szCs w:val="32"/>
      </w:rPr>
      <w:t>T</w:t>
    </w:r>
    <w:r w:rsidRPr="00A8589A">
      <w:rPr>
        <w:rFonts w:cs="Calibri"/>
        <w:b/>
        <w:bCs/>
        <w:color w:val="FFC000"/>
        <w:sz w:val="32"/>
        <w:szCs w:val="32"/>
      </w:rPr>
      <w:t>h</w:t>
    </w:r>
    <w:r w:rsidRPr="00A8589A">
      <w:rPr>
        <w:rFonts w:cs="Calibri"/>
        <w:b/>
        <w:bCs/>
        <w:color w:val="0070C0"/>
        <w:sz w:val="32"/>
        <w:szCs w:val="32"/>
      </w:rPr>
      <w:t>e</w:t>
    </w:r>
    <w:r w:rsidRPr="00A8589A">
      <w:rPr>
        <w:rFonts w:cs="Calibri"/>
        <w:b/>
        <w:bCs/>
        <w:color w:val="00B050"/>
        <w:sz w:val="32"/>
        <w:szCs w:val="32"/>
      </w:rPr>
      <w:t>n</w:t>
    </w:r>
    <w:r w:rsidRPr="00A8589A">
      <w:rPr>
        <w:rFonts w:cs="Calibri"/>
        <w:b/>
        <w:bCs/>
        <w:color w:val="00B0F0"/>
        <w:sz w:val="32"/>
        <w:szCs w:val="32"/>
      </w:rPr>
      <w:t>d</w:t>
    </w:r>
    <w:r w:rsidRPr="00A8589A">
      <w:rPr>
        <w:rFonts w:cs="Calibri"/>
        <w:b/>
        <w:bCs/>
        <w:color w:val="70AD47"/>
        <w:sz w:val="32"/>
        <w:szCs w:val="32"/>
      </w:rPr>
      <w:t>r</w:t>
    </w:r>
    <w:r w:rsidRPr="00A8589A">
      <w:rPr>
        <w:rFonts w:cs="Calibri"/>
        <w:b/>
        <w:bCs/>
        <w:color w:val="4472C4"/>
        <w:sz w:val="32"/>
        <w:szCs w:val="32"/>
      </w:rPr>
      <w:t>a</w:t>
    </w:r>
    <w:r w:rsidRPr="00A8589A">
      <w:rPr>
        <w:rFonts w:cs="Calibri"/>
        <w:b/>
        <w:bCs/>
        <w:color w:val="FFC000"/>
        <w:sz w:val="32"/>
        <w:szCs w:val="32"/>
      </w:rPr>
      <w:t>l</w:t>
    </w:r>
  </w:p>
  <w:p w14:paraId="58898F5E" w14:textId="77777777" w:rsidR="001E2963" w:rsidRPr="00A8589A" w:rsidRDefault="001E2963" w:rsidP="001E2963">
    <w:pPr>
      <w:pStyle w:val="NoSpacing"/>
      <w:rPr>
        <w:rFonts w:ascii="Bookman Old Style" w:hAnsi="Bookman Old Style"/>
        <w:sz w:val="20"/>
        <w:szCs w:val="20"/>
      </w:rPr>
    </w:pPr>
    <w:r w:rsidRPr="00A8589A">
      <w:rPr>
        <w:rFonts w:ascii="Bookman Old Style" w:hAnsi="Bookman Old Style"/>
        <w:sz w:val="20"/>
        <w:szCs w:val="20"/>
      </w:rPr>
      <w:t xml:space="preserve">50 rue Moise </w:t>
    </w:r>
  </w:p>
  <w:p w14:paraId="304DF57F" w14:textId="77777777" w:rsidR="001E2963" w:rsidRPr="00A8589A" w:rsidRDefault="001E2963" w:rsidP="001E2963">
    <w:pPr>
      <w:pStyle w:val="NoSpacing"/>
      <w:rPr>
        <w:rFonts w:ascii="Bookman Old Style" w:hAnsi="Bookman Old Style"/>
        <w:sz w:val="20"/>
        <w:szCs w:val="20"/>
      </w:rPr>
    </w:pPr>
    <w:r w:rsidRPr="00A8589A">
      <w:rPr>
        <w:rFonts w:ascii="Bookman Old Style" w:hAnsi="Bookman Old Style"/>
        <w:sz w:val="20"/>
        <w:szCs w:val="20"/>
      </w:rPr>
      <w:t xml:space="preserve">76000 Rouen </w:t>
    </w:r>
  </w:p>
  <w:p w14:paraId="39CFD5A4" w14:textId="77777777" w:rsidR="001E2963" w:rsidRPr="00A8589A" w:rsidRDefault="001E2963" w:rsidP="001E2963">
    <w:pPr>
      <w:pStyle w:val="NoSpacing"/>
      <w:rPr>
        <w:rFonts w:ascii="Bookman Old Style" w:hAnsi="Bookman Old Style"/>
        <w:sz w:val="20"/>
        <w:szCs w:val="20"/>
      </w:rPr>
    </w:pPr>
    <w:r w:rsidRPr="00A8589A">
      <w:rPr>
        <w:rFonts w:ascii="Bookman Old Style" w:hAnsi="Bookman Old Style"/>
        <w:sz w:val="20"/>
        <w:szCs w:val="20"/>
      </w:rPr>
      <w:t xml:space="preserve">Port </w:t>
    </w:r>
    <w:r w:rsidRPr="00A8589A">
      <w:rPr>
        <w:rFonts w:ascii="Bookman Old Style" w:hAnsi="Bookman Old Style"/>
        <w:sz w:val="20"/>
        <w:szCs w:val="20"/>
      </w:rPr>
      <w:tab/>
      <w:t>: 00.33.7.68.58.54.25</w:t>
    </w:r>
  </w:p>
  <w:p w14:paraId="7543B982" w14:textId="77777777" w:rsidR="001E2963" w:rsidRPr="00A8589A" w:rsidRDefault="001E2963" w:rsidP="001E2963">
    <w:pPr>
      <w:pStyle w:val="NoSpacing"/>
      <w:rPr>
        <w:rFonts w:ascii="Bookman Old Style" w:hAnsi="Bookman Old Style"/>
        <w:sz w:val="20"/>
        <w:szCs w:val="20"/>
      </w:rPr>
    </w:pPr>
    <w:r w:rsidRPr="00A8589A">
      <w:rPr>
        <w:rFonts w:ascii="Bookman Old Style" w:hAnsi="Bookman Old Style"/>
        <w:sz w:val="20"/>
        <w:szCs w:val="20"/>
      </w:rPr>
      <w:t xml:space="preserve">Fax </w:t>
    </w:r>
    <w:r w:rsidRPr="00A8589A">
      <w:rPr>
        <w:rFonts w:ascii="Bookman Old Style" w:hAnsi="Bookman Old Style"/>
        <w:sz w:val="20"/>
        <w:szCs w:val="20"/>
      </w:rPr>
      <w:tab/>
      <w:t>: 00.33.1.79.75.88.23</w:t>
    </w:r>
  </w:p>
  <w:p w14:paraId="4230B4A0" w14:textId="77777777" w:rsidR="001E2963" w:rsidRPr="00A8589A" w:rsidRDefault="001E2963" w:rsidP="001E2963">
    <w:pPr>
      <w:pStyle w:val="NoSpacing"/>
      <w:rPr>
        <w:rFonts w:ascii="Bookman Old Style" w:hAnsi="Bookman Old Style"/>
        <w:sz w:val="20"/>
        <w:szCs w:val="20"/>
        <w:lang w:val="en-US"/>
      </w:rPr>
    </w:pPr>
    <w:r w:rsidRPr="00A8589A">
      <w:rPr>
        <w:rFonts w:ascii="Bookman Old Style" w:hAnsi="Bookman Old Style"/>
        <w:sz w:val="20"/>
        <w:szCs w:val="20"/>
        <w:lang w:val="en-US"/>
      </w:rPr>
      <w:t>thendral94470@gmail.com</w:t>
    </w:r>
  </w:p>
  <w:p w14:paraId="7309D8ED" w14:textId="77777777" w:rsidR="001E2963" w:rsidRDefault="001E2963">
    <w:pPr>
      <w:pStyle w:val="Header"/>
    </w:pPr>
  </w:p>
  <w:p w14:paraId="23DBF12F" w14:textId="77777777" w:rsidR="001E2963" w:rsidRDefault="001E2963" w:rsidP="001E2963">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C2EE3"/>
    <w:multiLevelType w:val="hybridMultilevel"/>
    <w:tmpl w:val="12F0D614"/>
    <w:lvl w:ilvl="0" w:tplc="660E8922">
      <w:start w:val="1"/>
      <w:numFmt w:val="bullet"/>
      <w:lvlText w:val="●"/>
      <w:lvlJc w:val="left"/>
      <w:pPr>
        <w:ind w:left="720" w:hanging="360"/>
      </w:pPr>
    </w:lvl>
    <w:lvl w:ilvl="1" w:tplc="3FA2B7D0">
      <w:start w:val="1"/>
      <w:numFmt w:val="bullet"/>
      <w:lvlText w:val="○"/>
      <w:lvlJc w:val="left"/>
      <w:pPr>
        <w:ind w:left="1440" w:hanging="360"/>
      </w:pPr>
    </w:lvl>
    <w:lvl w:ilvl="2" w:tplc="29FCF7F8">
      <w:start w:val="1"/>
      <w:numFmt w:val="bullet"/>
      <w:lvlText w:val="■"/>
      <w:lvlJc w:val="left"/>
      <w:pPr>
        <w:ind w:left="2160" w:hanging="360"/>
      </w:pPr>
    </w:lvl>
    <w:lvl w:ilvl="3" w:tplc="8DB25BEA">
      <w:start w:val="1"/>
      <w:numFmt w:val="bullet"/>
      <w:lvlText w:val="●"/>
      <w:lvlJc w:val="left"/>
      <w:pPr>
        <w:ind w:left="2880" w:hanging="360"/>
      </w:pPr>
    </w:lvl>
    <w:lvl w:ilvl="4" w:tplc="BE3CB666">
      <w:start w:val="1"/>
      <w:numFmt w:val="bullet"/>
      <w:lvlText w:val="○"/>
      <w:lvlJc w:val="left"/>
      <w:pPr>
        <w:ind w:left="3600" w:hanging="360"/>
      </w:pPr>
    </w:lvl>
    <w:lvl w:ilvl="5" w:tplc="E0047466">
      <w:start w:val="1"/>
      <w:numFmt w:val="bullet"/>
      <w:lvlText w:val="■"/>
      <w:lvlJc w:val="left"/>
      <w:pPr>
        <w:ind w:left="4320" w:hanging="360"/>
      </w:pPr>
    </w:lvl>
    <w:lvl w:ilvl="6" w:tplc="E5FCA862">
      <w:start w:val="1"/>
      <w:numFmt w:val="bullet"/>
      <w:lvlText w:val="●"/>
      <w:lvlJc w:val="left"/>
      <w:pPr>
        <w:ind w:left="5040" w:hanging="360"/>
      </w:pPr>
    </w:lvl>
    <w:lvl w:ilvl="7" w:tplc="43A8EAF0">
      <w:start w:val="1"/>
      <w:numFmt w:val="bullet"/>
      <w:lvlText w:val="●"/>
      <w:lvlJc w:val="left"/>
      <w:pPr>
        <w:ind w:left="5760" w:hanging="360"/>
      </w:pPr>
    </w:lvl>
    <w:lvl w:ilvl="8" w:tplc="84C87126">
      <w:start w:val="1"/>
      <w:numFmt w:val="bullet"/>
      <w:lvlText w:val="●"/>
      <w:lvlJc w:val="left"/>
      <w:pPr>
        <w:ind w:left="6480" w:hanging="360"/>
      </w:pPr>
    </w:lvl>
  </w:abstractNum>
  <w:num w:numId="1" w16cid:durableId="19834621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46C"/>
    <w:rsid w:val="001E2963"/>
    <w:rsid w:val="00457013"/>
    <w:rsid w:val="00512B03"/>
    <w:rsid w:val="008A4DC1"/>
    <w:rsid w:val="00C230EE"/>
    <w:rsid w:val="00CF7A08"/>
    <w:rsid w:val="00DA446C"/>
    <w:rsid w:val="00F846F9"/>
  </w:rsids>
  <m:mathPr>
    <m:mathFont m:val="Cambria Math"/>
    <m:brkBin m:val="before"/>
    <m:brkBinSub m:val="--"/>
    <m:smallFrac m:val="0"/>
    <m:dispDef/>
    <m:lMargin m:val="0"/>
    <m:rMargin m:val="0"/>
    <m:defJc m:val="centerGroup"/>
    <m:wrapIndent m:val="1440"/>
    <m:intLim m:val="subSup"/>
    <m:naryLim m:val="undOvr"/>
  </m:mathPr>
  <w:themeFontLang w:val="fr-FR" w:eastAsia="zh-CN" w:bidi="ta-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90ED7"/>
  <w15:docId w15:val="{1359C206-405A-49B7-8399-A23FF2357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ta-LK"/>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E2963"/>
    <w:pPr>
      <w:tabs>
        <w:tab w:val="center" w:pos="4536"/>
        <w:tab w:val="right" w:pos="9072"/>
      </w:tabs>
    </w:pPr>
  </w:style>
  <w:style w:type="character" w:customStyle="1" w:styleId="HeaderChar">
    <w:name w:val="Header Char"/>
    <w:basedOn w:val="DefaultParagraphFont"/>
    <w:link w:val="Header"/>
    <w:uiPriority w:val="99"/>
    <w:rsid w:val="001E2963"/>
  </w:style>
  <w:style w:type="paragraph" w:styleId="Footer">
    <w:name w:val="footer"/>
    <w:basedOn w:val="Normal"/>
    <w:link w:val="FooterChar"/>
    <w:uiPriority w:val="99"/>
    <w:unhideWhenUsed/>
    <w:rsid w:val="001E2963"/>
    <w:pPr>
      <w:tabs>
        <w:tab w:val="center" w:pos="4536"/>
        <w:tab w:val="right" w:pos="9072"/>
      </w:tabs>
    </w:pPr>
  </w:style>
  <w:style w:type="character" w:customStyle="1" w:styleId="FooterChar">
    <w:name w:val="Footer Char"/>
    <w:basedOn w:val="DefaultParagraphFont"/>
    <w:link w:val="Footer"/>
    <w:uiPriority w:val="99"/>
    <w:rsid w:val="001E2963"/>
  </w:style>
  <w:style w:type="paragraph" w:customStyle="1" w:styleId="Standard">
    <w:name w:val="Standard"/>
    <w:rsid w:val="001E2963"/>
    <w:pPr>
      <w:widowControl w:val="0"/>
      <w:suppressAutoHyphens/>
      <w:autoSpaceDN w:val="0"/>
      <w:textAlignment w:val="baseline"/>
    </w:pPr>
    <w:rPr>
      <w:rFonts w:ascii="Arial" w:eastAsia="Arial" w:hAnsi="Arial" w:cs="Arial"/>
      <w:sz w:val="22"/>
      <w:szCs w:val="22"/>
      <w:lang w:val="en-US" w:eastAsia="zh-CN" w:bidi="hi-IN"/>
    </w:rPr>
  </w:style>
  <w:style w:type="paragraph" w:styleId="NoSpacing">
    <w:name w:val="No Spacing"/>
    <w:link w:val="NoSpacingChar"/>
    <w:uiPriority w:val="1"/>
    <w:qFormat/>
    <w:rsid w:val="001E2963"/>
    <w:rPr>
      <w:rFonts w:ascii="Calibri" w:eastAsia="Calibri" w:hAnsi="Calibri"/>
      <w:sz w:val="22"/>
      <w:szCs w:val="22"/>
      <w:lang w:eastAsia="en-US" w:bidi="ar-SA"/>
    </w:rPr>
  </w:style>
  <w:style w:type="character" w:customStyle="1" w:styleId="NoSpacingChar">
    <w:name w:val="No Spacing Char"/>
    <w:link w:val="NoSpacing"/>
    <w:uiPriority w:val="1"/>
    <w:rsid w:val="001E2963"/>
    <w:rPr>
      <w:rFonts w:ascii="Calibri" w:eastAsia="Calibri" w:hAnsi="Calibri"/>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Association Thendral </Contributor>
    <Status xmlns="d42e65b2-cf21-49c1-b27d-d23f90380c0e">Ready to publish</Status>
    <AItagger xmlns="d42e65b2-cf21-49c1-b27d-d23f90380c0e">false</AItagg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DB26F7-7AE3-4BF1-83D1-633552C16099}"/>
</file>

<file path=customXml/itemProps2.xml><?xml version="1.0" encoding="utf-8"?>
<ds:datastoreItem xmlns:ds="http://schemas.openxmlformats.org/officeDocument/2006/customXml" ds:itemID="{5288D5AB-30FD-4F6B-A692-55E143E79E59}">
  <ds:schemaRefs>
    <ds:schemaRef ds:uri="http://schemas.microsoft.com/office/2006/metadata/properties"/>
    <ds:schemaRef ds:uri="http://schemas.microsoft.com/office/infopath/2007/PartnerControls"/>
    <ds:schemaRef ds:uri="985ec44e-1bab-4c0b-9df0-6ba128686fc9"/>
    <ds:schemaRef ds:uri="11a6fe0c-d8de-4390-afb3-d9c7c54181f0"/>
    <ds:schemaRef ds:uri="b248d7e1-e1e1-4a8e-9310-749402edb8a9"/>
  </ds:schemaRefs>
</ds:datastoreItem>
</file>

<file path=customXml/itemProps3.xml><?xml version="1.0" encoding="utf-8"?>
<ds:datastoreItem xmlns:ds="http://schemas.openxmlformats.org/officeDocument/2006/customXml" ds:itemID="{91647B40-A759-43E0-9D6C-EE867E41AD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7</Pages>
  <Words>3474</Words>
  <Characters>19807</Characters>
  <Application>Microsoft Office Word</Application>
  <DocSecurity>0</DocSecurity>
  <Lines>165</Lines>
  <Paragraphs>46</Paragraphs>
  <ScaleCrop>false</ScaleCrop>
  <Company/>
  <LinksUpToDate>false</LinksUpToDate>
  <CharactersWithSpaces>23235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Bosco M.M</cp:lastModifiedBy>
  <cp:revision>3</cp:revision>
  <dcterms:created xsi:type="dcterms:W3CDTF">2026-07-15T19:44:00Z</dcterms:created>
  <dcterms:modified xsi:type="dcterms:W3CDTF">2026-07-17T15:40:00Z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