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571A6" w14:textId="77777777" w:rsidR="006551E7" w:rsidRDefault="006551E7" w:rsidP="006551E7">
      <w:pPr>
        <w:jc w:val="center"/>
        <w:rPr>
          <w:noProof/>
        </w:rPr>
      </w:pPr>
      <w:r>
        <w:rPr>
          <w:rFonts w:ascii="Liberation Sans" w:hAnsi="Liberation Sans"/>
          <w:noProof/>
          <w:sz w:val="26"/>
          <w:szCs w:val="26"/>
        </w:rPr>
        <w:drawing>
          <wp:anchor distT="0" distB="0" distL="0" distR="0" simplePos="0" relativeHeight="251658240" behindDoc="0" locked="0" layoutInCell="0" allowOverlap="1" wp14:anchorId="2F4B4151" wp14:editId="75158D39">
            <wp:simplePos x="0" y="0"/>
            <wp:positionH relativeFrom="margin">
              <wp:align>center</wp:align>
            </wp:positionH>
            <wp:positionV relativeFrom="paragraph">
              <wp:posOffset>9525</wp:posOffset>
            </wp:positionV>
            <wp:extent cx="3350895" cy="1200150"/>
            <wp:effectExtent l="0" t="0" r="1905" b="0"/>
            <wp:wrapSquare wrapText="largest"/>
            <wp:docPr id="1" name="Image1" descr="A black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black background with text&#10;&#10;AI-generated content may be incorrect."/>
                    <pic:cNvPicPr>
                      <a:picLocks noChangeAspect="1" noChangeArrowheads="1"/>
                    </pic:cNvPicPr>
                  </pic:nvPicPr>
                  <pic:blipFill>
                    <a:blip r:embed="rId11"/>
                    <a:stretch>
                      <a:fillRect/>
                    </a:stretch>
                  </pic:blipFill>
                  <pic:spPr bwMode="auto">
                    <a:xfrm>
                      <a:off x="0" y="0"/>
                      <a:ext cx="3350895" cy="1200150"/>
                    </a:xfrm>
                    <a:prstGeom prst="rect">
                      <a:avLst/>
                    </a:prstGeom>
                  </pic:spPr>
                </pic:pic>
              </a:graphicData>
            </a:graphic>
            <wp14:sizeRelH relativeFrom="margin">
              <wp14:pctWidth>0</wp14:pctWidth>
            </wp14:sizeRelH>
            <wp14:sizeRelV relativeFrom="margin">
              <wp14:pctHeight>0</wp14:pctHeight>
            </wp14:sizeRelV>
          </wp:anchor>
        </w:drawing>
      </w:r>
    </w:p>
    <w:p w14:paraId="1EB5AA60" w14:textId="77777777" w:rsidR="006551E7" w:rsidRDefault="006551E7" w:rsidP="006551E7">
      <w:pPr>
        <w:jc w:val="center"/>
        <w:rPr>
          <w:noProof/>
        </w:rPr>
      </w:pPr>
    </w:p>
    <w:p w14:paraId="3A55D9C6" w14:textId="77777777" w:rsidR="006551E7" w:rsidRDefault="006551E7" w:rsidP="006551E7">
      <w:pPr>
        <w:jc w:val="center"/>
        <w:rPr>
          <w:noProof/>
        </w:rPr>
      </w:pPr>
    </w:p>
    <w:p w14:paraId="0A9063EA" w14:textId="77777777" w:rsidR="006551E7" w:rsidRDefault="006551E7" w:rsidP="006551E7">
      <w:pPr>
        <w:jc w:val="center"/>
        <w:rPr>
          <w:noProof/>
        </w:rPr>
      </w:pPr>
    </w:p>
    <w:p w14:paraId="6055B975" w14:textId="77777777" w:rsidR="006551E7" w:rsidRDefault="006551E7" w:rsidP="006551E7">
      <w:pPr>
        <w:jc w:val="center"/>
      </w:pPr>
    </w:p>
    <w:p w14:paraId="53B8B936" w14:textId="77777777" w:rsidR="006551E7" w:rsidRDefault="006551E7" w:rsidP="006551E7">
      <w:pPr>
        <w:jc w:val="center"/>
        <w:rPr>
          <w:rFonts w:cstheme="minorHAnsi"/>
          <w:b/>
          <w:bCs/>
          <w:sz w:val="28"/>
          <w:szCs w:val="28"/>
          <w:lang w:val="en-US"/>
        </w:rPr>
      </w:pPr>
    </w:p>
    <w:p w14:paraId="70A6222F" w14:textId="77777777" w:rsidR="006551E7" w:rsidRDefault="006551E7" w:rsidP="006551E7">
      <w:pPr>
        <w:jc w:val="center"/>
        <w:rPr>
          <w:rFonts w:cstheme="minorHAnsi"/>
          <w:b/>
          <w:bCs/>
          <w:sz w:val="28"/>
          <w:szCs w:val="28"/>
          <w:lang w:val="en-US"/>
        </w:rPr>
      </w:pPr>
    </w:p>
    <w:p w14:paraId="6EEE3FF5" w14:textId="77777777" w:rsidR="006551E7" w:rsidRDefault="006551E7" w:rsidP="006551E7">
      <w:pPr>
        <w:jc w:val="center"/>
        <w:rPr>
          <w:rFonts w:cstheme="minorHAnsi"/>
          <w:b/>
          <w:bCs/>
          <w:sz w:val="28"/>
          <w:szCs w:val="28"/>
          <w:lang w:val="en-US"/>
        </w:rPr>
      </w:pPr>
    </w:p>
    <w:p w14:paraId="307A4F8C" w14:textId="09F09E1C" w:rsidR="006551E7" w:rsidRDefault="006551E7" w:rsidP="006551E7">
      <w:pPr>
        <w:jc w:val="center"/>
        <w:rPr>
          <w:rFonts w:cstheme="minorHAnsi"/>
          <w:b/>
          <w:bCs/>
          <w:sz w:val="28"/>
          <w:szCs w:val="28"/>
          <w:lang w:val="en-US"/>
        </w:rPr>
      </w:pPr>
      <w:r w:rsidRPr="002B09EF">
        <w:rPr>
          <w:rFonts w:cstheme="minorHAnsi"/>
          <w:b/>
          <w:bCs/>
          <w:sz w:val="28"/>
          <w:szCs w:val="28"/>
          <w:lang w:val="en-US"/>
        </w:rPr>
        <w:t>World Evangelical Alliance response to</w:t>
      </w:r>
      <w:r>
        <w:rPr>
          <w:rFonts w:cstheme="minorHAnsi"/>
          <w:b/>
          <w:bCs/>
          <w:sz w:val="28"/>
          <w:szCs w:val="28"/>
          <w:lang w:val="en-US"/>
        </w:rPr>
        <w:t>:</w:t>
      </w:r>
    </w:p>
    <w:p w14:paraId="5F4A8C0B" w14:textId="1A957D07" w:rsidR="006551E7" w:rsidRPr="002B09EF" w:rsidRDefault="006551E7" w:rsidP="006551E7">
      <w:pPr>
        <w:jc w:val="center"/>
        <w:rPr>
          <w:rFonts w:cstheme="minorHAnsi"/>
          <w:b/>
          <w:bCs/>
          <w:sz w:val="28"/>
          <w:szCs w:val="28"/>
          <w:lang w:val="en-US"/>
        </w:rPr>
      </w:pPr>
      <w:r>
        <w:rPr>
          <w:rFonts w:cstheme="minorHAnsi"/>
          <w:b/>
          <w:bCs/>
          <w:sz w:val="28"/>
          <w:szCs w:val="28"/>
          <w:lang w:val="en-US"/>
        </w:rPr>
        <w:t>The Human Rights Committee</w:t>
      </w:r>
    </w:p>
    <w:p w14:paraId="49EB6833" w14:textId="1EF1380C" w:rsidR="006551E7" w:rsidRPr="00794C77" w:rsidRDefault="006551E7" w:rsidP="006551E7">
      <w:pPr>
        <w:jc w:val="center"/>
        <w:rPr>
          <w:rFonts w:eastAsia="Times New Roman" w:cstheme="minorHAnsi"/>
          <w:b/>
          <w:bCs/>
          <w:kern w:val="0"/>
          <w:sz w:val="28"/>
          <w:szCs w:val="28"/>
          <w:lang w:eastAsia="en-CA"/>
          <w14:ligatures w14:val="none"/>
        </w:rPr>
      </w:pPr>
      <w:r w:rsidRPr="00794C77">
        <w:rPr>
          <w:rFonts w:eastAsia="Times New Roman" w:cstheme="minorHAnsi"/>
          <w:b/>
          <w:bCs/>
          <w:kern w:val="0"/>
          <w:sz w:val="28"/>
          <w:szCs w:val="28"/>
          <w:lang w:eastAsia="en-CA"/>
          <w14:ligatures w14:val="none"/>
        </w:rPr>
        <w:t>Call for input</w:t>
      </w:r>
      <w:r>
        <w:rPr>
          <w:rFonts w:eastAsia="Times New Roman" w:cstheme="minorHAnsi"/>
          <w:b/>
          <w:bCs/>
          <w:kern w:val="0"/>
          <w:sz w:val="28"/>
          <w:szCs w:val="28"/>
          <w:lang w:eastAsia="en-CA"/>
          <w14:ligatures w14:val="none"/>
        </w:rPr>
        <w:t xml:space="preserve"> on Draft General Comment No. 38</w:t>
      </w:r>
    </w:p>
    <w:p w14:paraId="67093D13" w14:textId="77777777" w:rsidR="006551E7" w:rsidRDefault="006551E7" w:rsidP="006551E7">
      <w:pPr>
        <w:spacing w:before="100" w:beforeAutospacing="1" w:after="100" w:afterAutospacing="1" w:line="240" w:lineRule="auto"/>
        <w:jc w:val="center"/>
        <w:outlineLvl w:val="1"/>
        <w:rPr>
          <w:rFonts w:eastAsia="Times New Roman" w:cstheme="minorHAnsi"/>
          <w:b/>
          <w:bCs/>
          <w:kern w:val="0"/>
          <w:sz w:val="28"/>
          <w:szCs w:val="28"/>
          <w:lang w:eastAsia="en-CA"/>
          <w14:ligatures w14:val="none"/>
        </w:rPr>
      </w:pPr>
    </w:p>
    <w:p w14:paraId="58B8F96A" w14:textId="77777777" w:rsidR="006551E7" w:rsidRDefault="006551E7" w:rsidP="006551E7">
      <w:pPr>
        <w:spacing w:before="100" w:beforeAutospacing="1" w:after="100" w:afterAutospacing="1" w:line="240" w:lineRule="auto"/>
        <w:jc w:val="center"/>
        <w:outlineLvl w:val="1"/>
        <w:rPr>
          <w:rFonts w:eastAsia="Times New Roman" w:cstheme="minorHAnsi"/>
          <w:b/>
          <w:bCs/>
          <w:kern w:val="0"/>
          <w:sz w:val="28"/>
          <w:szCs w:val="28"/>
          <w:lang w:eastAsia="en-CA"/>
          <w14:ligatures w14:val="none"/>
        </w:rPr>
      </w:pPr>
    </w:p>
    <w:p w14:paraId="6878E5DB" w14:textId="77777777" w:rsidR="006551E7" w:rsidRDefault="006551E7" w:rsidP="006551E7">
      <w:pPr>
        <w:spacing w:before="100" w:beforeAutospacing="1" w:after="100" w:afterAutospacing="1" w:line="240" w:lineRule="auto"/>
        <w:jc w:val="center"/>
        <w:outlineLvl w:val="1"/>
        <w:rPr>
          <w:rFonts w:eastAsia="Times New Roman" w:cstheme="minorHAnsi"/>
          <w:b/>
          <w:bCs/>
          <w:kern w:val="0"/>
          <w:sz w:val="28"/>
          <w:szCs w:val="28"/>
          <w:lang w:eastAsia="en-CA"/>
          <w14:ligatures w14:val="none"/>
        </w:rPr>
      </w:pPr>
      <w:r>
        <w:rPr>
          <w:rFonts w:eastAsia="Times New Roman" w:cstheme="minorHAnsi"/>
          <w:b/>
          <w:bCs/>
          <w:kern w:val="0"/>
          <w:sz w:val="28"/>
          <w:szCs w:val="28"/>
          <w:lang w:eastAsia="en-CA"/>
          <w14:ligatures w14:val="none"/>
        </w:rPr>
        <w:t>Submitted by:</w:t>
      </w:r>
    </w:p>
    <w:p w14:paraId="0116E83E" w14:textId="77777777" w:rsidR="006551E7" w:rsidRDefault="006551E7" w:rsidP="006551E7">
      <w:pPr>
        <w:spacing w:before="100" w:beforeAutospacing="1" w:after="100" w:afterAutospacing="1" w:line="240" w:lineRule="auto"/>
        <w:jc w:val="center"/>
        <w:outlineLvl w:val="1"/>
        <w:rPr>
          <w:rFonts w:eastAsia="Times New Roman" w:cstheme="minorHAnsi"/>
          <w:b/>
          <w:bCs/>
          <w:kern w:val="0"/>
          <w:sz w:val="28"/>
          <w:szCs w:val="28"/>
          <w:lang w:eastAsia="en-CA"/>
          <w14:ligatures w14:val="none"/>
        </w:rPr>
      </w:pPr>
      <w:r>
        <w:rPr>
          <w:rFonts w:eastAsia="Times New Roman" w:cstheme="minorHAnsi"/>
          <w:b/>
          <w:bCs/>
          <w:kern w:val="0"/>
          <w:sz w:val="28"/>
          <w:szCs w:val="28"/>
          <w:lang w:eastAsia="en-CA"/>
          <w14:ligatures w14:val="none"/>
        </w:rPr>
        <w:t>The World Evangelical Alliance</w:t>
      </w:r>
    </w:p>
    <w:p w14:paraId="66D8324A" w14:textId="15A3E495" w:rsidR="006551E7" w:rsidRDefault="0037722B" w:rsidP="006551E7">
      <w:pPr>
        <w:spacing w:before="100" w:beforeAutospacing="1" w:after="100" w:afterAutospacing="1" w:line="240" w:lineRule="auto"/>
        <w:jc w:val="center"/>
        <w:outlineLvl w:val="1"/>
        <w:rPr>
          <w:rFonts w:eastAsia="Times New Roman" w:cstheme="minorHAnsi"/>
          <w:b/>
          <w:bCs/>
          <w:kern w:val="0"/>
          <w:sz w:val="28"/>
          <w:szCs w:val="28"/>
          <w:lang w:eastAsia="en-CA"/>
          <w14:ligatures w14:val="none"/>
        </w:rPr>
      </w:pPr>
      <w:r>
        <w:rPr>
          <w:rFonts w:eastAsia="Times New Roman" w:cstheme="minorHAnsi"/>
          <w:b/>
          <w:bCs/>
          <w:kern w:val="0"/>
          <w:sz w:val="28"/>
          <w:szCs w:val="28"/>
          <w:lang w:eastAsia="en-CA"/>
          <w14:ligatures w14:val="none"/>
        </w:rPr>
        <w:t>15 July</w:t>
      </w:r>
      <w:r w:rsidR="006551E7">
        <w:rPr>
          <w:rFonts w:eastAsia="Times New Roman" w:cstheme="minorHAnsi"/>
          <w:b/>
          <w:bCs/>
          <w:kern w:val="0"/>
          <w:sz w:val="28"/>
          <w:szCs w:val="28"/>
          <w:lang w:eastAsia="en-CA"/>
          <w14:ligatures w14:val="none"/>
        </w:rPr>
        <w:t xml:space="preserve"> 2026</w:t>
      </w:r>
    </w:p>
    <w:p w14:paraId="0F0E41B0" w14:textId="77777777" w:rsidR="006551E7" w:rsidRDefault="006551E7" w:rsidP="006551E7">
      <w:pPr>
        <w:spacing w:before="100" w:beforeAutospacing="1" w:after="100" w:afterAutospacing="1" w:line="240" w:lineRule="auto"/>
        <w:jc w:val="center"/>
        <w:outlineLvl w:val="1"/>
        <w:rPr>
          <w:rFonts w:eastAsia="Times New Roman" w:cstheme="minorHAnsi"/>
          <w:b/>
          <w:bCs/>
          <w:kern w:val="0"/>
          <w:sz w:val="28"/>
          <w:szCs w:val="28"/>
          <w:lang w:eastAsia="en-CA"/>
          <w14:ligatures w14:val="none"/>
        </w:rPr>
      </w:pPr>
    </w:p>
    <w:p w14:paraId="30FAC518" w14:textId="77777777" w:rsidR="006551E7" w:rsidRDefault="006551E7" w:rsidP="006551E7">
      <w:pPr>
        <w:spacing w:before="100" w:beforeAutospacing="1" w:after="100" w:afterAutospacing="1" w:line="240" w:lineRule="auto"/>
        <w:jc w:val="center"/>
        <w:outlineLvl w:val="1"/>
        <w:rPr>
          <w:rFonts w:eastAsia="Times New Roman" w:cstheme="minorHAnsi"/>
          <w:b/>
          <w:bCs/>
          <w:kern w:val="0"/>
          <w:sz w:val="28"/>
          <w:szCs w:val="28"/>
          <w:lang w:eastAsia="en-CA"/>
          <w14:ligatures w14:val="none"/>
        </w:rPr>
      </w:pPr>
    </w:p>
    <w:p w14:paraId="3B997171" w14:textId="77777777" w:rsidR="006551E7" w:rsidRDefault="006551E7" w:rsidP="006551E7">
      <w:pPr>
        <w:spacing w:before="100" w:beforeAutospacing="1" w:after="100" w:afterAutospacing="1" w:line="240" w:lineRule="auto"/>
        <w:jc w:val="center"/>
        <w:outlineLvl w:val="1"/>
        <w:rPr>
          <w:rFonts w:eastAsia="Times New Roman" w:cstheme="minorHAnsi"/>
          <w:b/>
          <w:bCs/>
          <w:kern w:val="0"/>
          <w:sz w:val="28"/>
          <w:szCs w:val="28"/>
          <w:lang w:eastAsia="en-CA"/>
          <w14:ligatures w14:val="none"/>
        </w:rPr>
      </w:pPr>
    </w:p>
    <w:p w14:paraId="1F68007D" w14:textId="77777777" w:rsidR="006551E7" w:rsidRDefault="006551E7" w:rsidP="006551E7">
      <w:pPr>
        <w:spacing w:before="100" w:beforeAutospacing="1" w:after="100" w:afterAutospacing="1" w:line="240" w:lineRule="auto"/>
        <w:jc w:val="center"/>
        <w:outlineLvl w:val="1"/>
        <w:rPr>
          <w:rFonts w:eastAsia="Times New Roman" w:cstheme="minorHAnsi"/>
          <w:b/>
          <w:bCs/>
          <w:kern w:val="0"/>
          <w:sz w:val="28"/>
          <w:szCs w:val="28"/>
          <w:lang w:eastAsia="en-CA"/>
          <w14:ligatures w14:val="none"/>
        </w:rPr>
      </w:pPr>
    </w:p>
    <w:p w14:paraId="73E77BEC" w14:textId="77777777" w:rsidR="006551E7" w:rsidRPr="00B676E1" w:rsidRDefault="006551E7" w:rsidP="006551E7">
      <w:pPr>
        <w:spacing w:before="100" w:beforeAutospacing="1" w:after="100" w:afterAutospacing="1" w:line="240" w:lineRule="auto"/>
        <w:jc w:val="center"/>
        <w:outlineLvl w:val="1"/>
        <w:rPr>
          <w:rFonts w:eastAsia="Times New Roman" w:cstheme="minorHAnsi"/>
          <w:kern w:val="0"/>
          <w:sz w:val="24"/>
          <w:szCs w:val="24"/>
          <w:lang w:eastAsia="en-CA"/>
          <w14:ligatures w14:val="none"/>
        </w:rPr>
      </w:pPr>
      <w:r w:rsidRPr="00B676E1">
        <w:rPr>
          <w:rFonts w:eastAsia="Times New Roman" w:cstheme="minorHAnsi"/>
          <w:kern w:val="0"/>
          <w:sz w:val="24"/>
          <w:szCs w:val="24"/>
          <w:lang w:eastAsia="en-CA"/>
          <w14:ligatures w14:val="none"/>
        </w:rPr>
        <w:t>For additional information, please contact the Geneva Office of the World Evangelical Alliance at geneva@worldea.org, or visit https://un.worldea.org</w:t>
      </w:r>
    </w:p>
    <w:p w14:paraId="1289F5A3" w14:textId="77777777" w:rsidR="006551E7" w:rsidRDefault="006551E7" w:rsidP="006551E7">
      <w:pPr>
        <w:spacing w:before="100" w:beforeAutospacing="1" w:after="100" w:afterAutospacing="1" w:line="240" w:lineRule="auto"/>
        <w:jc w:val="center"/>
        <w:outlineLvl w:val="1"/>
        <w:rPr>
          <w:rFonts w:eastAsia="Times New Roman" w:cstheme="minorHAnsi"/>
          <w:kern w:val="0"/>
          <w:sz w:val="24"/>
          <w:szCs w:val="24"/>
          <w:lang w:eastAsia="en-CA"/>
          <w14:ligatures w14:val="none"/>
        </w:rPr>
      </w:pPr>
      <w:r w:rsidRPr="00B676E1">
        <w:rPr>
          <w:rFonts w:eastAsia="Times New Roman" w:cstheme="minorHAnsi"/>
          <w:kern w:val="0"/>
          <w:sz w:val="24"/>
          <w:szCs w:val="24"/>
          <w:lang w:eastAsia="en-CA"/>
          <w14:ligatures w14:val="none"/>
        </w:rPr>
        <w:t>World Evangelical Alliance C/O RES CP 23, 1211 Geneva 8, Switzerland</w:t>
      </w:r>
    </w:p>
    <w:p w14:paraId="51A12D14" w14:textId="77777777" w:rsidR="006551E7" w:rsidRDefault="006551E7" w:rsidP="006551E7">
      <w:r>
        <w:br w:type="page"/>
      </w:r>
    </w:p>
    <w:p w14:paraId="27F45C3E" w14:textId="0D070315" w:rsidR="006551E7" w:rsidRPr="005A11A1" w:rsidRDefault="006551E7">
      <w:pPr>
        <w:rPr>
          <w:b/>
          <w:bCs/>
          <w:sz w:val="24"/>
          <w:szCs w:val="24"/>
        </w:rPr>
      </w:pPr>
      <w:r w:rsidRPr="005A11A1">
        <w:rPr>
          <w:b/>
          <w:bCs/>
          <w:sz w:val="24"/>
          <w:szCs w:val="24"/>
        </w:rPr>
        <w:lastRenderedPageBreak/>
        <w:t>Introduction</w:t>
      </w:r>
    </w:p>
    <w:p w14:paraId="54869DB6" w14:textId="77777777" w:rsidR="006551E7" w:rsidRPr="005A11A1" w:rsidRDefault="006551E7" w:rsidP="005E6DA8">
      <w:pPr>
        <w:pStyle w:val="ListParagraph"/>
        <w:numPr>
          <w:ilvl w:val="0"/>
          <w:numId w:val="1"/>
        </w:numPr>
        <w:ind w:left="357" w:hanging="357"/>
        <w:contextualSpacing w:val="0"/>
        <w:jc w:val="both"/>
        <w:rPr>
          <w:sz w:val="24"/>
          <w:szCs w:val="24"/>
        </w:rPr>
      </w:pPr>
      <w:r w:rsidRPr="005A11A1">
        <w:rPr>
          <w:rFonts w:eastAsia="Calibri" w:cs="Calibri"/>
          <w:sz w:val="24"/>
          <w:szCs w:val="24"/>
        </w:rPr>
        <w:t xml:space="preserve">We wish to thank the Human Rights Committee for the opportunity to comment on the draft General Comment No. 38 on Article 22: right to freedom of association. </w:t>
      </w:r>
    </w:p>
    <w:p w14:paraId="70C39654" w14:textId="428ABF40" w:rsidR="006551E7" w:rsidRPr="007D38FC" w:rsidRDefault="006551E7" w:rsidP="005E6DA8">
      <w:pPr>
        <w:pStyle w:val="ListParagraph"/>
        <w:numPr>
          <w:ilvl w:val="0"/>
          <w:numId w:val="1"/>
        </w:numPr>
        <w:ind w:left="357" w:hanging="357"/>
        <w:contextualSpacing w:val="0"/>
        <w:jc w:val="both"/>
        <w:rPr>
          <w:rFonts w:eastAsia="Calibri" w:cs="Calibri"/>
          <w:sz w:val="24"/>
          <w:szCs w:val="24"/>
        </w:rPr>
      </w:pPr>
      <w:r w:rsidRPr="005A11A1">
        <w:rPr>
          <w:rFonts w:eastAsia="Calibri" w:cs="Calibri"/>
          <w:sz w:val="24"/>
          <w:szCs w:val="24"/>
        </w:rPr>
        <w:t xml:space="preserve">The World Evangelical Alliance (WEA), established in 1846, has member national alliances in over 160 countries, over 100 associated organisations, and represents some 650 million evangelical Christians worldwide. These Christians worship in churches, </w:t>
      </w:r>
      <w:r w:rsidR="007D38FC">
        <w:rPr>
          <w:rFonts w:eastAsia="Calibri" w:cs="Calibri"/>
          <w:sz w:val="24"/>
          <w:szCs w:val="24"/>
        </w:rPr>
        <w:t>operate</w:t>
      </w:r>
      <w:r w:rsidRPr="005A11A1">
        <w:rPr>
          <w:rFonts w:eastAsia="Calibri" w:cs="Calibri"/>
          <w:sz w:val="24"/>
          <w:szCs w:val="24"/>
        </w:rPr>
        <w:t xml:space="preserve"> schools, colleges and universities and </w:t>
      </w:r>
      <w:r w:rsidR="007D38FC" w:rsidRPr="007D38FC">
        <w:rPr>
          <w:rFonts w:eastAsia="Calibri" w:cs="Calibri"/>
          <w:sz w:val="24"/>
          <w:szCs w:val="24"/>
        </w:rPr>
        <w:t>have established thousands of faith-based organi</w:t>
      </w:r>
      <w:r w:rsidR="007D38FC">
        <w:rPr>
          <w:rFonts w:eastAsia="Calibri" w:cs="Calibri"/>
          <w:sz w:val="24"/>
          <w:szCs w:val="24"/>
        </w:rPr>
        <w:t>s</w:t>
      </w:r>
      <w:r w:rsidR="007D38FC" w:rsidRPr="007D38FC">
        <w:rPr>
          <w:rFonts w:eastAsia="Calibri" w:cs="Calibri"/>
          <w:sz w:val="24"/>
          <w:szCs w:val="24"/>
        </w:rPr>
        <w:t>ations that provide a wide range of services to their communities, including healthcare, humanitarian assistance, refugee support, and social welfare programs. The ability to form, maintain, and participate in associations is therefore of fundamental importance to the evangelical community worldwide, making the protection of freedom of association a matter of significant concern to our global constituency.</w:t>
      </w:r>
    </w:p>
    <w:p w14:paraId="0E2BF658" w14:textId="65FCD946" w:rsidR="007D38FC" w:rsidRDefault="007D38FC" w:rsidP="005E6DA8">
      <w:pPr>
        <w:pStyle w:val="ListParagraph"/>
        <w:numPr>
          <w:ilvl w:val="0"/>
          <w:numId w:val="1"/>
        </w:numPr>
        <w:spacing w:line="300" w:lineRule="atLeast"/>
        <w:ind w:left="357" w:hanging="357"/>
        <w:contextualSpacing w:val="0"/>
        <w:jc w:val="both"/>
        <w:rPr>
          <w:rFonts w:cs="Segoe UI"/>
          <w:sz w:val="24"/>
          <w:szCs w:val="24"/>
        </w:rPr>
      </w:pPr>
      <w:r w:rsidRPr="007D38FC">
        <w:rPr>
          <w:rFonts w:cs="Segoe UI"/>
          <w:sz w:val="24"/>
          <w:szCs w:val="24"/>
        </w:rPr>
        <w:t>Many of the WEA’s national alliances and affiliated organi</w:t>
      </w:r>
      <w:r w:rsidR="005E6DA8">
        <w:rPr>
          <w:rFonts w:cs="Segoe UI"/>
          <w:sz w:val="24"/>
          <w:szCs w:val="24"/>
        </w:rPr>
        <w:t>s</w:t>
      </w:r>
      <w:r w:rsidRPr="007D38FC">
        <w:rPr>
          <w:rFonts w:cs="Segoe UI"/>
          <w:sz w:val="24"/>
          <w:szCs w:val="24"/>
        </w:rPr>
        <w:t>ations operate in countries where the right to freedom of association is seriously restricted in law or practice. They face significant obstacles to convening lawful meetings and carrying out their activities, including burdensome registration requirements, arbitrary delays, and legal or administrative barriers that prevent them from obtaining or maintaining legal status. In some jurisdictions, faith-based organi</w:t>
      </w:r>
      <w:r w:rsidR="005E6DA8">
        <w:rPr>
          <w:rFonts w:cs="Segoe UI"/>
          <w:sz w:val="24"/>
          <w:szCs w:val="24"/>
        </w:rPr>
        <w:t>s</w:t>
      </w:r>
      <w:r w:rsidRPr="007D38FC">
        <w:rPr>
          <w:rFonts w:cs="Segoe UI"/>
          <w:sz w:val="24"/>
          <w:szCs w:val="24"/>
        </w:rPr>
        <w:t>ations are further restricted from receiving funding from international sources, undermining their sustainability and effectiveness. Such restrictions can severely constrain their ability to provide humanitarian, educational, and social services and, in some cases, may prevent them from functioning altogether.</w:t>
      </w:r>
    </w:p>
    <w:p w14:paraId="2DE3461E" w14:textId="74C31FF4" w:rsidR="002177D1" w:rsidRPr="002177D1" w:rsidRDefault="002177D1" w:rsidP="005E6DA8">
      <w:pPr>
        <w:pStyle w:val="ListParagraph"/>
        <w:numPr>
          <w:ilvl w:val="0"/>
          <w:numId w:val="1"/>
        </w:numPr>
        <w:spacing w:line="300" w:lineRule="atLeast"/>
        <w:jc w:val="both"/>
        <w:rPr>
          <w:rFonts w:cs="Segoe UI"/>
          <w:sz w:val="24"/>
          <w:szCs w:val="24"/>
        </w:rPr>
      </w:pPr>
      <w:r w:rsidRPr="002177D1">
        <w:rPr>
          <w:rFonts w:cs="Segoe UI"/>
          <w:sz w:val="24"/>
          <w:szCs w:val="24"/>
        </w:rPr>
        <w:t xml:space="preserve">The adoption of a General Comment on Article 22 is of considerable importance. General Comments provide authoritative guidance on the interpretation and implementation of the </w:t>
      </w:r>
      <w:r w:rsidRPr="005E6DA8">
        <w:rPr>
          <w:rFonts w:cs="Segoe UI"/>
          <w:i/>
          <w:iCs/>
          <w:sz w:val="24"/>
          <w:szCs w:val="24"/>
        </w:rPr>
        <w:t>International Covenant on Civil and Political Rights</w:t>
      </w:r>
      <w:r w:rsidRPr="002177D1">
        <w:rPr>
          <w:rFonts w:cs="Segoe UI"/>
          <w:sz w:val="24"/>
          <w:szCs w:val="24"/>
        </w:rPr>
        <w:t xml:space="preserve"> (ICCPR) and assist States parties in giving effect to Covenant rights through national law, policy, and practice. The W</w:t>
      </w:r>
      <w:r>
        <w:rPr>
          <w:rFonts w:cs="Segoe UI"/>
          <w:sz w:val="24"/>
          <w:szCs w:val="24"/>
        </w:rPr>
        <w:t>EA</w:t>
      </w:r>
      <w:r w:rsidRPr="002177D1">
        <w:rPr>
          <w:rFonts w:cs="Segoe UI"/>
          <w:sz w:val="24"/>
          <w:szCs w:val="24"/>
        </w:rPr>
        <w:t xml:space="preserve"> welcomes many aspects of draft General Comment No. 38 and commends the Committee for undertaking this important initiative. In this submission, we offer several recommendations aimed at strengthening the relationship between Articles 22 and 18 of the Covenant, with a view to ensuring that religious communities can more fully enjoy and exercise their right to freedom of association.</w:t>
      </w:r>
    </w:p>
    <w:p w14:paraId="55EB6A6A" w14:textId="77777777" w:rsidR="005C56CE" w:rsidRPr="005A11A1" w:rsidRDefault="005C56CE" w:rsidP="005C56CE">
      <w:pPr>
        <w:jc w:val="both"/>
        <w:rPr>
          <w:b/>
          <w:bCs/>
          <w:sz w:val="24"/>
          <w:szCs w:val="24"/>
        </w:rPr>
      </w:pPr>
      <w:r w:rsidRPr="005A11A1">
        <w:rPr>
          <w:b/>
          <w:bCs/>
          <w:sz w:val="24"/>
          <w:szCs w:val="24"/>
        </w:rPr>
        <w:t>Positive statements in Draft General Comment No. 38</w:t>
      </w:r>
    </w:p>
    <w:p w14:paraId="435E46BD" w14:textId="77777777" w:rsidR="005C56CE" w:rsidRPr="005E6DA8" w:rsidRDefault="005C56CE" w:rsidP="005C56CE">
      <w:pPr>
        <w:pStyle w:val="ListParagraph"/>
        <w:numPr>
          <w:ilvl w:val="0"/>
          <w:numId w:val="1"/>
        </w:numPr>
        <w:ind w:left="357" w:hanging="357"/>
        <w:contextualSpacing w:val="0"/>
        <w:jc w:val="both"/>
        <w:rPr>
          <w:rFonts w:ascii="Aptos" w:eastAsia="Times New Roman" w:hAnsi="Aptos" w:cs="Segoe UI"/>
          <w:kern w:val="0"/>
          <w:sz w:val="24"/>
          <w:szCs w:val="24"/>
          <w:lang w:eastAsia="en-CA"/>
          <w14:ligatures w14:val="none"/>
        </w:rPr>
      </w:pPr>
      <w:r w:rsidRPr="005E6DA8">
        <w:rPr>
          <w:rFonts w:ascii="Aptos" w:eastAsia="Times New Roman" w:hAnsi="Aptos" w:cs="Segoe UI"/>
          <w:kern w:val="0"/>
          <w:sz w:val="24"/>
          <w:szCs w:val="24"/>
          <w:lang w:eastAsia="en-CA"/>
          <w14:ligatures w14:val="none"/>
        </w:rPr>
        <w:t>We welcome the statements in paragraphs 5 and 6 affirming that general reservations to the right to freedom of association are incompatible with the object and purpose of the Covenant. This important principle reflects the fundamental and universal character of the right protected by Article 22. The Committee’s reaffirmation that freedom of association must be guaranteed to all persons, without discrimination, provides an essential foundation for the effective enjoyment of a wide range of other human rights.</w:t>
      </w:r>
    </w:p>
    <w:p w14:paraId="12CC9F86" w14:textId="77777777" w:rsidR="005C56CE" w:rsidRPr="005E6DA8" w:rsidRDefault="005C56CE" w:rsidP="005C56CE">
      <w:pPr>
        <w:pStyle w:val="ListParagraph"/>
        <w:numPr>
          <w:ilvl w:val="0"/>
          <w:numId w:val="1"/>
        </w:numPr>
        <w:ind w:left="357" w:hanging="357"/>
        <w:contextualSpacing w:val="0"/>
        <w:jc w:val="both"/>
        <w:rPr>
          <w:rFonts w:ascii="Aptos" w:eastAsia="Times New Roman" w:hAnsi="Aptos" w:cs="Segoe UI"/>
          <w:kern w:val="0"/>
          <w:sz w:val="24"/>
          <w:szCs w:val="24"/>
          <w:lang w:eastAsia="en-CA"/>
          <w14:ligatures w14:val="none"/>
        </w:rPr>
      </w:pPr>
      <w:r w:rsidRPr="005E6DA8">
        <w:rPr>
          <w:rFonts w:ascii="Aptos" w:eastAsia="Times New Roman" w:hAnsi="Aptos" w:cs="Segoe UI"/>
          <w:kern w:val="0"/>
          <w:sz w:val="24"/>
          <w:szCs w:val="24"/>
          <w:lang w:eastAsia="en-CA"/>
          <w14:ligatures w14:val="none"/>
        </w:rPr>
        <w:lastRenderedPageBreak/>
        <w:t>We also welcome the Committee’s articulation of the substantive content of freedom of association in paragraphs 13 and 14. In particular, we endorse the recognition that States parties have a “positive obligation to create an enabling environment” that allows associations to be established and registered. We further appreciate the Committee’s affirmation that “[t]he right to freedom of association not only guarantees the formation of associations but also the right of such associations to carry out their activities freely.” Equally important is the recognition that the right encompasses the ability to “seek, receive and expend funding and other material resources, including those coming from outside the State party, without the risk of being labelled a ‘foreign agent’ or a threat to national security.” These protections are indispensable to ensuring that associations, including religious and belief-based organi</w:t>
      </w:r>
      <w:r>
        <w:rPr>
          <w:rFonts w:ascii="Aptos" w:eastAsia="Times New Roman" w:hAnsi="Aptos" w:cs="Segoe UI"/>
          <w:kern w:val="0"/>
          <w:sz w:val="24"/>
          <w:szCs w:val="24"/>
          <w:lang w:eastAsia="en-CA"/>
          <w14:ligatures w14:val="none"/>
        </w:rPr>
        <w:t>s</w:t>
      </w:r>
      <w:r w:rsidRPr="005E6DA8">
        <w:rPr>
          <w:rFonts w:ascii="Aptos" w:eastAsia="Times New Roman" w:hAnsi="Aptos" w:cs="Segoe UI"/>
          <w:kern w:val="0"/>
          <w:sz w:val="24"/>
          <w:szCs w:val="24"/>
          <w:lang w:eastAsia="en-CA"/>
          <w14:ligatures w14:val="none"/>
        </w:rPr>
        <w:t>ations, can function effectively and independently.</w:t>
      </w:r>
    </w:p>
    <w:p w14:paraId="4F108982" w14:textId="77777777" w:rsidR="005C56CE" w:rsidRPr="005E6DA8" w:rsidRDefault="005C56CE" w:rsidP="005C56CE">
      <w:pPr>
        <w:pStyle w:val="ListParagraph"/>
        <w:numPr>
          <w:ilvl w:val="0"/>
          <w:numId w:val="1"/>
        </w:numPr>
        <w:ind w:left="357" w:hanging="357"/>
        <w:contextualSpacing w:val="0"/>
        <w:jc w:val="both"/>
        <w:rPr>
          <w:rFonts w:ascii="Aptos" w:eastAsia="Times New Roman" w:hAnsi="Aptos" w:cs="Segoe UI"/>
          <w:kern w:val="0"/>
          <w:sz w:val="24"/>
          <w:szCs w:val="24"/>
          <w:lang w:eastAsia="en-CA"/>
          <w14:ligatures w14:val="none"/>
        </w:rPr>
      </w:pPr>
      <w:r w:rsidRPr="005E6DA8">
        <w:rPr>
          <w:rFonts w:ascii="Aptos" w:eastAsia="Times New Roman" w:hAnsi="Aptos" w:cs="Segoe UI"/>
          <w:kern w:val="0"/>
          <w:sz w:val="24"/>
          <w:szCs w:val="24"/>
          <w:lang w:eastAsia="en-CA"/>
          <w14:ligatures w14:val="none"/>
        </w:rPr>
        <w:t>We particularly welcome the statement in paragraph 15 that “[a] law granting the Government undue power or influence to decide on the registration or deregistration of an association and on authorization of public or foreign funding for an association would be at odds with article 22.” This principle provides an important safeguard against arbitrary or discriminatory interference with associational life. It is especially significant for religious and belief-based organi</w:t>
      </w:r>
      <w:r>
        <w:rPr>
          <w:rFonts w:ascii="Aptos" w:eastAsia="Times New Roman" w:hAnsi="Aptos" w:cs="Segoe UI"/>
          <w:kern w:val="0"/>
          <w:sz w:val="24"/>
          <w:szCs w:val="24"/>
          <w:lang w:eastAsia="en-CA"/>
          <w14:ligatures w14:val="none"/>
        </w:rPr>
        <w:t>s</w:t>
      </w:r>
      <w:r w:rsidRPr="005E6DA8">
        <w:rPr>
          <w:rFonts w:ascii="Aptos" w:eastAsia="Times New Roman" w:hAnsi="Aptos" w:cs="Segoe UI"/>
          <w:kern w:val="0"/>
          <w:sz w:val="24"/>
          <w:szCs w:val="24"/>
          <w:lang w:eastAsia="en-CA"/>
          <w14:ligatures w14:val="none"/>
        </w:rPr>
        <w:t>ations, which in some jurisdictions face burdensome registration requirements, discretionary approval processes, or restrictions on funding that can impede their ability to operate freely. The Committee’s clear articulation of this standard will help strengthen protection for all associations and promote compliance with Article 22.</w:t>
      </w:r>
    </w:p>
    <w:p w14:paraId="4BF7C242" w14:textId="15AF1AB3" w:rsidR="006331AC" w:rsidRPr="005A11A1" w:rsidRDefault="006331AC" w:rsidP="005E6DA8">
      <w:pPr>
        <w:jc w:val="both"/>
        <w:rPr>
          <w:b/>
          <w:bCs/>
          <w:sz w:val="24"/>
          <w:szCs w:val="24"/>
        </w:rPr>
      </w:pPr>
      <w:r w:rsidRPr="005A11A1">
        <w:rPr>
          <w:b/>
          <w:bCs/>
          <w:sz w:val="24"/>
          <w:szCs w:val="24"/>
        </w:rPr>
        <w:t>Connection between Article 22 and Article 18</w:t>
      </w:r>
    </w:p>
    <w:p w14:paraId="6E3A4863" w14:textId="5BA28F70" w:rsidR="002177D1" w:rsidRPr="002177D1" w:rsidRDefault="002177D1" w:rsidP="005E6DA8">
      <w:pPr>
        <w:pStyle w:val="ListParagraph"/>
        <w:numPr>
          <w:ilvl w:val="0"/>
          <w:numId w:val="1"/>
        </w:numPr>
        <w:spacing w:line="300" w:lineRule="atLeast"/>
        <w:ind w:left="357" w:hanging="357"/>
        <w:contextualSpacing w:val="0"/>
        <w:jc w:val="both"/>
        <w:rPr>
          <w:rFonts w:cs="Segoe UI"/>
          <w:sz w:val="24"/>
          <w:szCs w:val="24"/>
        </w:rPr>
      </w:pPr>
      <w:r w:rsidRPr="002177D1">
        <w:rPr>
          <w:rFonts w:cs="Segoe UI"/>
          <w:sz w:val="24"/>
          <w:szCs w:val="24"/>
        </w:rPr>
        <w:t>We welcome the recognition in paragraph 2 of the relationship between Article 22, which protects freedom of association, and Article 18, which protects freedom of religion or belief. We also appreciate the inclusion of “religious organi</w:t>
      </w:r>
      <w:r>
        <w:rPr>
          <w:rFonts w:cs="Segoe UI"/>
          <w:sz w:val="24"/>
          <w:szCs w:val="24"/>
        </w:rPr>
        <w:t>s</w:t>
      </w:r>
      <w:r w:rsidRPr="002177D1">
        <w:rPr>
          <w:rFonts w:cs="Segoe UI"/>
          <w:sz w:val="24"/>
          <w:szCs w:val="24"/>
        </w:rPr>
        <w:t>ations” among the examples of associations protected under Article 22 in paragraph 12. However, we believe that the draft General Comment would be strengthened by making this relationship more explicit throughout the text. Religious communities often exercise their freedom of religion or belief collectively through churches, denominations, religious charities, educational institutions, and other faith-based organi</w:t>
      </w:r>
      <w:r w:rsidR="0037722B">
        <w:rPr>
          <w:rFonts w:cs="Segoe UI"/>
          <w:sz w:val="24"/>
          <w:szCs w:val="24"/>
        </w:rPr>
        <w:t>s</w:t>
      </w:r>
      <w:r w:rsidRPr="002177D1">
        <w:rPr>
          <w:rFonts w:cs="Segoe UI"/>
          <w:sz w:val="24"/>
          <w:szCs w:val="24"/>
        </w:rPr>
        <w:t>ations. As a result, the effective enjoyment of Article 18 frequently depends upon the full protection of the associational rights guaranteed by Article 22. Greater recognition of this interdependence would provide clearer guidance to States parties and enhance the protection of religious communities</w:t>
      </w:r>
      <w:r w:rsidR="0037722B">
        <w:rPr>
          <w:rFonts w:cs="Segoe UI"/>
          <w:sz w:val="24"/>
          <w:szCs w:val="24"/>
        </w:rPr>
        <w:t>’</w:t>
      </w:r>
      <w:r w:rsidRPr="002177D1">
        <w:rPr>
          <w:rFonts w:cs="Segoe UI"/>
          <w:sz w:val="24"/>
          <w:szCs w:val="24"/>
        </w:rPr>
        <w:t xml:space="preserve"> rights under the Covenant.</w:t>
      </w:r>
    </w:p>
    <w:p w14:paraId="1F0DC9D1" w14:textId="7EF5D54C" w:rsidR="002177D1" w:rsidRPr="002177D1" w:rsidRDefault="006331AC" w:rsidP="005E6DA8">
      <w:pPr>
        <w:pStyle w:val="ListParagraph"/>
        <w:numPr>
          <w:ilvl w:val="0"/>
          <w:numId w:val="1"/>
        </w:numPr>
        <w:ind w:left="357" w:hanging="357"/>
        <w:contextualSpacing w:val="0"/>
        <w:jc w:val="both"/>
        <w:rPr>
          <w:sz w:val="24"/>
          <w:szCs w:val="24"/>
        </w:rPr>
      </w:pPr>
      <w:r w:rsidRPr="002177D1">
        <w:rPr>
          <w:sz w:val="24"/>
          <w:szCs w:val="24"/>
        </w:rPr>
        <w:t xml:space="preserve">We agree with the </w:t>
      </w:r>
      <w:r w:rsidR="001B5737" w:rsidRPr="002177D1">
        <w:rPr>
          <w:sz w:val="24"/>
          <w:szCs w:val="24"/>
        </w:rPr>
        <w:t xml:space="preserve">Special Rapporteur on freedom of religion or belief where she notes in her inputs on General Comment No. 38 that </w:t>
      </w:r>
      <w:r w:rsidR="002177D1" w:rsidRPr="002177D1">
        <w:rPr>
          <w:sz w:val="24"/>
          <w:szCs w:val="24"/>
        </w:rPr>
        <w:t>freedom of association is essential to the manifestation of religion or belief protected under Article 18(1) of the Covenant</w:t>
      </w:r>
      <w:r w:rsidR="001B5737" w:rsidRPr="002177D1">
        <w:rPr>
          <w:sz w:val="24"/>
          <w:szCs w:val="24"/>
        </w:rPr>
        <w:t>.</w:t>
      </w:r>
      <w:r w:rsidR="00C30E92" w:rsidRPr="005A11A1">
        <w:rPr>
          <w:rStyle w:val="EndnoteReference"/>
          <w:sz w:val="24"/>
          <w:szCs w:val="24"/>
        </w:rPr>
        <w:endnoteReference w:id="1"/>
      </w:r>
      <w:r w:rsidR="001B5737" w:rsidRPr="002177D1">
        <w:rPr>
          <w:sz w:val="24"/>
          <w:szCs w:val="24"/>
        </w:rPr>
        <w:t xml:space="preserve"> </w:t>
      </w:r>
      <w:r w:rsidR="002177D1" w:rsidRPr="002177D1">
        <w:rPr>
          <w:sz w:val="24"/>
          <w:szCs w:val="24"/>
        </w:rPr>
        <w:t xml:space="preserve">For many religious communities, the collective exercise of religion or belief necessarily takes </w:t>
      </w:r>
      <w:r w:rsidR="002177D1" w:rsidRPr="002177D1">
        <w:rPr>
          <w:sz w:val="24"/>
          <w:szCs w:val="24"/>
        </w:rPr>
        <w:lastRenderedPageBreak/>
        <w:t>place through organi</w:t>
      </w:r>
      <w:r w:rsidR="004A4683">
        <w:rPr>
          <w:sz w:val="24"/>
          <w:szCs w:val="24"/>
        </w:rPr>
        <w:t>s</w:t>
      </w:r>
      <w:r w:rsidR="002177D1" w:rsidRPr="002177D1">
        <w:rPr>
          <w:sz w:val="24"/>
          <w:szCs w:val="24"/>
        </w:rPr>
        <w:t xml:space="preserve">ed structures and institutions. The ability to establish, maintain, and participate in religious associations is therefore not merely protected by Article </w:t>
      </w:r>
      <w:proofErr w:type="gramStart"/>
      <w:r w:rsidR="002177D1" w:rsidRPr="002177D1">
        <w:rPr>
          <w:sz w:val="24"/>
          <w:szCs w:val="24"/>
        </w:rPr>
        <w:t>22 in its own right</w:t>
      </w:r>
      <w:r w:rsidR="005E6DA8">
        <w:rPr>
          <w:sz w:val="24"/>
          <w:szCs w:val="24"/>
        </w:rPr>
        <w:t>,</w:t>
      </w:r>
      <w:r w:rsidR="002177D1" w:rsidRPr="002177D1">
        <w:rPr>
          <w:sz w:val="24"/>
          <w:szCs w:val="24"/>
        </w:rPr>
        <w:t xml:space="preserve"> but</w:t>
      </w:r>
      <w:proofErr w:type="gramEnd"/>
      <w:r w:rsidR="002177D1" w:rsidRPr="002177D1">
        <w:rPr>
          <w:sz w:val="24"/>
          <w:szCs w:val="24"/>
        </w:rPr>
        <w:t xml:space="preserve"> is also an indispensable means of exercising the rights guaranteed by Article 18. We respectfully </w:t>
      </w:r>
      <w:r w:rsidR="004A4683">
        <w:rPr>
          <w:sz w:val="24"/>
          <w:szCs w:val="24"/>
        </w:rPr>
        <w:t>recommend</w:t>
      </w:r>
      <w:r w:rsidR="002177D1" w:rsidRPr="002177D1">
        <w:rPr>
          <w:sz w:val="24"/>
          <w:szCs w:val="24"/>
        </w:rPr>
        <w:t xml:space="preserve"> that this relationship should be articulated more explicitly in General Comment No. 38 (see Recommendation</w:t>
      </w:r>
      <w:r w:rsidR="005E6DA8">
        <w:rPr>
          <w:sz w:val="24"/>
          <w:szCs w:val="24"/>
        </w:rPr>
        <w:t>s</w:t>
      </w:r>
      <w:r w:rsidR="002177D1" w:rsidRPr="002177D1">
        <w:rPr>
          <w:sz w:val="24"/>
          <w:szCs w:val="24"/>
        </w:rPr>
        <w:t xml:space="preserve"> below).</w:t>
      </w:r>
    </w:p>
    <w:p w14:paraId="02714AA0" w14:textId="10AA1F92" w:rsidR="009A0DA0" w:rsidRPr="003A46B4" w:rsidRDefault="009A0DA0" w:rsidP="005E6DA8">
      <w:pPr>
        <w:pStyle w:val="ListParagraph"/>
        <w:numPr>
          <w:ilvl w:val="0"/>
          <w:numId w:val="1"/>
        </w:numPr>
        <w:ind w:left="357" w:hanging="357"/>
        <w:contextualSpacing w:val="0"/>
        <w:jc w:val="both"/>
        <w:rPr>
          <w:rFonts w:eastAsia="Times New Roman" w:cs="Segoe UI"/>
          <w:kern w:val="0"/>
          <w:sz w:val="24"/>
          <w:szCs w:val="24"/>
          <w:lang w:eastAsia="en-CA"/>
          <w14:ligatures w14:val="none"/>
        </w:rPr>
      </w:pPr>
      <w:r w:rsidRPr="002177D1">
        <w:rPr>
          <w:rFonts w:eastAsia="Times New Roman" w:cs="Segoe UI"/>
          <w:kern w:val="0"/>
          <w:sz w:val="24"/>
          <w:szCs w:val="24"/>
          <w:lang w:eastAsia="en-CA"/>
          <w14:ligatures w14:val="none"/>
        </w:rPr>
        <w:t xml:space="preserve">It is common for States, including those with strong constitutional protections for freedom of religion or belief, to interpret </w:t>
      </w:r>
      <w:r w:rsidR="0037722B">
        <w:rPr>
          <w:rFonts w:eastAsia="Times New Roman" w:cs="Segoe UI"/>
          <w:kern w:val="0"/>
          <w:sz w:val="24"/>
          <w:szCs w:val="24"/>
          <w:lang w:eastAsia="en-CA"/>
          <w14:ligatures w14:val="none"/>
        </w:rPr>
        <w:t>freedom of religion or belief</w:t>
      </w:r>
      <w:r w:rsidRPr="002177D1">
        <w:rPr>
          <w:rFonts w:eastAsia="Times New Roman" w:cs="Segoe UI"/>
          <w:kern w:val="0"/>
          <w:sz w:val="24"/>
          <w:szCs w:val="24"/>
          <w:lang w:eastAsia="en-CA"/>
          <w14:ligatures w14:val="none"/>
        </w:rPr>
        <w:t xml:space="preserve"> primarily as an individual right, </w:t>
      </w:r>
      <w:r w:rsidR="003A46B4" w:rsidRPr="003A46B4">
        <w:rPr>
          <w:rFonts w:eastAsia="Times New Roman" w:cs="Segoe UI"/>
          <w:kern w:val="0"/>
          <w:sz w:val="24"/>
          <w:szCs w:val="24"/>
          <w:lang w:eastAsia="en-CA"/>
          <w14:ligatures w14:val="none"/>
        </w:rPr>
        <w:t>albeit one that includes important collective dimensions</w:t>
      </w:r>
      <w:r w:rsidRPr="003A46B4">
        <w:rPr>
          <w:rFonts w:eastAsia="Times New Roman" w:cs="Segoe UI"/>
          <w:kern w:val="0"/>
          <w:sz w:val="24"/>
          <w:szCs w:val="24"/>
          <w:lang w:eastAsia="en-CA"/>
          <w14:ligatures w14:val="none"/>
        </w:rPr>
        <w:t>. For example, Canadian jurisprudence has consistently characteri</w:t>
      </w:r>
      <w:r w:rsidR="003A46B4">
        <w:rPr>
          <w:rFonts w:eastAsia="Times New Roman" w:cs="Segoe UI"/>
          <w:kern w:val="0"/>
          <w:sz w:val="24"/>
          <w:szCs w:val="24"/>
          <w:lang w:eastAsia="en-CA"/>
          <w14:ligatures w14:val="none"/>
        </w:rPr>
        <w:t>s</w:t>
      </w:r>
      <w:r w:rsidRPr="003A46B4">
        <w:rPr>
          <w:rFonts w:eastAsia="Times New Roman" w:cs="Segoe UI"/>
          <w:kern w:val="0"/>
          <w:sz w:val="24"/>
          <w:szCs w:val="24"/>
          <w:lang w:eastAsia="en-CA"/>
          <w14:ligatures w14:val="none"/>
        </w:rPr>
        <w:t>ed “freedom of conscience and religion” as an individual right that also encompasses communal aspects of religious practice.</w:t>
      </w:r>
      <w:r w:rsidR="007D2549" w:rsidRPr="005A11A1">
        <w:rPr>
          <w:rStyle w:val="EndnoteReference"/>
          <w:rFonts w:eastAsia="Times New Roman" w:cs="Segoe UI"/>
          <w:kern w:val="0"/>
          <w:sz w:val="24"/>
          <w:szCs w:val="24"/>
          <w:lang w:eastAsia="en-CA"/>
          <w14:ligatures w14:val="none"/>
        </w:rPr>
        <w:endnoteReference w:id="2"/>
      </w:r>
      <w:r w:rsidRPr="003A46B4">
        <w:rPr>
          <w:rFonts w:eastAsia="Times New Roman" w:cs="Segoe UI"/>
          <w:kern w:val="0"/>
          <w:sz w:val="24"/>
          <w:szCs w:val="24"/>
          <w:lang w:eastAsia="en-CA"/>
          <w14:ligatures w14:val="none"/>
        </w:rPr>
        <w:t xml:space="preserve"> At the same time, in </w:t>
      </w:r>
      <w:proofErr w:type="gramStart"/>
      <w:r w:rsidRPr="003A46B4">
        <w:rPr>
          <w:rFonts w:eastAsia="Times New Roman" w:cs="Segoe UI"/>
          <w:kern w:val="0"/>
          <w:sz w:val="24"/>
          <w:szCs w:val="24"/>
          <w:lang w:eastAsia="en-CA"/>
          <w14:ligatures w14:val="none"/>
        </w:rPr>
        <w:t>a number of</w:t>
      </w:r>
      <w:proofErr w:type="gramEnd"/>
      <w:r w:rsidRPr="003A46B4">
        <w:rPr>
          <w:rFonts w:eastAsia="Times New Roman" w:cs="Segoe UI"/>
          <w:kern w:val="0"/>
          <w:sz w:val="24"/>
          <w:szCs w:val="24"/>
          <w:lang w:eastAsia="en-CA"/>
          <w14:ligatures w14:val="none"/>
        </w:rPr>
        <w:t xml:space="preserve"> countries, preferential status is accorded to one or more officially recogni</w:t>
      </w:r>
      <w:r w:rsidR="005E6DA8">
        <w:rPr>
          <w:rFonts w:eastAsia="Times New Roman" w:cs="Segoe UI"/>
          <w:kern w:val="0"/>
          <w:sz w:val="24"/>
          <w:szCs w:val="24"/>
          <w:lang w:eastAsia="en-CA"/>
          <w14:ligatures w14:val="none"/>
        </w:rPr>
        <w:t>s</w:t>
      </w:r>
      <w:r w:rsidRPr="003A46B4">
        <w:rPr>
          <w:rFonts w:eastAsia="Times New Roman" w:cs="Segoe UI"/>
          <w:kern w:val="0"/>
          <w:sz w:val="24"/>
          <w:szCs w:val="24"/>
          <w:lang w:eastAsia="en-CA"/>
          <w14:ligatures w14:val="none"/>
        </w:rPr>
        <w:t>ed religions, while other religious or belief communities face restrictions. In such contexts, mandatory registration regimes are often imposed, with minority or non</w:t>
      </w:r>
      <w:r w:rsidRPr="003A46B4">
        <w:rPr>
          <w:rFonts w:eastAsia="Times New Roman" w:cs="Segoe UI"/>
          <w:kern w:val="0"/>
          <w:sz w:val="24"/>
          <w:szCs w:val="24"/>
          <w:lang w:eastAsia="en-CA"/>
          <w14:ligatures w14:val="none"/>
        </w:rPr>
        <w:noBreakHyphen/>
        <w:t>traditional communities denied registration and consequently prevented from operating legally, including meeting for collective worship.</w:t>
      </w:r>
      <w:r w:rsidR="007D2549" w:rsidRPr="005A11A1">
        <w:rPr>
          <w:rStyle w:val="EndnoteReference"/>
          <w:rFonts w:eastAsia="Times New Roman" w:cs="Segoe UI"/>
          <w:kern w:val="0"/>
          <w:sz w:val="24"/>
          <w:szCs w:val="24"/>
          <w:lang w:eastAsia="en-CA"/>
          <w14:ligatures w14:val="none"/>
        </w:rPr>
        <w:endnoteReference w:id="3"/>
      </w:r>
      <w:r w:rsidRPr="003A46B4">
        <w:rPr>
          <w:rFonts w:eastAsia="Times New Roman" w:cs="Segoe UI"/>
          <w:kern w:val="0"/>
          <w:sz w:val="24"/>
          <w:szCs w:val="24"/>
          <w:lang w:eastAsia="en-CA"/>
          <w14:ligatures w14:val="none"/>
        </w:rPr>
        <w:t xml:space="preserve"> It is therefore clear that there is a need for associational rights to support the collective aspects of freedom of religion or belief.</w:t>
      </w:r>
    </w:p>
    <w:p w14:paraId="5F8E920A" w14:textId="7AAACBBA" w:rsidR="00D138A1" w:rsidRPr="0037722B" w:rsidRDefault="0037722B" w:rsidP="005E6DA8">
      <w:pPr>
        <w:pStyle w:val="ListParagraph"/>
        <w:numPr>
          <w:ilvl w:val="0"/>
          <w:numId w:val="1"/>
        </w:numPr>
        <w:ind w:left="357" w:hanging="357"/>
        <w:contextualSpacing w:val="0"/>
        <w:jc w:val="both"/>
        <w:rPr>
          <w:rFonts w:eastAsia="Times New Roman" w:cs="Segoe UI"/>
          <w:kern w:val="0"/>
          <w:sz w:val="24"/>
          <w:szCs w:val="24"/>
          <w:lang w:eastAsia="en-CA"/>
          <w14:ligatures w14:val="none"/>
        </w:rPr>
      </w:pPr>
      <w:r w:rsidRPr="0037722B">
        <w:rPr>
          <w:rFonts w:eastAsia="Times New Roman" w:cs="Segoe UI"/>
          <w:kern w:val="0"/>
          <w:sz w:val="24"/>
          <w:szCs w:val="24"/>
          <w:lang w:eastAsia="en-CA"/>
          <w14:ligatures w14:val="none"/>
        </w:rPr>
        <w:t>We note that, while General Comment No. 22 on Article 18 (freedom of thought, conscience and religion)</w:t>
      </w:r>
      <w:r w:rsidRPr="0037722B">
        <w:rPr>
          <w:rStyle w:val="EndnoteReference"/>
          <w:rFonts w:eastAsia="Times New Roman" w:cs="Segoe UI"/>
          <w:kern w:val="0"/>
          <w:sz w:val="24"/>
          <w:szCs w:val="24"/>
          <w:lang w:eastAsia="en-CA"/>
          <w14:ligatures w14:val="none"/>
        </w:rPr>
        <w:endnoteReference w:id="4"/>
      </w:r>
      <w:r w:rsidRPr="0037722B">
        <w:rPr>
          <w:rFonts w:eastAsia="Times New Roman" w:cs="Segoe UI"/>
          <w:kern w:val="0"/>
          <w:sz w:val="24"/>
          <w:szCs w:val="24"/>
          <w:lang w:eastAsia="en-CA"/>
          <w14:ligatures w14:val="none"/>
        </w:rPr>
        <w:t xml:space="preserve"> recogni</w:t>
      </w:r>
      <w:r>
        <w:rPr>
          <w:rFonts w:eastAsia="Times New Roman" w:cs="Segoe UI"/>
          <w:kern w:val="0"/>
          <w:sz w:val="24"/>
          <w:szCs w:val="24"/>
          <w:lang w:eastAsia="en-CA"/>
          <w14:ligatures w14:val="none"/>
        </w:rPr>
        <w:t>s</w:t>
      </w:r>
      <w:r w:rsidRPr="0037722B">
        <w:rPr>
          <w:rFonts w:eastAsia="Times New Roman" w:cs="Segoe UI"/>
          <w:kern w:val="0"/>
          <w:sz w:val="24"/>
          <w:szCs w:val="24"/>
          <w:lang w:eastAsia="en-CA"/>
          <w14:ligatures w14:val="none"/>
        </w:rPr>
        <w:t xml:space="preserve">es that religion or belief may be manifested both publicly and in community with others, it does not explicitly address the right to establish religious or </w:t>
      </w:r>
      <w:r w:rsidR="005E6DA8">
        <w:rPr>
          <w:rFonts w:eastAsia="Times New Roman" w:cs="Segoe UI"/>
          <w:kern w:val="0"/>
          <w:sz w:val="24"/>
          <w:szCs w:val="24"/>
          <w:lang w:eastAsia="en-CA"/>
          <w14:ligatures w14:val="none"/>
        </w:rPr>
        <w:t>belief</w:t>
      </w:r>
      <w:r w:rsidRPr="0037722B">
        <w:rPr>
          <w:rFonts w:eastAsia="Times New Roman" w:cs="Segoe UI"/>
          <w:kern w:val="0"/>
          <w:sz w:val="24"/>
          <w:szCs w:val="24"/>
          <w:lang w:eastAsia="en-CA"/>
          <w14:ligatures w14:val="none"/>
        </w:rPr>
        <w:t>-based organi</w:t>
      </w:r>
      <w:r>
        <w:rPr>
          <w:rFonts w:eastAsia="Times New Roman" w:cs="Segoe UI"/>
          <w:kern w:val="0"/>
          <w:sz w:val="24"/>
          <w:szCs w:val="24"/>
          <w:lang w:eastAsia="en-CA"/>
          <w14:ligatures w14:val="none"/>
        </w:rPr>
        <w:t>s</w:t>
      </w:r>
      <w:r w:rsidRPr="0037722B">
        <w:rPr>
          <w:rFonts w:eastAsia="Times New Roman" w:cs="Segoe UI"/>
          <w:kern w:val="0"/>
          <w:sz w:val="24"/>
          <w:szCs w:val="24"/>
          <w:lang w:eastAsia="en-CA"/>
          <w14:ligatures w14:val="none"/>
        </w:rPr>
        <w:t>ations or to obtain legal personality. These elements are essential to the collective exercise of freedom of religion or belief and intersect directly with freedom of association. We therefore recommend that General Comment No. 38 explicitly address the right of religious and belief communities to organi</w:t>
      </w:r>
      <w:r>
        <w:rPr>
          <w:rFonts w:eastAsia="Times New Roman" w:cs="Segoe UI"/>
          <w:kern w:val="0"/>
          <w:sz w:val="24"/>
          <w:szCs w:val="24"/>
          <w:lang w:eastAsia="en-CA"/>
          <w14:ligatures w14:val="none"/>
        </w:rPr>
        <w:t>s</w:t>
      </w:r>
      <w:r w:rsidRPr="0037722B">
        <w:rPr>
          <w:rFonts w:eastAsia="Times New Roman" w:cs="Segoe UI"/>
          <w:kern w:val="0"/>
          <w:sz w:val="24"/>
          <w:szCs w:val="24"/>
          <w:lang w:eastAsia="en-CA"/>
          <w14:ligatures w14:val="none"/>
        </w:rPr>
        <w:t>e, establish legal entities, and obtain legal recognition without discrimination or undue restrictions.</w:t>
      </w:r>
    </w:p>
    <w:p w14:paraId="652373ED" w14:textId="05569350" w:rsidR="00FF232D" w:rsidRPr="00FF232D" w:rsidRDefault="00FF232D" w:rsidP="005E6DA8">
      <w:pPr>
        <w:pStyle w:val="ListParagraph"/>
        <w:numPr>
          <w:ilvl w:val="0"/>
          <w:numId w:val="1"/>
        </w:numPr>
        <w:spacing w:after="0"/>
        <w:jc w:val="both"/>
        <w:rPr>
          <w:rFonts w:eastAsia="Times New Roman" w:cs="Segoe UI"/>
          <w:kern w:val="0"/>
          <w:sz w:val="24"/>
          <w:szCs w:val="24"/>
          <w:lang w:eastAsia="en-CA"/>
          <w14:ligatures w14:val="none"/>
        </w:rPr>
      </w:pPr>
      <w:r w:rsidRPr="00FF232D">
        <w:rPr>
          <w:rFonts w:eastAsia="Times New Roman" w:cs="Segoe UI"/>
          <w:kern w:val="0"/>
          <w:sz w:val="24"/>
          <w:szCs w:val="24"/>
          <w:lang w:eastAsia="en-CA"/>
          <w14:ligatures w14:val="none"/>
        </w:rPr>
        <w:t xml:space="preserve">We draw the Committee’s attention to the </w:t>
      </w:r>
      <w:r w:rsidRPr="00FF232D">
        <w:rPr>
          <w:rFonts w:eastAsia="Times New Roman" w:cs="Segoe UI"/>
          <w:i/>
          <w:iCs/>
          <w:kern w:val="0"/>
          <w:sz w:val="24"/>
          <w:szCs w:val="24"/>
          <w:lang w:eastAsia="en-CA"/>
          <w14:ligatures w14:val="none"/>
        </w:rPr>
        <w:t>Declaration on the Elimination of All Forms of Intolerance and of Discrimination Based on Religion or Belief</w:t>
      </w:r>
      <w:r w:rsidRPr="00FF232D">
        <w:rPr>
          <w:rFonts w:eastAsia="Times New Roman" w:cs="Segoe UI"/>
          <w:kern w:val="0"/>
          <w:sz w:val="24"/>
          <w:szCs w:val="24"/>
          <w:lang w:eastAsia="en-CA"/>
          <w14:ligatures w14:val="none"/>
        </w:rPr>
        <w:t>,</w:t>
      </w:r>
      <w:r w:rsidRPr="00FF232D">
        <w:rPr>
          <w:rStyle w:val="EndnoteReference"/>
          <w:rFonts w:eastAsia="Times New Roman" w:cs="Segoe UI"/>
          <w:kern w:val="0"/>
          <w:sz w:val="24"/>
          <w:szCs w:val="24"/>
          <w:lang w:eastAsia="en-CA"/>
          <w14:ligatures w14:val="none"/>
        </w:rPr>
        <w:t xml:space="preserve"> </w:t>
      </w:r>
      <w:r w:rsidRPr="00FF232D">
        <w:rPr>
          <w:rStyle w:val="EndnoteReference"/>
          <w:rFonts w:eastAsia="Times New Roman" w:cs="Segoe UI"/>
          <w:kern w:val="0"/>
          <w:sz w:val="24"/>
          <w:szCs w:val="24"/>
          <w:lang w:eastAsia="en-CA"/>
          <w14:ligatures w14:val="none"/>
        </w:rPr>
        <w:endnoteReference w:id="5"/>
      </w:r>
      <w:r w:rsidRPr="00FF232D">
        <w:rPr>
          <w:rFonts w:eastAsia="Times New Roman" w:cs="Segoe UI"/>
          <w:kern w:val="0"/>
          <w:sz w:val="24"/>
          <w:szCs w:val="24"/>
          <w:lang w:eastAsia="en-CA"/>
          <w14:ligatures w14:val="none"/>
        </w:rPr>
        <w:t xml:space="preserve"> adopted by the United Nations General Assembly in 1981. While the Declaration provides an important articulation of the content of freedom of religion or belief, it is not legally binding as a treaty. It is therefore important that the rights set out in the Declaration be reflected and reinforced through the interpretation of existing human rights treaty obligations.</w:t>
      </w:r>
      <w:r>
        <w:rPr>
          <w:rFonts w:eastAsia="Times New Roman" w:cs="Segoe UI"/>
          <w:kern w:val="0"/>
          <w:sz w:val="24"/>
          <w:szCs w:val="24"/>
          <w:lang w:eastAsia="en-CA"/>
          <w14:ligatures w14:val="none"/>
        </w:rPr>
        <w:t xml:space="preserve"> </w:t>
      </w:r>
      <w:proofErr w:type="gramStart"/>
      <w:r w:rsidRPr="00FF232D">
        <w:rPr>
          <w:rFonts w:eastAsia="Times New Roman" w:cs="Segoe UI"/>
          <w:kern w:val="0"/>
          <w:sz w:val="24"/>
          <w:szCs w:val="24"/>
          <w:lang w:eastAsia="en-CA"/>
          <w14:ligatures w14:val="none"/>
        </w:rPr>
        <w:t>In particular, Article</w:t>
      </w:r>
      <w:proofErr w:type="gramEnd"/>
      <w:r w:rsidRPr="00FF232D">
        <w:rPr>
          <w:rFonts w:eastAsia="Times New Roman" w:cs="Segoe UI"/>
          <w:kern w:val="0"/>
          <w:sz w:val="24"/>
          <w:szCs w:val="24"/>
          <w:lang w:eastAsia="en-CA"/>
          <w14:ligatures w14:val="none"/>
        </w:rPr>
        <w:t xml:space="preserve"> 6 recogni</w:t>
      </w:r>
      <w:r w:rsidR="005E6DA8">
        <w:rPr>
          <w:rFonts w:eastAsia="Times New Roman" w:cs="Segoe UI"/>
          <w:kern w:val="0"/>
          <w:sz w:val="24"/>
          <w:szCs w:val="24"/>
          <w:lang w:eastAsia="en-CA"/>
          <w14:ligatures w14:val="none"/>
        </w:rPr>
        <w:t>s</w:t>
      </w:r>
      <w:r w:rsidRPr="00FF232D">
        <w:rPr>
          <w:rFonts w:eastAsia="Times New Roman" w:cs="Segoe UI"/>
          <w:kern w:val="0"/>
          <w:sz w:val="24"/>
          <w:szCs w:val="24"/>
          <w:lang w:eastAsia="en-CA"/>
          <w14:ligatures w14:val="none"/>
        </w:rPr>
        <w:t>es the right</w:t>
      </w:r>
      <w:r w:rsidR="005E6DA8">
        <w:rPr>
          <w:rFonts w:eastAsia="Times New Roman" w:cs="Segoe UI"/>
          <w:kern w:val="0"/>
          <w:sz w:val="24"/>
          <w:szCs w:val="24"/>
          <w:lang w:eastAsia="en-CA"/>
          <w14:ligatures w14:val="none"/>
        </w:rPr>
        <w:t>s</w:t>
      </w:r>
      <w:r w:rsidRPr="00FF232D">
        <w:rPr>
          <w:rFonts w:eastAsia="Times New Roman" w:cs="Segoe UI"/>
          <w:kern w:val="0"/>
          <w:sz w:val="24"/>
          <w:szCs w:val="24"/>
          <w:lang w:eastAsia="en-CA"/>
          <w14:ligatures w14:val="none"/>
        </w:rPr>
        <w:t>:</w:t>
      </w:r>
    </w:p>
    <w:p w14:paraId="565E1B8D" w14:textId="1310455E" w:rsidR="00FB298A" w:rsidRPr="005A11A1" w:rsidRDefault="00FB298A" w:rsidP="005E6DA8">
      <w:pPr>
        <w:pStyle w:val="NormalWeb"/>
        <w:numPr>
          <w:ilvl w:val="1"/>
          <w:numId w:val="4"/>
        </w:numPr>
        <w:jc w:val="both"/>
        <w:rPr>
          <w:rFonts w:asciiTheme="minorHAnsi" w:hAnsiTheme="minorHAnsi"/>
        </w:rPr>
      </w:pPr>
      <w:r w:rsidRPr="005A11A1">
        <w:rPr>
          <w:rFonts w:asciiTheme="minorHAnsi" w:hAnsiTheme="minorHAnsi"/>
        </w:rPr>
        <w:t>To worship or assemble in connection with a religion or belief, and to establish and maintain places for these purposes;</w:t>
      </w:r>
    </w:p>
    <w:p w14:paraId="7353C231" w14:textId="11165DAB" w:rsidR="00FB298A" w:rsidRPr="005A11A1" w:rsidRDefault="00FB298A" w:rsidP="005E6DA8">
      <w:pPr>
        <w:pStyle w:val="NormalWeb"/>
        <w:numPr>
          <w:ilvl w:val="1"/>
          <w:numId w:val="4"/>
        </w:numPr>
        <w:spacing w:before="0" w:beforeAutospacing="0" w:after="160" w:afterAutospacing="0"/>
        <w:ind w:left="1077" w:hanging="357"/>
        <w:jc w:val="both"/>
        <w:rPr>
          <w:rFonts w:asciiTheme="minorHAnsi" w:hAnsiTheme="minorHAnsi"/>
        </w:rPr>
      </w:pPr>
      <w:r w:rsidRPr="005A11A1">
        <w:rPr>
          <w:rFonts w:asciiTheme="minorHAnsi" w:hAnsiTheme="minorHAnsi"/>
        </w:rPr>
        <w:t>To establish and maintain appropriate charitable or humanitarian institutions;</w:t>
      </w:r>
    </w:p>
    <w:p w14:paraId="25267617" w14:textId="0FF3D057" w:rsidR="00FF232D" w:rsidRDefault="00FF232D" w:rsidP="005E6DA8">
      <w:pPr>
        <w:ind w:left="357"/>
        <w:jc w:val="both"/>
        <w:rPr>
          <w:rFonts w:ascii="Aptos" w:eastAsia="Times New Roman" w:hAnsi="Aptos" w:cs="Segoe UI"/>
          <w:kern w:val="0"/>
          <w:sz w:val="24"/>
          <w:szCs w:val="24"/>
          <w:lang w:eastAsia="en-CA"/>
          <w14:ligatures w14:val="none"/>
        </w:rPr>
      </w:pPr>
      <w:r w:rsidRPr="00FF232D">
        <w:rPr>
          <w:rFonts w:ascii="Aptos" w:eastAsia="Times New Roman" w:hAnsi="Aptos" w:cs="Segoe UI"/>
          <w:kern w:val="0"/>
          <w:sz w:val="24"/>
          <w:szCs w:val="24"/>
          <w:lang w:eastAsia="en-CA"/>
          <w14:ligatures w14:val="none"/>
        </w:rPr>
        <w:t xml:space="preserve">These activities are inherently associational in nature and are indispensable to the collective exercise of freedom of religion or belief. The ability of individuals to </w:t>
      </w:r>
      <w:proofErr w:type="gramStart"/>
      <w:r w:rsidRPr="00FF232D">
        <w:rPr>
          <w:rFonts w:ascii="Aptos" w:eastAsia="Times New Roman" w:hAnsi="Aptos" w:cs="Segoe UI"/>
          <w:kern w:val="0"/>
          <w:sz w:val="24"/>
          <w:szCs w:val="24"/>
          <w:lang w:eastAsia="en-CA"/>
          <w14:ligatures w14:val="none"/>
        </w:rPr>
        <w:t>join together</w:t>
      </w:r>
      <w:proofErr w:type="gramEnd"/>
      <w:r w:rsidRPr="00FF232D">
        <w:rPr>
          <w:rFonts w:ascii="Aptos" w:eastAsia="Times New Roman" w:hAnsi="Aptos" w:cs="Segoe UI"/>
          <w:kern w:val="0"/>
          <w:sz w:val="24"/>
          <w:szCs w:val="24"/>
          <w:lang w:eastAsia="en-CA"/>
          <w14:ligatures w14:val="none"/>
        </w:rPr>
        <w:t xml:space="preserve"> to establish, maintain, and operate religious institutions, places of worship, and </w:t>
      </w:r>
      <w:r w:rsidRPr="00FF232D">
        <w:rPr>
          <w:rFonts w:ascii="Aptos" w:eastAsia="Times New Roman" w:hAnsi="Aptos" w:cs="Segoe UI"/>
          <w:kern w:val="0"/>
          <w:sz w:val="24"/>
          <w:szCs w:val="24"/>
          <w:lang w:eastAsia="en-CA"/>
          <w14:ligatures w14:val="none"/>
        </w:rPr>
        <w:lastRenderedPageBreak/>
        <w:t>charitable organi</w:t>
      </w:r>
      <w:r>
        <w:rPr>
          <w:rFonts w:ascii="Aptos" w:eastAsia="Times New Roman" w:hAnsi="Aptos" w:cs="Segoe UI"/>
          <w:kern w:val="0"/>
          <w:sz w:val="24"/>
          <w:szCs w:val="24"/>
          <w:lang w:eastAsia="en-CA"/>
          <w14:ligatures w14:val="none"/>
        </w:rPr>
        <w:t>s</w:t>
      </w:r>
      <w:r w:rsidRPr="00FF232D">
        <w:rPr>
          <w:rFonts w:ascii="Aptos" w:eastAsia="Times New Roman" w:hAnsi="Aptos" w:cs="Segoe UI"/>
          <w:kern w:val="0"/>
          <w:sz w:val="24"/>
          <w:szCs w:val="24"/>
          <w:lang w:eastAsia="en-CA"/>
          <w14:ligatures w14:val="none"/>
        </w:rPr>
        <w:t>ations is essential to the effective enjoyment of Article 18 rights. We therefore encourage the Committee to expressly recogni</w:t>
      </w:r>
      <w:r>
        <w:rPr>
          <w:rFonts w:ascii="Aptos" w:eastAsia="Times New Roman" w:hAnsi="Aptos" w:cs="Segoe UI"/>
          <w:kern w:val="0"/>
          <w:sz w:val="24"/>
          <w:szCs w:val="24"/>
          <w:lang w:eastAsia="en-CA"/>
          <w14:ligatures w14:val="none"/>
        </w:rPr>
        <w:t>s</w:t>
      </w:r>
      <w:r w:rsidRPr="00FF232D">
        <w:rPr>
          <w:rFonts w:ascii="Aptos" w:eastAsia="Times New Roman" w:hAnsi="Aptos" w:cs="Segoe UI"/>
          <w:kern w:val="0"/>
          <w:sz w:val="24"/>
          <w:szCs w:val="24"/>
          <w:lang w:eastAsia="en-CA"/>
          <w14:ligatures w14:val="none"/>
        </w:rPr>
        <w:t>e religious and belief-based organi</w:t>
      </w:r>
      <w:r>
        <w:rPr>
          <w:rFonts w:ascii="Aptos" w:eastAsia="Times New Roman" w:hAnsi="Aptos" w:cs="Segoe UI"/>
          <w:kern w:val="0"/>
          <w:sz w:val="24"/>
          <w:szCs w:val="24"/>
          <w:lang w:eastAsia="en-CA"/>
          <w14:ligatures w14:val="none"/>
        </w:rPr>
        <w:t>s</w:t>
      </w:r>
      <w:r w:rsidRPr="00FF232D">
        <w:rPr>
          <w:rFonts w:ascii="Aptos" w:eastAsia="Times New Roman" w:hAnsi="Aptos" w:cs="Segoe UI"/>
          <w:kern w:val="0"/>
          <w:sz w:val="24"/>
          <w:szCs w:val="24"/>
          <w:lang w:eastAsia="en-CA"/>
          <w14:ligatures w14:val="none"/>
        </w:rPr>
        <w:t xml:space="preserve">ations within General Comment No. 38 and to clarify the protection afforded to their establishment, operation, and legal recognition. </w:t>
      </w:r>
      <w:r w:rsidR="005E6DA8">
        <w:rPr>
          <w:rFonts w:ascii="Aptos" w:eastAsia="Times New Roman" w:hAnsi="Aptos" w:cs="Segoe UI"/>
          <w:kern w:val="0"/>
          <w:sz w:val="24"/>
          <w:szCs w:val="24"/>
          <w:lang w:eastAsia="en-CA"/>
          <w14:ligatures w14:val="none"/>
        </w:rPr>
        <w:t>We</w:t>
      </w:r>
      <w:r w:rsidRPr="00FF232D">
        <w:rPr>
          <w:rFonts w:ascii="Aptos" w:eastAsia="Times New Roman" w:hAnsi="Aptos" w:cs="Segoe UI"/>
          <w:kern w:val="0"/>
          <w:sz w:val="24"/>
          <w:szCs w:val="24"/>
          <w:lang w:eastAsia="en-CA"/>
          <w14:ligatures w14:val="none"/>
        </w:rPr>
        <w:t xml:space="preserve"> propose</w:t>
      </w:r>
      <w:r w:rsidR="005E6DA8">
        <w:rPr>
          <w:rFonts w:ascii="Aptos" w:eastAsia="Times New Roman" w:hAnsi="Aptos" w:cs="Segoe UI"/>
          <w:kern w:val="0"/>
          <w:sz w:val="24"/>
          <w:szCs w:val="24"/>
          <w:lang w:eastAsia="en-CA"/>
          <w14:ligatures w14:val="none"/>
        </w:rPr>
        <w:t xml:space="preserve"> adding a</w:t>
      </w:r>
      <w:r w:rsidRPr="00FF232D">
        <w:rPr>
          <w:rFonts w:ascii="Aptos" w:eastAsia="Times New Roman" w:hAnsi="Aptos" w:cs="Segoe UI"/>
          <w:kern w:val="0"/>
          <w:sz w:val="24"/>
          <w:szCs w:val="24"/>
          <w:lang w:eastAsia="en-CA"/>
          <w14:ligatures w14:val="none"/>
        </w:rPr>
        <w:t xml:space="preserve"> new paragraph </w:t>
      </w:r>
      <w:r w:rsidR="005C56CE">
        <w:rPr>
          <w:rFonts w:ascii="Aptos" w:eastAsia="Times New Roman" w:hAnsi="Aptos" w:cs="Segoe UI"/>
          <w:kern w:val="0"/>
          <w:sz w:val="24"/>
          <w:szCs w:val="24"/>
          <w:lang w:eastAsia="en-CA"/>
          <w14:ligatures w14:val="none"/>
        </w:rPr>
        <w:t>following current paragraph 16</w:t>
      </w:r>
      <w:r w:rsidRPr="00FF232D">
        <w:rPr>
          <w:rFonts w:ascii="Aptos" w:eastAsia="Times New Roman" w:hAnsi="Aptos" w:cs="Segoe UI"/>
          <w:kern w:val="0"/>
          <w:sz w:val="24"/>
          <w:szCs w:val="24"/>
          <w:lang w:eastAsia="en-CA"/>
          <w14:ligatures w14:val="none"/>
        </w:rPr>
        <w:t xml:space="preserve"> reflecting this recommendation</w:t>
      </w:r>
      <w:r w:rsidR="005E6DA8">
        <w:rPr>
          <w:rFonts w:ascii="Aptos" w:eastAsia="Times New Roman" w:hAnsi="Aptos" w:cs="Segoe UI"/>
          <w:kern w:val="0"/>
          <w:sz w:val="24"/>
          <w:szCs w:val="24"/>
          <w:lang w:eastAsia="en-CA"/>
          <w14:ligatures w14:val="none"/>
        </w:rPr>
        <w:t>:</w:t>
      </w:r>
    </w:p>
    <w:p w14:paraId="64DBB22C" w14:textId="259A0C8A" w:rsidR="005E6DA8" w:rsidRPr="005A11A1" w:rsidRDefault="005C56CE" w:rsidP="005E6DA8">
      <w:pPr>
        <w:ind w:left="720"/>
        <w:jc w:val="both"/>
        <w:rPr>
          <w:sz w:val="24"/>
          <w:szCs w:val="24"/>
        </w:rPr>
      </w:pPr>
      <w:r>
        <w:rPr>
          <w:sz w:val="24"/>
          <w:szCs w:val="24"/>
        </w:rPr>
        <w:t>16bis</w:t>
      </w:r>
      <w:r w:rsidR="005E6DA8" w:rsidRPr="005A11A1">
        <w:rPr>
          <w:sz w:val="24"/>
          <w:szCs w:val="24"/>
        </w:rPr>
        <w:t>. Associational rights are integral to the full enjoyment of freedom of religion or belief. A State’s refusal to recogni</w:t>
      </w:r>
      <w:r w:rsidR="005E6DA8">
        <w:rPr>
          <w:sz w:val="24"/>
          <w:szCs w:val="24"/>
        </w:rPr>
        <w:t>s</w:t>
      </w:r>
      <w:r w:rsidR="005E6DA8" w:rsidRPr="005A11A1">
        <w:rPr>
          <w:sz w:val="24"/>
          <w:szCs w:val="24"/>
        </w:rPr>
        <w:t xml:space="preserve">e religious associations may constitute a violation of both freedom of religion or belief and freedom of association. States must not discriminate against religious associations that choose not to register or obtain legal personality. Where legal status or registration is sought, States are required to provide accessible mechanisms on terms comparable to those applicable to other types of associations. States must further ensure that legal requirements governing the establishment and operation of religious associations are proportionate and not unduly burdensome. </w:t>
      </w:r>
      <w:proofErr w:type="gramStart"/>
      <w:r w:rsidR="005E6DA8" w:rsidRPr="005A11A1">
        <w:rPr>
          <w:sz w:val="24"/>
          <w:szCs w:val="24"/>
        </w:rPr>
        <w:t>In light of</w:t>
      </w:r>
      <w:proofErr w:type="gramEnd"/>
      <w:r w:rsidR="005E6DA8" w:rsidRPr="005A11A1">
        <w:rPr>
          <w:sz w:val="24"/>
          <w:szCs w:val="24"/>
        </w:rPr>
        <w:t xml:space="preserve"> the transnational character of many religious communities, associations should be free to seek, receive, and use financial and other resources from domestic and foreign sources without the need for prior authorization.</w:t>
      </w:r>
    </w:p>
    <w:p w14:paraId="5719F94B" w14:textId="21DFD00B" w:rsidR="00FF232D" w:rsidRPr="00FF232D" w:rsidRDefault="00FF232D" w:rsidP="005E6DA8">
      <w:pPr>
        <w:pStyle w:val="ListParagraph"/>
        <w:numPr>
          <w:ilvl w:val="0"/>
          <w:numId w:val="1"/>
        </w:numPr>
        <w:ind w:left="357" w:hanging="357"/>
        <w:contextualSpacing w:val="0"/>
        <w:jc w:val="both"/>
        <w:rPr>
          <w:rFonts w:ascii="Aptos" w:eastAsia="Times New Roman" w:hAnsi="Aptos" w:cs="Segoe UI"/>
          <w:kern w:val="0"/>
          <w:sz w:val="24"/>
          <w:szCs w:val="24"/>
          <w:lang w:eastAsia="en-CA"/>
          <w14:ligatures w14:val="none"/>
        </w:rPr>
      </w:pPr>
      <w:r w:rsidRPr="00FF232D">
        <w:rPr>
          <w:rFonts w:ascii="Aptos" w:eastAsia="Times New Roman" w:hAnsi="Aptos" w:cs="Segoe UI"/>
          <w:kern w:val="0"/>
          <w:sz w:val="24"/>
          <w:szCs w:val="24"/>
          <w:lang w:eastAsia="en-CA"/>
          <w14:ligatures w14:val="none"/>
        </w:rPr>
        <w:t xml:space="preserve">There are several instances in the Draft General Comment where explicit reference to religion or belief would strengthen recognition of the collective dimensions of freedom of religion or belief. For example, paragraph 8 refers to entities such as political parties and trade unions as forms of association protected under Article 22. We recommend that “religious and </w:t>
      </w:r>
      <w:r w:rsidR="005E6DA8">
        <w:rPr>
          <w:rFonts w:ascii="Aptos" w:eastAsia="Times New Roman" w:hAnsi="Aptos" w:cs="Segoe UI"/>
          <w:kern w:val="0"/>
          <w:sz w:val="24"/>
          <w:szCs w:val="24"/>
          <w:lang w:eastAsia="en-CA"/>
          <w14:ligatures w14:val="none"/>
        </w:rPr>
        <w:t>belief</w:t>
      </w:r>
      <w:r w:rsidRPr="00FF232D">
        <w:rPr>
          <w:rFonts w:ascii="Aptos" w:eastAsia="Times New Roman" w:hAnsi="Aptos" w:cs="Segoe UI"/>
          <w:kern w:val="0"/>
          <w:sz w:val="24"/>
          <w:szCs w:val="24"/>
          <w:lang w:eastAsia="en-CA"/>
          <w14:ligatures w14:val="none"/>
        </w:rPr>
        <w:t>-based associations” be expressly included in this list. Their inclusion would acknowledge that the freedom to associate for religious or belief purposes is a fundamental aspect of both freedom of association and the collective exercise of freedom of religion or belief and would help ensure that religious and belief communities are clearly encompassed within the protections afforded by Article 22.</w:t>
      </w:r>
    </w:p>
    <w:p w14:paraId="05CABAD2" w14:textId="1CD81EFE" w:rsidR="00FF232D" w:rsidRPr="00FF232D" w:rsidRDefault="00FF232D" w:rsidP="005E6DA8">
      <w:pPr>
        <w:pStyle w:val="ListParagraph"/>
        <w:numPr>
          <w:ilvl w:val="0"/>
          <w:numId w:val="1"/>
        </w:numPr>
        <w:ind w:left="357" w:hanging="357"/>
        <w:contextualSpacing w:val="0"/>
        <w:jc w:val="both"/>
        <w:rPr>
          <w:rFonts w:ascii="Aptos" w:eastAsia="Times New Roman" w:hAnsi="Aptos" w:cs="Segoe UI"/>
          <w:kern w:val="0"/>
          <w:sz w:val="24"/>
          <w:szCs w:val="24"/>
          <w:lang w:eastAsia="en-CA"/>
          <w14:ligatures w14:val="none"/>
        </w:rPr>
      </w:pPr>
      <w:r w:rsidRPr="00FF232D">
        <w:rPr>
          <w:rFonts w:ascii="Aptos" w:eastAsia="Times New Roman" w:hAnsi="Aptos" w:cs="Segoe UI"/>
          <w:kern w:val="0"/>
          <w:sz w:val="24"/>
          <w:szCs w:val="24"/>
          <w:lang w:eastAsia="en-CA"/>
          <w14:ligatures w14:val="none"/>
        </w:rPr>
        <w:t>Second, paragraph 9 refers to “marginali</w:t>
      </w:r>
      <w:r w:rsidR="005E6DA8">
        <w:rPr>
          <w:rFonts w:ascii="Aptos" w:eastAsia="Times New Roman" w:hAnsi="Aptos" w:cs="Segoe UI"/>
          <w:kern w:val="0"/>
          <w:sz w:val="24"/>
          <w:szCs w:val="24"/>
          <w:lang w:eastAsia="en-CA"/>
          <w14:ligatures w14:val="none"/>
        </w:rPr>
        <w:t>s</w:t>
      </w:r>
      <w:r w:rsidRPr="00FF232D">
        <w:rPr>
          <w:rFonts w:ascii="Aptos" w:eastAsia="Times New Roman" w:hAnsi="Aptos" w:cs="Segoe UI"/>
          <w:kern w:val="0"/>
          <w:sz w:val="24"/>
          <w:szCs w:val="24"/>
          <w:lang w:eastAsia="en-CA"/>
          <w14:ligatures w14:val="none"/>
        </w:rPr>
        <w:t>ed, disenfranchised or disadvantaged persons, groups, communities and peoples.” We recommend that “religious minorities” be expressly included among the groups identified. Religious minorities frequently face distinctive barriers to the exercise of their rights, including discrimination, exclusion from public life, restrictions on religious practice, and obstacles to the registration and operation of their religious organi</w:t>
      </w:r>
      <w:r>
        <w:rPr>
          <w:rFonts w:ascii="Aptos" w:eastAsia="Times New Roman" w:hAnsi="Aptos" w:cs="Segoe UI"/>
          <w:kern w:val="0"/>
          <w:sz w:val="24"/>
          <w:szCs w:val="24"/>
          <w:lang w:eastAsia="en-CA"/>
          <w14:ligatures w14:val="none"/>
        </w:rPr>
        <w:t>s</w:t>
      </w:r>
      <w:r w:rsidRPr="00FF232D">
        <w:rPr>
          <w:rFonts w:ascii="Aptos" w:eastAsia="Times New Roman" w:hAnsi="Aptos" w:cs="Segoe UI"/>
          <w:kern w:val="0"/>
          <w:sz w:val="24"/>
          <w:szCs w:val="24"/>
          <w:lang w:eastAsia="en-CA"/>
          <w14:ligatures w14:val="none"/>
        </w:rPr>
        <w:t xml:space="preserve">ations. Explicit reference to religious minorities would acknowledge these </w:t>
      </w:r>
      <w:proofErr w:type="gramStart"/>
      <w:r w:rsidRPr="00FF232D">
        <w:rPr>
          <w:rFonts w:ascii="Aptos" w:eastAsia="Times New Roman" w:hAnsi="Aptos" w:cs="Segoe UI"/>
          <w:kern w:val="0"/>
          <w:sz w:val="24"/>
          <w:szCs w:val="24"/>
          <w:lang w:eastAsia="en-CA"/>
          <w14:ligatures w14:val="none"/>
        </w:rPr>
        <w:t>particular vulnerabilities</w:t>
      </w:r>
      <w:proofErr w:type="gramEnd"/>
      <w:r w:rsidRPr="00FF232D">
        <w:rPr>
          <w:rFonts w:ascii="Aptos" w:eastAsia="Times New Roman" w:hAnsi="Aptos" w:cs="Segoe UI"/>
          <w:kern w:val="0"/>
          <w:sz w:val="24"/>
          <w:szCs w:val="24"/>
          <w:lang w:eastAsia="en-CA"/>
          <w14:ligatures w14:val="none"/>
        </w:rPr>
        <w:t xml:space="preserve"> and reinforce the importance of protecting their rights through the guarantees of freedom of association under Article 22.</w:t>
      </w:r>
    </w:p>
    <w:p w14:paraId="44E6D67D" w14:textId="77777777" w:rsidR="005E6DA8" w:rsidRPr="005E6DA8" w:rsidRDefault="005E6DA8" w:rsidP="005E6DA8">
      <w:pPr>
        <w:pStyle w:val="ListParagraph"/>
        <w:numPr>
          <w:ilvl w:val="0"/>
          <w:numId w:val="1"/>
        </w:numPr>
        <w:ind w:left="357" w:hanging="357"/>
        <w:contextualSpacing w:val="0"/>
        <w:jc w:val="both"/>
        <w:rPr>
          <w:rFonts w:ascii="Aptos" w:eastAsia="Times New Roman" w:hAnsi="Aptos" w:cs="Segoe UI"/>
          <w:kern w:val="0"/>
          <w:sz w:val="24"/>
          <w:szCs w:val="24"/>
          <w:lang w:eastAsia="en-CA"/>
          <w14:ligatures w14:val="none"/>
        </w:rPr>
      </w:pPr>
      <w:r w:rsidRPr="005E6DA8">
        <w:rPr>
          <w:rFonts w:ascii="Aptos" w:eastAsia="Times New Roman" w:hAnsi="Aptos" w:cs="Segoe UI"/>
          <w:kern w:val="0"/>
          <w:sz w:val="24"/>
          <w:szCs w:val="24"/>
          <w:lang w:eastAsia="en-CA"/>
          <w14:ligatures w14:val="none"/>
        </w:rPr>
        <w:t xml:space="preserve">Third, paragraph 35 would be strengthened by expressly including religion among the issues that may give rise to heightened risks for associations and their members. In many States, religion remains a particularly sensitive subject. Some States accord special constitutional status or legal privileges to a majority religion, while others impose restrictions or penalties on expressions considered offensive to prevailing religious </w:t>
      </w:r>
      <w:r w:rsidRPr="005E6DA8">
        <w:rPr>
          <w:rFonts w:ascii="Aptos" w:eastAsia="Times New Roman" w:hAnsi="Aptos" w:cs="Segoe UI"/>
          <w:kern w:val="0"/>
          <w:sz w:val="24"/>
          <w:szCs w:val="24"/>
          <w:lang w:eastAsia="en-CA"/>
          <w14:ligatures w14:val="none"/>
        </w:rPr>
        <w:lastRenderedPageBreak/>
        <w:t xml:space="preserve">beliefs or sentiments. In such contexts, places of worship, religious leaders, and religious communities may be especially vulnerable to hostility, discrimination, harassment, or violence. We therefore recommend adding “religious issues” to the list in the final sentence of paragraph 35, in recognition of the </w:t>
      </w:r>
      <w:proofErr w:type="gramStart"/>
      <w:r w:rsidRPr="005E6DA8">
        <w:rPr>
          <w:rFonts w:ascii="Aptos" w:eastAsia="Times New Roman" w:hAnsi="Aptos" w:cs="Segoe UI"/>
          <w:kern w:val="0"/>
          <w:sz w:val="24"/>
          <w:szCs w:val="24"/>
          <w:lang w:eastAsia="en-CA"/>
          <w14:ligatures w14:val="none"/>
        </w:rPr>
        <w:t>particular risks</w:t>
      </w:r>
      <w:proofErr w:type="gramEnd"/>
      <w:r w:rsidRPr="005E6DA8">
        <w:rPr>
          <w:rFonts w:ascii="Aptos" w:eastAsia="Times New Roman" w:hAnsi="Aptos" w:cs="Segoe UI"/>
          <w:kern w:val="0"/>
          <w:sz w:val="24"/>
          <w:szCs w:val="24"/>
          <w:lang w:eastAsia="en-CA"/>
          <w14:ligatures w14:val="none"/>
        </w:rPr>
        <w:t xml:space="preserve"> often faced by associations engaged in religious or belief-related activities.</w:t>
      </w:r>
    </w:p>
    <w:p w14:paraId="38E9F68B" w14:textId="7777A5E9" w:rsidR="00B87B46" w:rsidRPr="005A11A1" w:rsidRDefault="005E6DA8" w:rsidP="005E6DA8">
      <w:pPr>
        <w:jc w:val="both"/>
        <w:rPr>
          <w:b/>
          <w:bCs/>
          <w:sz w:val="24"/>
          <w:szCs w:val="24"/>
        </w:rPr>
      </w:pPr>
      <w:r>
        <w:rPr>
          <w:b/>
          <w:bCs/>
          <w:sz w:val="24"/>
          <w:szCs w:val="24"/>
        </w:rPr>
        <w:t xml:space="preserve">Summary of </w:t>
      </w:r>
      <w:r w:rsidR="00B87B46" w:rsidRPr="005A11A1">
        <w:rPr>
          <w:b/>
          <w:bCs/>
          <w:sz w:val="24"/>
          <w:szCs w:val="24"/>
        </w:rPr>
        <w:t>Recommendations</w:t>
      </w:r>
    </w:p>
    <w:p w14:paraId="7B685FC6" w14:textId="79ACA0F6" w:rsidR="00CD0BDC" w:rsidRPr="005A11A1" w:rsidRDefault="00CD0BDC" w:rsidP="00F539A8">
      <w:pPr>
        <w:pStyle w:val="NormalWeb"/>
        <w:numPr>
          <w:ilvl w:val="0"/>
          <w:numId w:val="1"/>
        </w:numPr>
        <w:spacing w:before="0" w:beforeAutospacing="0" w:after="160" w:afterAutospacing="0"/>
        <w:ind w:left="357" w:hanging="357"/>
        <w:jc w:val="both"/>
        <w:rPr>
          <w:rFonts w:asciiTheme="minorHAnsi" w:hAnsiTheme="minorHAnsi" w:cs="Segoe UI"/>
        </w:rPr>
      </w:pPr>
      <w:r w:rsidRPr="005A11A1">
        <w:rPr>
          <w:rFonts w:asciiTheme="minorHAnsi" w:hAnsiTheme="minorHAnsi" w:cs="Segoe UI"/>
        </w:rPr>
        <w:t xml:space="preserve">We recommend adding “religious associations” to </w:t>
      </w:r>
      <w:r w:rsidR="00F539A8">
        <w:rPr>
          <w:rFonts w:asciiTheme="minorHAnsi" w:hAnsiTheme="minorHAnsi" w:cs="Segoe UI"/>
        </w:rPr>
        <w:t xml:space="preserve">the list in </w:t>
      </w:r>
      <w:r w:rsidRPr="005A11A1">
        <w:rPr>
          <w:rFonts w:asciiTheme="minorHAnsi" w:hAnsiTheme="minorHAnsi" w:cs="Segoe UI"/>
        </w:rPr>
        <w:t xml:space="preserve">paragraph 8, which specifically includes political parties and trade unions. </w:t>
      </w:r>
    </w:p>
    <w:p w14:paraId="0ECBE419" w14:textId="1E13DD63" w:rsidR="00B87B46" w:rsidRPr="005A11A1" w:rsidRDefault="00B87B46" w:rsidP="005E6DA8">
      <w:pPr>
        <w:pStyle w:val="ListParagraph"/>
        <w:numPr>
          <w:ilvl w:val="0"/>
          <w:numId w:val="1"/>
        </w:numPr>
        <w:ind w:left="357" w:hanging="357"/>
        <w:contextualSpacing w:val="0"/>
        <w:jc w:val="both"/>
        <w:rPr>
          <w:sz w:val="24"/>
          <w:szCs w:val="24"/>
        </w:rPr>
      </w:pPr>
      <w:r w:rsidRPr="005A11A1">
        <w:rPr>
          <w:sz w:val="24"/>
          <w:szCs w:val="24"/>
        </w:rPr>
        <w:t xml:space="preserve">We </w:t>
      </w:r>
      <w:r w:rsidR="00CD0BDC" w:rsidRPr="005A11A1">
        <w:rPr>
          <w:sz w:val="24"/>
          <w:szCs w:val="24"/>
        </w:rPr>
        <w:t>recommend</w:t>
      </w:r>
      <w:r w:rsidRPr="005A11A1">
        <w:rPr>
          <w:sz w:val="24"/>
          <w:szCs w:val="24"/>
        </w:rPr>
        <w:t xml:space="preserve"> adding </w:t>
      </w:r>
      <w:r w:rsidR="00CD0BDC" w:rsidRPr="005A11A1">
        <w:rPr>
          <w:sz w:val="24"/>
          <w:szCs w:val="24"/>
        </w:rPr>
        <w:t>“</w:t>
      </w:r>
      <w:r w:rsidRPr="005A11A1">
        <w:rPr>
          <w:sz w:val="24"/>
          <w:szCs w:val="24"/>
        </w:rPr>
        <w:t>religious minorities</w:t>
      </w:r>
      <w:r w:rsidR="00CD0BDC" w:rsidRPr="005A11A1">
        <w:rPr>
          <w:sz w:val="24"/>
          <w:szCs w:val="24"/>
        </w:rPr>
        <w:t>”</w:t>
      </w:r>
      <w:r w:rsidRPr="005A11A1">
        <w:rPr>
          <w:sz w:val="24"/>
          <w:szCs w:val="24"/>
        </w:rPr>
        <w:t xml:space="preserve"> to the list of those who are marginali</w:t>
      </w:r>
      <w:r w:rsidR="005E6DA8">
        <w:rPr>
          <w:sz w:val="24"/>
          <w:szCs w:val="24"/>
        </w:rPr>
        <w:t>s</w:t>
      </w:r>
      <w:r w:rsidRPr="005A11A1">
        <w:rPr>
          <w:sz w:val="24"/>
          <w:szCs w:val="24"/>
        </w:rPr>
        <w:t>ed, disenfranchised or disadvantaged in paragraph 9.</w:t>
      </w:r>
    </w:p>
    <w:p w14:paraId="3D05F2A4" w14:textId="36EBF8AC" w:rsidR="00554A3C" w:rsidRPr="005A11A1" w:rsidRDefault="00281A0A" w:rsidP="005E6DA8">
      <w:pPr>
        <w:pStyle w:val="ListParagraph"/>
        <w:numPr>
          <w:ilvl w:val="0"/>
          <w:numId w:val="1"/>
        </w:numPr>
        <w:ind w:left="357" w:hanging="357"/>
        <w:contextualSpacing w:val="0"/>
        <w:jc w:val="both"/>
        <w:rPr>
          <w:sz w:val="24"/>
          <w:szCs w:val="24"/>
        </w:rPr>
      </w:pPr>
      <w:r w:rsidRPr="005A11A1">
        <w:rPr>
          <w:sz w:val="24"/>
          <w:szCs w:val="24"/>
        </w:rPr>
        <w:t>We recommend adding an additional paragraph to more fully articulate the relationship between Article 22 and Article 18. We refer to the Special Rapporteur on freedom of religion or belief’s submission from December 2025</w:t>
      </w:r>
      <w:r w:rsidR="005E6DA8">
        <w:rPr>
          <w:sz w:val="24"/>
          <w:szCs w:val="24"/>
        </w:rPr>
        <w:t>.</w:t>
      </w:r>
      <w:r w:rsidR="00FD33EA" w:rsidRPr="005A11A1">
        <w:rPr>
          <w:rStyle w:val="EndnoteReference"/>
          <w:sz w:val="24"/>
          <w:szCs w:val="24"/>
        </w:rPr>
        <w:endnoteReference w:id="6"/>
      </w:r>
      <w:r w:rsidRPr="005A11A1">
        <w:rPr>
          <w:sz w:val="24"/>
          <w:szCs w:val="24"/>
        </w:rPr>
        <w:t xml:space="preserve"> We respectfully suggest that this could be a new paragraph</w:t>
      </w:r>
      <w:r w:rsidR="00913EE0" w:rsidRPr="005A11A1">
        <w:rPr>
          <w:sz w:val="24"/>
          <w:szCs w:val="24"/>
        </w:rPr>
        <w:t xml:space="preserve"> along the lines of the following:</w:t>
      </w:r>
    </w:p>
    <w:p w14:paraId="547FDD62" w14:textId="7E449233" w:rsidR="00913EE0" w:rsidRPr="005A11A1" w:rsidRDefault="005C56CE" w:rsidP="005E6DA8">
      <w:pPr>
        <w:ind w:left="720"/>
        <w:jc w:val="both"/>
        <w:rPr>
          <w:sz w:val="24"/>
          <w:szCs w:val="24"/>
        </w:rPr>
      </w:pPr>
      <w:r>
        <w:rPr>
          <w:sz w:val="24"/>
          <w:szCs w:val="24"/>
        </w:rPr>
        <w:t>16bis</w:t>
      </w:r>
      <w:r w:rsidR="00913EE0" w:rsidRPr="005A11A1">
        <w:rPr>
          <w:sz w:val="24"/>
          <w:szCs w:val="24"/>
        </w:rPr>
        <w:t xml:space="preserve">. </w:t>
      </w:r>
      <w:r w:rsidR="00FD33EA" w:rsidRPr="005A11A1">
        <w:rPr>
          <w:sz w:val="24"/>
          <w:szCs w:val="24"/>
        </w:rPr>
        <w:t>Associational rights are integral to the full enjoyment of freedom of religion or belief. A State’s refusal to recogni</w:t>
      </w:r>
      <w:r w:rsidR="005E6DA8">
        <w:rPr>
          <w:sz w:val="24"/>
          <w:szCs w:val="24"/>
        </w:rPr>
        <w:t>s</w:t>
      </w:r>
      <w:r w:rsidR="00FD33EA" w:rsidRPr="005A11A1">
        <w:rPr>
          <w:sz w:val="24"/>
          <w:szCs w:val="24"/>
        </w:rPr>
        <w:t xml:space="preserve">e religious associations may constitute a violation of both freedom of religion or belief and freedom of association. States must not discriminate against religious associations that choose not to register or obtain legal personality. Where legal status or registration is sought, States are required to provide accessible mechanisms on terms comparable to those applicable to other types of associations. States must further ensure that legal requirements governing the establishment and operation of religious associations are proportionate and not unduly burdensome. </w:t>
      </w:r>
      <w:proofErr w:type="gramStart"/>
      <w:r w:rsidR="00FD33EA" w:rsidRPr="005A11A1">
        <w:rPr>
          <w:sz w:val="24"/>
          <w:szCs w:val="24"/>
        </w:rPr>
        <w:t>In light of</w:t>
      </w:r>
      <w:proofErr w:type="gramEnd"/>
      <w:r w:rsidR="00FD33EA" w:rsidRPr="005A11A1">
        <w:rPr>
          <w:sz w:val="24"/>
          <w:szCs w:val="24"/>
        </w:rPr>
        <w:t xml:space="preserve"> the transnational character of many religious communities, associations should be free to seek, receive, and use financial and other resources from domestic and foreign sources without the need for prior authorization.</w:t>
      </w:r>
    </w:p>
    <w:p w14:paraId="1061AFA5" w14:textId="481CF3D8" w:rsidR="00CD0BDC" w:rsidRPr="005A11A1" w:rsidRDefault="00CD0BDC" w:rsidP="005E6DA8">
      <w:pPr>
        <w:pStyle w:val="NormalWeb"/>
        <w:numPr>
          <w:ilvl w:val="0"/>
          <w:numId w:val="1"/>
        </w:numPr>
        <w:jc w:val="both"/>
        <w:rPr>
          <w:rFonts w:asciiTheme="minorHAnsi" w:hAnsiTheme="minorHAnsi" w:cs="Segoe UI"/>
        </w:rPr>
      </w:pPr>
      <w:r w:rsidRPr="005A11A1">
        <w:rPr>
          <w:rFonts w:asciiTheme="minorHAnsi" w:hAnsiTheme="minorHAnsi" w:cs="Segoe UI"/>
        </w:rPr>
        <w:t>We recommend adding “religious issues” to the list in the last sentence of paragraph 35.</w:t>
      </w:r>
    </w:p>
    <w:p w14:paraId="493BF34F" w14:textId="77777777" w:rsidR="00E16676" w:rsidRPr="005A11A1" w:rsidRDefault="00E16676" w:rsidP="00CD0BDC">
      <w:pPr>
        <w:pStyle w:val="ListParagraph"/>
        <w:ind w:left="360"/>
      </w:pPr>
    </w:p>
    <w:sectPr w:rsidR="00E16676" w:rsidRPr="005A11A1" w:rsidSect="006551E7">
      <w:headerReference w:type="default" r:id="rId12"/>
      <w:endnotePr>
        <w:numFmt w:val="decimal"/>
      </w:endnotePr>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AB09F" w14:textId="77777777" w:rsidR="0058521F" w:rsidRDefault="0058521F" w:rsidP="005143AF">
      <w:pPr>
        <w:spacing w:after="0" w:line="240" w:lineRule="auto"/>
      </w:pPr>
      <w:r>
        <w:separator/>
      </w:r>
    </w:p>
  </w:endnote>
  <w:endnote w:type="continuationSeparator" w:id="0">
    <w:p w14:paraId="174C23B0" w14:textId="77777777" w:rsidR="0058521F" w:rsidRDefault="0058521F" w:rsidP="005143AF">
      <w:pPr>
        <w:spacing w:after="0" w:line="240" w:lineRule="auto"/>
      </w:pPr>
      <w:r>
        <w:continuationSeparator/>
      </w:r>
    </w:p>
  </w:endnote>
  <w:endnote w:id="1">
    <w:p w14:paraId="66C43364" w14:textId="5A861388" w:rsidR="00C30E92" w:rsidRPr="005A11A1" w:rsidRDefault="00C30E92" w:rsidP="001E791C">
      <w:pPr>
        <w:pStyle w:val="EndnoteText"/>
        <w:rPr>
          <w:sz w:val="22"/>
          <w:szCs w:val="22"/>
        </w:rPr>
      </w:pPr>
      <w:r w:rsidRPr="005A11A1">
        <w:rPr>
          <w:rStyle w:val="EndnoteReference"/>
          <w:sz w:val="22"/>
          <w:szCs w:val="22"/>
        </w:rPr>
        <w:endnoteRef/>
      </w:r>
      <w:r w:rsidRPr="005A11A1">
        <w:rPr>
          <w:sz w:val="22"/>
          <w:szCs w:val="22"/>
        </w:rPr>
        <w:t xml:space="preserve"> </w:t>
      </w:r>
      <w:r w:rsidR="001E791C" w:rsidRPr="005A11A1">
        <w:rPr>
          <w:sz w:val="22"/>
          <w:szCs w:val="22"/>
        </w:rPr>
        <w:t xml:space="preserve">Special Rapporteur on freedom of religion or belief, Nazila Ghanea, “Input from the mandate of the United Nations Special Rapporteur on freedom of religion or belief,” December 2025. Online: </w:t>
      </w:r>
      <w:hyperlink r:id="rId1" w:history="1">
        <w:r w:rsidR="001E791C" w:rsidRPr="005A11A1">
          <w:rPr>
            <w:rStyle w:val="Hyperlink"/>
            <w:sz w:val="22"/>
            <w:szCs w:val="22"/>
          </w:rPr>
          <w:t>https://www.ohchr.org/sites/default/files/documents/hrbodies/ccpr/cfis/gc38-22/subm-general-comment-un-enti-47-un-sr-elief.pdf</w:t>
        </w:r>
      </w:hyperlink>
      <w:r w:rsidR="001E791C" w:rsidRPr="005A11A1">
        <w:rPr>
          <w:sz w:val="22"/>
          <w:szCs w:val="22"/>
        </w:rPr>
        <w:t xml:space="preserve">. </w:t>
      </w:r>
    </w:p>
  </w:endnote>
  <w:endnote w:id="2">
    <w:p w14:paraId="0BC9518F" w14:textId="49EC0C48" w:rsidR="007D2549" w:rsidRPr="005A11A1" w:rsidRDefault="007D2549">
      <w:pPr>
        <w:pStyle w:val="EndnoteText"/>
        <w:rPr>
          <w:sz w:val="22"/>
          <w:szCs w:val="22"/>
        </w:rPr>
      </w:pPr>
      <w:r w:rsidRPr="005A11A1">
        <w:rPr>
          <w:rStyle w:val="EndnoteReference"/>
          <w:sz w:val="22"/>
          <w:szCs w:val="22"/>
        </w:rPr>
        <w:endnoteRef/>
      </w:r>
      <w:r w:rsidRPr="005A11A1">
        <w:rPr>
          <w:sz w:val="22"/>
          <w:szCs w:val="22"/>
        </w:rPr>
        <w:t xml:space="preserve"> </w:t>
      </w:r>
      <w:r w:rsidRPr="005A11A1">
        <w:rPr>
          <w:i/>
          <w:iCs/>
          <w:sz w:val="22"/>
          <w:szCs w:val="22"/>
        </w:rPr>
        <w:t>Syndicat Northcrest v. Amselem</w:t>
      </w:r>
      <w:r w:rsidRPr="005A11A1">
        <w:rPr>
          <w:sz w:val="22"/>
          <w:szCs w:val="22"/>
        </w:rPr>
        <w:t>, [2004] 2 SCR 551, para. 40.</w:t>
      </w:r>
    </w:p>
  </w:endnote>
  <w:endnote w:id="3">
    <w:p w14:paraId="3B0F6A13" w14:textId="54697039" w:rsidR="007D2549" w:rsidRPr="005A11A1" w:rsidRDefault="007D2549">
      <w:pPr>
        <w:pStyle w:val="EndnoteText"/>
        <w:rPr>
          <w:sz w:val="22"/>
          <w:szCs w:val="22"/>
        </w:rPr>
      </w:pPr>
      <w:r w:rsidRPr="005A11A1">
        <w:rPr>
          <w:rStyle w:val="EndnoteReference"/>
          <w:sz w:val="22"/>
          <w:szCs w:val="22"/>
        </w:rPr>
        <w:endnoteRef/>
      </w:r>
      <w:r w:rsidRPr="005A11A1">
        <w:rPr>
          <w:sz w:val="22"/>
          <w:szCs w:val="22"/>
        </w:rPr>
        <w:t xml:space="preserve"> See, for example, “Eritrea: freedom of religion or belief,” Joint Stakeholder Submission to the UPR 46</w:t>
      </w:r>
      <w:r w:rsidRPr="005A11A1">
        <w:rPr>
          <w:sz w:val="22"/>
          <w:szCs w:val="22"/>
          <w:vertAlign w:val="superscript"/>
        </w:rPr>
        <w:t>th</w:t>
      </w:r>
      <w:r w:rsidRPr="005A11A1">
        <w:rPr>
          <w:sz w:val="22"/>
          <w:szCs w:val="22"/>
        </w:rPr>
        <w:t xml:space="preserve"> Session. Online: </w:t>
      </w:r>
      <w:hyperlink r:id="rId2" w:history="1">
        <w:r w:rsidRPr="005A11A1">
          <w:rPr>
            <w:rStyle w:val="Hyperlink"/>
            <w:sz w:val="22"/>
            <w:szCs w:val="22"/>
          </w:rPr>
          <w:t>https://un.worldea.org/eritrea-freedom-of-religion-or-belief-joint-report-to-the-upr-46th-session/</w:t>
        </w:r>
      </w:hyperlink>
      <w:r w:rsidRPr="005A11A1">
        <w:rPr>
          <w:sz w:val="22"/>
          <w:szCs w:val="22"/>
        </w:rPr>
        <w:t>. Many countries have similar laws – from Austria to Saudi Arabia.</w:t>
      </w:r>
    </w:p>
  </w:endnote>
  <w:endnote w:id="4">
    <w:p w14:paraId="76524F51" w14:textId="77777777" w:rsidR="0037722B" w:rsidRPr="005A11A1" w:rsidRDefault="0037722B" w:rsidP="0037722B">
      <w:pPr>
        <w:pStyle w:val="EndnoteText"/>
        <w:rPr>
          <w:sz w:val="22"/>
          <w:szCs w:val="22"/>
        </w:rPr>
      </w:pPr>
      <w:r w:rsidRPr="005A11A1">
        <w:rPr>
          <w:rStyle w:val="EndnoteReference"/>
          <w:sz w:val="22"/>
          <w:szCs w:val="22"/>
        </w:rPr>
        <w:endnoteRef/>
      </w:r>
      <w:r w:rsidRPr="005A11A1">
        <w:rPr>
          <w:sz w:val="22"/>
          <w:szCs w:val="22"/>
        </w:rPr>
        <w:t xml:space="preserve"> UN Human Rights Committee (HRC), </w:t>
      </w:r>
      <w:r w:rsidRPr="005A11A1">
        <w:rPr>
          <w:i/>
          <w:iCs/>
          <w:sz w:val="22"/>
          <w:szCs w:val="22"/>
        </w:rPr>
        <w:t>CCPR General Comment No. 22: Article 18 (Freedom of Thought, Conscience or Religion)</w:t>
      </w:r>
      <w:r w:rsidRPr="005A11A1">
        <w:rPr>
          <w:sz w:val="22"/>
          <w:szCs w:val="22"/>
        </w:rPr>
        <w:t xml:space="preserve">, CCPR/C/21/Rev.1/Add.4, 30 July 1993. Online: </w:t>
      </w:r>
      <w:hyperlink r:id="rId3" w:history="1">
        <w:r w:rsidRPr="005A11A1">
          <w:rPr>
            <w:rStyle w:val="Hyperlink"/>
            <w:sz w:val="22"/>
            <w:szCs w:val="22"/>
          </w:rPr>
          <w:t>https://www.refworld.org/legal/general/hrc/1993/13375</w:t>
        </w:r>
      </w:hyperlink>
      <w:r w:rsidRPr="005A11A1">
        <w:rPr>
          <w:sz w:val="22"/>
          <w:szCs w:val="22"/>
        </w:rPr>
        <w:t xml:space="preserve">. </w:t>
      </w:r>
    </w:p>
  </w:endnote>
  <w:endnote w:id="5">
    <w:p w14:paraId="2E82E297" w14:textId="77777777" w:rsidR="00FF232D" w:rsidRPr="005A11A1" w:rsidRDefault="00FF232D" w:rsidP="00FF232D">
      <w:pPr>
        <w:pStyle w:val="EndnoteText"/>
        <w:rPr>
          <w:sz w:val="22"/>
          <w:szCs w:val="22"/>
        </w:rPr>
      </w:pPr>
      <w:r w:rsidRPr="005A11A1">
        <w:rPr>
          <w:rStyle w:val="EndnoteReference"/>
          <w:sz w:val="22"/>
          <w:szCs w:val="22"/>
        </w:rPr>
        <w:endnoteRef/>
      </w:r>
      <w:r w:rsidRPr="005A11A1">
        <w:rPr>
          <w:sz w:val="22"/>
          <w:szCs w:val="22"/>
        </w:rPr>
        <w:t xml:space="preserve"> UN General Assembly resolution 36/55, 25 November 1981. Online: </w:t>
      </w:r>
      <w:hyperlink r:id="rId4" w:history="1">
        <w:r w:rsidRPr="005A11A1">
          <w:rPr>
            <w:rStyle w:val="Hyperlink"/>
            <w:sz w:val="22"/>
            <w:szCs w:val="22"/>
          </w:rPr>
          <w:t>https://www.ohchr.org/en/instruments-mechanisms/instruments/declaration-elimination-all-forms-intolerance-and-discrimination</w:t>
        </w:r>
      </w:hyperlink>
      <w:r w:rsidRPr="005A11A1">
        <w:rPr>
          <w:sz w:val="22"/>
          <w:szCs w:val="22"/>
        </w:rPr>
        <w:t xml:space="preserve">. </w:t>
      </w:r>
    </w:p>
  </w:endnote>
  <w:endnote w:id="6">
    <w:p w14:paraId="38DED3B3" w14:textId="5251B9A0" w:rsidR="00FD33EA" w:rsidRPr="005A11A1" w:rsidRDefault="00FD33EA">
      <w:pPr>
        <w:pStyle w:val="EndnoteText"/>
        <w:rPr>
          <w:sz w:val="22"/>
          <w:szCs w:val="22"/>
        </w:rPr>
      </w:pPr>
      <w:r w:rsidRPr="005A11A1">
        <w:rPr>
          <w:rStyle w:val="EndnoteReference"/>
          <w:sz w:val="22"/>
          <w:szCs w:val="22"/>
        </w:rPr>
        <w:endnoteRef/>
      </w:r>
      <w:r w:rsidRPr="005A11A1">
        <w:rPr>
          <w:sz w:val="22"/>
          <w:szCs w:val="22"/>
        </w:rPr>
        <w:t xml:space="preserve"> Special Rapporteur on freedom of religion or belief, “Input from the mandate.”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BDEFC" w14:textId="77777777" w:rsidR="0058521F" w:rsidRDefault="0058521F" w:rsidP="005143AF">
      <w:pPr>
        <w:spacing w:after="0" w:line="240" w:lineRule="auto"/>
      </w:pPr>
      <w:r>
        <w:separator/>
      </w:r>
    </w:p>
  </w:footnote>
  <w:footnote w:type="continuationSeparator" w:id="0">
    <w:p w14:paraId="57141FBE" w14:textId="77777777" w:rsidR="0058521F" w:rsidRDefault="0058521F" w:rsidP="005143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284060"/>
      <w:docPartObj>
        <w:docPartGallery w:val="Page Numbers (Top of Page)"/>
        <w:docPartUnique/>
      </w:docPartObj>
    </w:sdtPr>
    <w:sdtEndPr>
      <w:rPr>
        <w:noProof/>
      </w:rPr>
    </w:sdtEndPr>
    <w:sdtContent>
      <w:p w14:paraId="4570D179" w14:textId="4AB58CA1" w:rsidR="006551E7" w:rsidRDefault="006551E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E49640D" w14:textId="77777777" w:rsidR="006551E7" w:rsidRDefault="006551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379CF"/>
    <w:multiLevelType w:val="hybridMultilevel"/>
    <w:tmpl w:val="B32ADA80"/>
    <w:lvl w:ilvl="0" w:tplc="FFFFFFFF">
      <w:start w:val="1"/>
      <w:numFmt w:val="decimal"/>
      <w:lvlText w:val="%1."/>
      <w:lvlJc w:val="left"/>
      <w:pPr>
        <w:ind w:left="360" w:hanging="360"/>
      </w:pPr>
    </w:lvl>
    <w:lvl w:ilvl="1" w:tplc="10090017">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4CD3F2B"/>
    <w:multiLevelType w:val="hybridMultilevel"/>
    <w:tmpl w:val="2674A0A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B594A35"/>
    <w:multiLevelType w:val="hybridMultilevel"/>
    <w:tmpl w:val="3DA8D3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3A62071"/>
    <w:multiLevelType w:val="hybridMultilevel"/>
    <w:tmpl w:val="D7767B4E"/>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50D374C4"/>
    <w:multiLevelType w:val="hybridMultilevel"/>
    <w:tmpl w:val="83F25E6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59D1CE4"/>
    <w:multiLevelType w:val="hybridMultilevel"/>
    <w:tmpl w:val="15943A1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443160484">
    <w:abstractNumId w:val="3"/>
  </w:num>
  <w:num w:numId="2" w16cid:durableId="427778299">
    <w:abstractNumId w:val="4"/>
  </w:num>
  <w:num w:numId="3" w16cid:durableId="792334026">
    <w:abstractNumId w:val="2"/>
  </w:num>
  <w:num w:numId="4" w16cid:durableId="1206020665">
    <w:abstractNumId w:val="0"/>
  </w:num>
  <w:num w:numId="5" w16cid:durableId="1313172389">
    <w:abstractNumId w:val="5"/>
  </w:num>
  <w:num w:numId="6" w16cid:durableId="242572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11A"/>
    <w:rsid w:val="00026A47"/>
    <w:rsid w:val="00055169"/>
    <w:rsid w:val="00135798"/>
    <w:rsid w:val="001B5737"/>
    <w:rsid w:val="001E791C"/>
    <w:rsid w:val="002177D1"/>
    <w:rsid w:val="002473C9"/>
    <w:rsid w:val="00281A0A"/>
    <w:rsid w:val="002C433E"/>
    <w:rsid w:val="0037722B"/>
    <w:rsid w:val="003A1173"/>
    <w:rsid w:val="003A46B4"/>
    <w:rsid w:val="004177D5"/>
    <w:rsid w:val="00420AD0"/>
    <w:rsid w:val="004805CD"/>
    <w:rsid w:val="004A4683"/>
    <w:rsid w:val="004B0108"/>
    <w:rsid w:val="004C0870"/>
    <w:rsid w:val="005143AF"/>
    <w:rsid w:val="005464D7"/>
    <w:rsid w:val="00554A3C"/>
    <w:rsid w:val="0058521F"/>
    <w:rsid w:val="005A11A1"/>
    <w:rsid w:val="005C56CE"/>
    <w:rsid w:val="005C7B25"/>
    <w:rsid w:val="005E6DA8"/>
    <w:rsid w:val="00626270"/>
    <w:rsid w:val="006331AC"/>
    <w:rsid w:val="006551E7"/>
    <w:rsid w:val="00794CA1"/>
    <w:rsid w:val="007D2549"/>
    <w:rsid w:val="007D38FC"/>
    <w:rsid w:val="007E5BAB"/>
    <w:rsid w:val="0082611A"/>
    <w:rsid w:val="008E5E02"/>
    <w:rsid w:val="00913EE0"/>
    <w:rsid w:val="00982D85"/>
    <w:rsid w:val="009A0DA0"/>
    <w:rsid w:val="009B42D3"/>
    <w:rsid w:val="009C7DC1"/>
    <w:rsid w:val="00A43B83"/>
    <w:rsid w:val="00AB6620"/>
    <w:rsid w:val="00B25350"/>
    <w:rsid w:val="00B742A1"/>
    <w:rsid w:val="00B87B46"/>
    <w:rsid w:val="00B94C4D"/>
    <w:rsid w:val="00BB25D6"/>
    <w:rsid w:val="00C30E92"/>
    <w:rsid w:val="00CD0BDC"/>
    <w:rsid w:val="00D138A1"/>
    <w:rsid w:val="00D35E47"/>
    <w:rsid w:val="00D50958"/>
    <w:rsid w:val="00D87FDE"/>
    <w:rsid w:val="00DB1EE7"/>
    <w:rsid w:val="00DF0A18"/>
    <w:rsid w:val="00E16676"/>
    <w:rsid w:val="00E37B71"/>
    <w:rsid w:val="00E759D3"/>
    <w:rsid w:val="00F539A8"/>
    <w:rsid w:val="00FB298A"/>
    <w:rsid w:val="00FD33EA"/>
    <w:rsid w:val="00FF232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E2FA6"/>
  <w15:chartTrackingRefBased/>
  <w15:docId w15:val="{4B1B9693-1A15-4DD9-9E33-58FFE8CB0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61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61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61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61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61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61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1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1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1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1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61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61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61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61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61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1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1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11A"/>
    <w:rPr>
      <w:rFonts w:eastAsiaTheme="majorEastAsia" w:cstheme="majorBidi"/>
      <w:color w:val="272727" w:themeColor="text1" w:themeTint="D8"/>
    </w:rPr>
  </w:style>
  <w:style w:type="paragraph" w:styleId="Title">
    <w:name w:val="Title"/>
    <w:basedOn w:val="Normal"/>
    <w:next w:val="Normal"/>
    <w:link w:val="TitleChar"/>
    <w:uiPriority w:val="10"/>
    <w:qFormat/>
    <w:rsid w:val="008261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1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1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1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11A"/>
    <w:pPr>
      <w:spacing w:before="160"/>
      <w:jc w:val="center"/>
    </w:pPr>
    <w:rPr>
      <w:i/>
      <w:iCs/>
      <w:color w:val="404040" w:themeColor="text1" w:themeTint="BF"/>
    </w:rPr>
  </w:style>
  <w:style w:type="character" w:customStyle="1" w:styleId="QuoteChar">
    <w:name w:val="Quote Char"/>
    <w:basedOn w:val="DefaultParagraphFont"/>
    <w:link w:val="Quote"/>
    <w:uiPriority w:val="29"/>
    <w:rsid w:val="0082611A"/>
    <w:rPr>
      <w:i/>
      <w:iCs/>
      <w:color w:val="404040" w:themeColor="text1" w:themeTint="BF"/>
    </w:rPr>
  </w:style>
  <w:style w:type="paragraph" w:styleId="ListParagraph">
    <w:name w:val="List Paragraph"/>
    <w:basedOn w:val="Normal"/>
    <w:uiPriority w:val="34"/>
    <w:qFormat/>
    <w:rsid w:val="0082611A"/>
    <w:pPr>
      <w:ind w:left="720"/>
      <w:contextualSpacing/>
    </w:pPr>
  </w:style>
  <w:style w:type="character" w:styleId="IntenseEmphasis">
    <w:name w:val="Intense Emphasis"/>
    <w:basedOn w:val="DefaultParagraphFont"/>
    <w:uiPriority w:val="21"/>
    <w:qFormat/>
    <w:rsid w:val="0082611A"/>
    <w:rPr>
      <w:i/>
      <w:iCs/>
      <w:color w:val="0F4761" w:themeColor="accent1" w:themeShade="BF"/>
    </w:rPr>
  </w:style>
  <w:style w:type="paragraph" w:styleId="IntenseQuote">
    <w:name w:val="Intense Quote"/>
    <w:basedOn w:val="Normal"/>
    <w:next w:val="Normal"/>
    <w:link w:val="IntenseQuoteChar"/>
    <w:uiPriority w:val="30"/>
    <w:qFormat/>
    <w:rsid w:val="008261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611A"/>
    <w:rPr>
      <w:i/>
      <w:iCs/>
      <w:color w:val="0F4761" w:themeColor="accent1" w:themeShade="BF"/>
    </w:rPr>
  </w:style>
  <w:style w:type="character" w:styleId="IntenseReference">
    <w:name w:val="Intense Reference"/>
    <w:basedOn w:val="DefaultParagraphFont"/>
    <w:uiPriority w:val="32"/>
    <w:qFormat/>
    <w:rsid w:val="0082611A"/>
    <w:rPr>
      <w:b/>
      <w:bCs/>
      <w:smallCaps/>
      <w:color w:val="0F4761" w:themeColor="accent1" w:themeShade="BF"/>
      <w:spacing w:val="5"/>
    </w:rPr>
  </w:style>
  <w:style w:type="paragraph" w:styleId="EndnoteText">
    <w:name w:val="endnote text"/>
    <w:basedOn w:val="Normal"/>
    <w:link w:val="EndnoteTextChar"/>
    <w:uiPriority w:val="99"/>
    <w:semiHidden/>
    <w:unhideWhenUsed/>
    <w:rsid w:val="005143A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143AF"/>
    <w:rPr>
      <w:sz w:val="20"/>
      <w:szCs w:val="20"/>
    </w:rPr>
  </w:style>
  <w:style w:type="character" w:styleId="EndnoteReference">
    <w:name w:val="endnote reference"/>
    <w:basedOn w:val="DefaultParagraphFont"/>
    <w:uiPriority w:val="99"/>
    <w:semiHidden/>
    <w:unhideWhenUsed/>
    <w:rsid w:val="005143AF"/>
    <w:rPr>
      <w:vertAlign w:val="superscript"/>
    </w:rPr>
  </w:style>
  <w:style w:type="paragraph" w:styleId="Header">
    <w:name w:val="header"/>
    <w:basedOn w:val="Normal"/>
    <w:link w:val="HeaderChar"/>
    <w:uiPriority w:val="99"/>
    <w:unhideWhenUsed/>
    <w:rsid w:val="00655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1E7"/>
  </w:style>
  <w:style w:type="paragraph" w:styleId="Footer">
    <w:name w:val="footer"/>
    <w:basedOn w:val="Normal"/>
    <w:link w:val="FooterChar"/>
    <w:uiPriority w:val="99"/>
    <w:unhideWhenUsed/>
    <w:rsid w:val="00655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1E7"/>
  </w:style>
  <w:style w:type="character" w:styleId="Hyperlink">
    <w:name w:val="Hyperlink"/>
    <w:basedOn w:val="DefaultParagraphFont"/>
    <w:uiPriority w:val="99"/>
    <w:unhideWhenUsed/>
    <w:rsid w:val="001E791C"/>
    <w:rPr>
      <w:color w:val="467886" w:themeColor="hyperlink"/>
      <w:u w:val="single"/>
    </w:rPr>
  </w:style>
  <w:style w:type="character" w:styleId="UnresolvedMention">
    <w:name w:val="Unresolved Mention"/>
    <w:basedOn w:val="DefaultParagraphFont"/>
    <w:uiPriority w:val="99"/>
    <w:semiHidden/>
    <w:unhideWhenUsed/>
    <w:rsid w:val="001E791C"/>
    <w:rPr>
      <w:color w:val="605E5C"/>
      <w:shd w:val="clear" w:color="auto" w:fill="E1DFDD"/>
    </w:rPr>
  </w:style>
  <w:style w:type="paragraph" w:styleId="NormalWeb">
    <w:name w:val="Normal (Web)"/>
    <w:basedOn w:val="Normal"/>
    <w:uiPriority w:val="99"/>
    <w:unhideWhenUsed/>
    <w:rsid w:val="00FB298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Emphasis">
    <w:name w:val="Emphasis"/>
    <w:basedOn w:val="DefaultParagraphFont"/>
    <w:uiPriority w:val="20"/>
    <w:qFormat/>
    <w:rsid w:val="00FF232D"/>
    <w:rPr>
      <w:i/>
      <w:iCs/>
    </w:rPr>
  </w:style>
  <w:style w:type="character" w:styleId="Strong">
    <w:name w:val="Strong"/>
    <w:basedOn w:val="DefaultParagraphFont"/>
    <w:uiPriority w:val="22"/>
    <w:qFormat/>
    <w:rsid w:val="00FF23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www.refworld.org/legal/general/hrc/1993/13375" TargetMode="External"/><Relationship Id="rId2" Type="http://schemas.openxmlformats.org/officeDocument/2006/relationships/hyperlink" Target="https://un.worldea.org/eritrea-freedom-of-religion-or-belief-joint-report-to-the-upr-46th-session/" TargetMode="External"/><Relationship Id="rId1" Type="http://schemas.openxmlformats.org/officeDocument/2006/relationships/hyperlink" Target="https://www.ohchr.org/sites/default/files/documents/hrbodies/ccpr/cfis/gc38-22/subm-general-comment-un-enti-47-un-sr-elief.pdf" TargetMode="External"/><Relationship Id="rId4" Type="http://schemas.openxmlformats.org/officeDocument/2006/relationships/hyperlink" Target="https://www.ohchr.org/en/instruments-mechanisms/instruments/declaration-elimination-all-forms-intolerance-and-discri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World Evangelical Alliance (WEA)</Contributor>
    <Status xmlns="d42e65b2-cf21-49c1-b27d-d23f90380c0e">Ready to publish</Status>
    <AItagger xmlns="d42e65b2-cf21-49c1-b27d-d23f90380c0e">false</AItagg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B0900C-FCCF-4912-B839-5466DEE691E8}">
  <ds:schemaRefs>
    <ds:schemaRef ds:uri="http://schemas.openxmlformats.org/officeDocument/2006/bibliography"/>
  </ds:schemaRefs>
</ds:datastoreItem>
</file>

<file path=customXml/itemProps2.xml><?xml version="1.0" encoding="utf-8"?>
<ds:datastoreItem xmlns:ds="http://schemas.openxmlformats.org/officeDocument/2006/customXml" ds:itemID="{1A7653A7-96C7-4154-9E25-08EA70749339}">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customXml/itemProps3.xml><?xml version="1.0" encoding="utf-8"?>
<ds:datastoreItem xmlns:ds="http://schemas.openxmlformats.org/officeDocument/2006/customXml" ds:itemID="{129009A9-8F93-4D07-B6F6-6DD1C8B4BC24}">
  <ds:schemaRefs>
    <ds:schemaRef ds:uri="http://schemas.microsoft.com/sharepoint/v3/contenttype/forms"/>
  </ds:schemaRefs>
</ds:datastoreItem>
</file>

<file path=customXml/itemProps4.xml><?xml version="1.0" encoding="utf-8"?>
<ds:datastoreItem xmlns:ds="http://schemas.openxmlformats.org/officeDocument/2006/customXml" ds:itemID="{A08BD05F-360F-41E9-AE3A-82C6188CE8C2}"/>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TotalTime>
  <Pages>7</Pages>
  <Words>2242</Words>
  <Characters>12784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Buckingham</dc:creator>
  <cp:keywords/>
  <dc:description/>
  <cp:lastModifiedBy>Janet Buckingham</cp:lastModifiedBy>
  <cp:revision>4</cp:revision>
  <dcterms:created xsi:type="dcterms:W3CDTF">2026-07-13T13:19:00Z</dcterms:created>
  <dcterms:modified xsi:type="dcterms:W3CDTF">2026-07-13T15:25:00Z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