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84081" w14:textId="0D4AEB69" w:rsidR="39770E73" w:rsidRDefault="39770E73" w:rsidP="00687A2B">
      <w:pPr>
        <w:spacing w:after="0" w:line="278" w:lineRule="auto"/>
        <w:jc w:val="both"/>
        <w:rPr>
          <w:rFonts w:ascii="Times New Roman" w:eastAsia="Times New Roman" w:hAnsi="Times New Roman" w:cs="Times New Roman"/>
          <w:b/>
          <w:bCs/>
          <w:color w:val="000000" w:themeColor="text1"/>
        </w:rPr>
      </w:pPr>
    </w:p>
    <w:p w14:paraId="0E2BF7F6" w14:textId="37C7F2E1" w:rsidR="39770E73" w:rsidRDefault="39770E73" w:rsidP="7489F588">
      <w:pPr>
        <w:spacing w:before="240" w:after="240"/>
        <w:jc w:val="both"/>
        <w:rPr>
          <w:rFonts w:ascii="Times New Roman" w:eastAsia="Times New Roman" w:hAnsi="Times New Roman" w:cs="Times New Roman"/>
          <w:b/>
          <w:bCs/>
          <w:color w:val="000000" w:themeColor="text1"/>
        </w:rPr>
      </w:pPr>
    </w:p>
    <w:p w14:paraId="746C5E43" w14:textId="5CB5D0AC" w:rsidR="39770E73" w:rsidRDefault="2A79BF66" w:rsidP="7489F588">
      <w:pPr>
        <w:spacing w:before="240" w:after="240"/>
        <w:jc w:val="center"/>
        <w:rPr>
          <w:rFonts w:ascii="Times New Roman" w:eastAsia="Times New Roman" w:hAnsi="Times New Roman" w:cs="Times New Roman"/>
          <w:b/>
          <w:bCs/>
          <w:color w:val="000000" w:themeColor="text1"/>
          <w:sz w:val="28"/>
          <w:szCs w:val="28"/>
        </w:rPr>
      </w:pPr>
      <w:r>
        <w:rPr>
          <w:noProof/>
        </w:rPr>
        <w:drawing>
          <wp:inline distT="0" distB="0" distL="0" distR="0" wp14:anchorId="7024B53E" wp14:editId="1C43AF9E">
            <wp:extent cx="2752725" cy="1209356"/>
            <wp:effectExtent l="0" t="0" r="0" b="0"/>
            <wp:docPr id="3891137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96000" name="Picture 1064496000"/>
                    <pic:cNvPicPr/>
                  </pic:nvPicPr>
                  <pic:blipFill>
                    <a:blip r:embed="rId7">
                      <a:extLst>
                        <a:ext uri="{28A0092B-C50C-407E-A947-70E740481C1C}">
                          <a14:useLocalDpi xmlns:a14="http://schemas.microsoft.com/office/drawing/2010/main"/>
                        </a:ext>
                      </a:extLst>
                    </a:blip>
                    <a:stretch>
                      <a:fillRect/>
                    </a:stretch>
                  </pic:blipFill>
                  <pic:spPr>
                    <a:xfrm>
                      <a:off x="0" y="0"/>
                      <a:ext cx="2752725" cy="1209356"/>
                    </a:xfrm>
                    <a:prstGeom prst="rect">
                      <a:avLst/>
                    </a:prstGeom>
                  </pic:spPr>
                </pic:pic>
              </a:graphicData>
            </a:graphic>
          </wp:inline>
        </w:drawing>
      </w:r>
    </w:p>
    <w:p w14:paraId="5EE5E9C3" w14:textId="4C8EAD1A" w:rsidR="7489F588" w:rsidRDefault="7489F588" w:rsidP="7489F588">
      <w:pPr>
        <w:jc w:val="center"/>
        <w:rPr>
          <w:rFonts w:ascii="Times New Roman" w:eastAsia="Times New Roman" w:hAnsi="Times New Roman" w:cs="Times New Roman"/>
          <w:b/>
          <w:bCs/>
          <w:color w:val="000000" w:themeColor="text1"/>
          <w:sz w:val="28"/>
          <w:szCs w:val="28"/>
        </w:rPr>
      </w:pPr>
    </w:p>
    <w:p w14:paraId="4E8EDFD2" w14:textId="1CE18457" w:rsidR="7489F588" w:rsidRDefault="7489F588" w:rsidP="7489F588">
      <w:pPr>
        <w:jc w:val="center"/>
        <w:rPr>
          <w:rFonts w:ascii="Times New Roman" w:eastAsia="Times New Roman" w:hAnsi="Times New Roman" w:cs="Times New Roman"/>
          <w:b/>
          <w:bCs/>
          <w:color w:val="000000" w:themeColor="text1"/>
          <w:sz w:val="28"/>
          <w:szCs w:val="28"/>
        </w:rPr>
      </w:pPr>
    </w:p>
    <w:p w14:paraId="0CA1E3E4" w14:textId="237A83E0" w:rsidR="7489F588" w:rsidRDefault="7489F588" w:rsidP="7489F588">
      <w:pPr>
        <w:jc w:val="center"/>
        <w:rPr>
          <w:rFonts w:ascii="Times New Roman" w:eastAsia="Times New Roman" w:hAnsi="Times New Roman" w:cs="Times New Roman"/>
          <w:b/>
          <w:bCs/>
          <w:color w:val="000000" w:themeColor="text1"/>
          <w:sz w:val="28"/>
          <w:szCs w:val="28"/>
        </w:rPr>
      </w:pPr>
    </w:p>
    <w:p w14:paraId="5B37299C" w14:textId="6C3BC403" w:rsidR="7489F588" w:rsidRDefault="7489F588" w:rsidP="7489F588">
      <w:pPr>
        <w:jc w:val="center"/>
        <w:rPr>
          <w:rFonts w:ascii="Times New Roman" w:eastAsia="Times New Roman" w:hAnsi="Times New Roman" w:cs="Times New Roman"/>
          <w:b/>
          <w:bCs/>
          <w:color w:val="000000" w:themeColor="text1"/>
          <w:sz w:val="28"/>
          <w:szCs w:val="28"/>
        </w:rPr>
      </w:pPr>
    </w:p>
    <w:p w14:paraId="69869978" w14:textId="77777777" w:rsidR="001E74BC" w:rsidRDefault="001E74BC" w:rsidP="7489F588">
      <w:pPr>
        <w:jc w:val="center"/>
        <w:rPr>
          <w:rFonts w:ascii="Times New Roman" w:eastAsia="Times New Roman" w:hAnsi="Times New Roman" w:cs="Times New Roman"/>
          <w:b/>
          <w:bCs/>
          <w:color w:val="000000" w:themeColor="text1"/>
          <w:sz w:val="32"/>
          <w:szCs w:val="32"/>
        </w:rPr>
      </w:pPr>
    </w:p>
    <w:p w14:paraId="795F68DA" w14:textId="62EA340E" w:rsidR="00400D2B" w:rsidRPr="00A50906" w:rsidRDefault="001E74BC" w:rsidP="00A50906">
      <w:pPr>
        <w:jc w:val="center"/>
      </w:pPr>
      <w:r>
        <w:rPr>
          <w:rFonts w:ascii="Times New Roman" w:eastAsia="Times New Roman" w:hAnsi="Times New Roman" w:cs="Times New Roman"/>
          <w:b/>
          <w:bCs/>
          <w:color w:val="000000" w:themeColor="text1"/>
          <w:sz w:val="32"/>
          <w:szCs w:val="32"/>
        </w:rPr>
        <w:t>Commentaires sur le projet d’Observation générale N°38 sur l’article 22 du Pacte International relatif aux droits civils et politiques – Droit à la liberté d’associatio</w:t>
      </w:r>
      <w:r w:rsidR="00A50906">
        <w:rPr>
          <w:rFonts w:ascii="Times New Roman" w:eastAsia="Times New Roman" w:hAnsi="Times New Roman" w:cs="Times New Roman"/>
          <w:b/>
          <w:bCs/>
          <w:color w:val="000000" w:themeColor="text1"/>
          <w:sz w:val="32"/>
          <w:szCs w:val="32"/>
        </w:rPr>
        <w:t>n</w:t>
      </w:r>
    </w:p>
    <w:p w14:paraId="125C091F" w14:textId="77777777" w:rsidR="00400D2B" w:rsidRPr="00A50906" w:rsidRDefault="00400D2B" w:rsidP="4992206A">
      <w:pPr>
        <w:spacing w:before="240" w:after="240"/>
        <w:jc w:val="both"/>
      </w:pPr>
    </w:p>
    <w:p w14:paraId="166E58D8" w14:textId="77777777" w:rsidR="00400D2B" w:rsidRPr="00A50906" w:rsidRDefault="00400D2B" w:rsidP="4992206A">
      <w:pPr>
        <w:spacing w:before="240" w:after="240"/>
        <w:jc w:val="both"/>
      </w:pPr>
    </w:p>
    <w:p w14:paraId="14AB95AA" w14:textId="77777777" w:rsidR="00400D2B" w:rsidRPr="00A50906" w:rsidRDefault="00400D2B" w:rsidP="4992206A">
      <w:pPr>
        <w:spacing w:before="240" w:after="240"/>
        <w:jc w:val="both"/>
      </w:pPr>
    </w:p>
    <w:p w14:paraId="5A19B908" w14:textId="77777777" w:rsidR="001E74BC" w:rsidRPr="00A50906" w:rsidRDefault="001E74BC" w:rsidP="4992206A">
      <w:pPr>
        <w:spacing w:before="240" w:after="240"/>
        <w:jc w:val="both"/>
      </w:pPr>
    </w:p>
    <w:p w14:paraId="03153CAC" w14:textId="2C1A5CA8" w:rsidR="001E74BC" w:rsidRDefault="110CECBC" w:rsidP="001E74BC">
      <w:pPr>
        <w:spacing w:before="240" w:after="240"/>
        <w:jc w:val="center"/>
        <w:rPr>
          <w:rFonts w:ascii="Times New Roman" w:eastAsia="Times New Roman" w:hAnsi="Times New Roman" w:cs="Times New Roman"/>
          <w:b/>
          <w:bCs/>
          <w:color w:val="000000" w:themeColor="text1"/>
          <w:sz w:val="28"/>
          <w:szCs w:val="28"/>
        </w:rPr>
      </w:pPr>
      <w:r w:rsidRPr="7489F588">
        <w:rPr>
          <w:rFonts w:ascii="Times New Roman" w:eastAsia="Times New Roman" w:hAnsi="Times New Roman" w:cs="Times New Roman"/>
          <w:b/>
          <w:bCs/>
          <w:color w:val="000000" w:themeColor="text1"/>
          <w:sz w:val="28"/>
          <w:szCs w:val="28"/>
        </w:rPr>
        <w:t>Présenté par le Collectif des familles de Disparu(e)s en Algérie (CFDA)</w:t>
      </w:r>
    </w:p>
    <w:p w14:paraId="4CB78A31" w14:textId="383D6519" w:rsidR="001E74BC" w:rsidRDefault="001E74BC">
      <w:pPr>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br w:type="page"/>
      </w:r>
    </w:p>
    <w:p w14:paraId="255C85DB" w14:textId="09BA5766" w:rsidR="00AE00F0" w:rsidRPr="001E74BC" w:rsidRDefault="0B50EB0F" w:rsidP="001E74BC">
      <w:pPr>
        <w:spacing w:before="240" w:after="240"/>
        <w:rPr>
          <w:rFonts w:ascii="Times New Roman" w:eastAsia="Times New Roman" w:hAnsi="Times New Roman" w:cs="Times New Roman"/>
          <w:b/>
          <w:bCs/>
          <w:color w:val="000000" w:themeColor="text1"/>
          <w:sz w:val="28"/>
          <w:szCs w:val="28"/>
        </w:rPr>
      </w:pPr>
      <w:r w:rsidRPr="4992206A">
        <w:rPr>
          <w:rFonts w:ascii="Times New Roman" w:eastAsia="Times New Roman" w:hAnsi="Times New Roman" w:cs="Times New Roman"/>
          <w:b/>
          <w:bCs/>
          <w:color w:val="000000" w:themeColor="text1"/>
        </w:rPr>
        <w:lastRenderedPageBreak/>
        <w:t>INTRODUCTION</w:t>
      </w:r>
    </w:p>
    <w:p w14:paraId="300C2FB1" w14:textId="5FB29FC6" w:rsidR="00AE00F0" w:rsidRPr="004811C7" w:rsidRDefault="0B50EB0F" w:rsidP="004811C7">
      <w:pPr>
        <w:spacing w:after="0"/>
        <w:jc w:val="both"/>
        <w:rPr>
          <w:rFonts w:ascii="Times New Roman" w:eastAsia="Times New Roman" w:hAnsi="Times New Roman" w:cs="Times New Roman"/>
          <w:color w:val="000000" w:themeColor="text1"/>
        </w:rPr>
      </w:pPr>
      <w:r w:rsidRPr="004811C7">
        <w:rPr>
          <w:rFonts w:ascii="Times New Roman" w:eastAsia="Times New Roman" w:hAnsi="Times New Roman" w:cs="Times New Roman"/>
          <w:color w:val="000000" w:themeColor="text1"/>
        </w:rPr>
        <w:t>Le Collectif des Familles de Disparus en Algérie (CFDA) félicite le Comité des droits de l'homme pour son initiative d'élaborer une Observation générale consacrée à l'article 22 du PIDCP, et pour l'opportunité offerte aux organisations de la société civile d'y contribuer.</w:t>
      </w:r>
    </w:p>
    <w:p w14:paraId="5DE4FE12" w14:textId="6E816948" w:rsidR="00AE00F0" w:rsidRDefault="00AE00F0" w:rsidP="4992206A">
      <w:pPr>
        <w:spacing w:after="0"/>
        <w:jc w:val="both"/>
        <w:rPr>
          <w:rFonts w:ascii="Times New Roman" w:eastAsia="Times New Roman" w:hAnsi="Times New Roman" w:cs="Times New Roman"/>
          <w:color w:val="000000" w:themeColor="text1"/>
        </w:rPr>
      </w:pPr>
    </w:p>
    <w:p w14:paraId="1CA3AF80" w14:textId="399A0CDF" w:rsidR="00AE00F0" w:rsidRPr="004811C7" w:rsidRDefault="5F52D397" w:rsidP="004811C7">
      <w:pPr>
        <w:spacing w:after="0"/>
        <w:jc w:val="both"/>
        <w:rPr>
          <w:rFonts w:ascii="Times New Roman" w:eastAsia="Times New Roman" w:hAnsi="Times New Roman" w:cs="Times New Roman"/>
          <w:color w:val="000000" w:themeColor="text1"/>
        </w:rPr>
      </w:pPr>
      <w:r w:rsidRPr="1622F273">
        <w:rPr>
          <w:rFonts w:ascii="Times New Roman" w:eastAsia="Times New Roman" w:hAnsi="Times New Roman" w:cs="Times New Roman"/>
          <w:color w:val="000000" w:themeColor="text1"/>
        </w:rPr>
        <w:t>Le CFDA est une association de droit français fondée en mai 1998 à Paris par des mères de victimes de disparitions forcées commises en Algérie pendant la décennie de violence des années 1990</w:t>
      </w:r>
      <w:r w:rsidR="0F3DB821" w:rsidRPr="1622F273">
        <w:rPr>
          <w:rFonts w:ascii="Times New Roman" w:eastAsia="Times New Roman" w:hAnsi="Times New Roman" w:cs="Times New Roman"/>
          <w:color w:val="000000" w:themeColor="text1"/>
        </w:rPr>
        <w:t xml:space="preserve">. </w:t>
      </w:r>
      <w:r w:rsidRPr="1622F273">
        <w:rPr>
          <w:rFonts w:ascii="Times New Roman" w:eastAsia="Times New Roman" w:hAnsi="Times New Roman" w:cs="Times New Roman"/>
          <w:color w:val="000000" w:themeColor="text1"/>
        </w:rPr>
        <w:t xml:space="preserve">Ses missions sont la vérité, la justice, la mémoire et la lutte contre l'impunité pour les 8 000 à 20 000 familles de disparus toujours privées de réponse. Le CFDA présent </w:t>
      </w:r>
      <w:r w:rsidR="0C7ACC35" w:rsidRPr="1622F273">
        <w:rPr>
          <w:rFonts w:ascii="Times New Roman" w:eastAsia="Times New Roman" w:hAnsi="Times New Roman" w:cs="Times New Roman"/>
          <w:color w:val="000000" w:themeColor="text1"/>
        </w:rPr>
        <w:t>en France</w:t>
      </w:r>
      <w:r w:rsidRPr="1622F273">
        <w:rPr>
          <w:rFonts w:ascii="Times New Roman" w:eastAsia="Times New Roman" w:hAnsi="Times New Roman" w:cs="Times New Roman"/>
          <w:color w:val="000000" w:themeColor="text1"/>
        </w:rPr>
        <w:t xml:space="preserve"> mais aussi </w:t>
      </w:r>
      <w:r w:rsidR="0C7ACC35" w:rsidRPr="1622F273">
        <w:rPr>
          <w:rFonts w:ascii="Times New Roman" w:eastAsia="Times New Roman" w:hAnsi="Times New Roman" w:cs="Times New Roman"/>
          <w:color w:val="000000" w:themeColor="text1"/>
        </w:rPr>
        <w:t>en Algérie</w:t>
      </w:r>
      <w:r w:rsidR="1F58076B" w:rsidRPr="1622F273">
        <w:rPr>
          <w:rFonts w:ascii="Times New Roman" w:eastAsia="Times New Roman" w:hAnsi="Times New Roman" w:cs="Times New Roman"/>
          <w:color w:val="000000" w:themeColor="text1"/>
        </w:rPr>
        <w:t xml:space="preserve"> à Alger et Oran</w:t>
      </w:r>
      <w:r w:rsidRPr="1622F273">
        <w:rPr>
          <w:rFonts w:ascii="Times New Roman" w:eastAsia="Times New Roman" w:hAnsi="Times New Roman" w:cs="Times New Roman"/>
          <w:color w:val="000000" w:themeColor="text1"/>
        </w:rPr>
        <w:t>, milite pour la mise en place d’un système d’établissement de la Vérité au cas par cas, afin de lutter contre l’impunité dont jouissent les auteurs de disparitions forcées, permettre l’accès à la justice pour les familles, et répondre au devoir de mémoire. Plus largement, le CFDA œuvre pour un État de droit effectif, respectueux des libertés fondamentales des citoyens et des victimes en Algérie.</w:t>
      </w:r>
    </w:p>
    <w:p w14:paraId="52A9EA96" w14:textId="7D453863" w:rsidR="00AE00F0" w:rsidRDefault="00AE00F0" w:rsidP="4992206A">
      <w:pPr>
        <w:spacing w:after="0"/>
        <w:jc w:val="both"/>
        <w:rPr>
          <w:rFonts w:ascii="Times New Roman" w:eastAsia="Times New Roman" w:hAnsi="Times New Roman" w:cs="Times New Roman"/>
          <w:color w:val="000000" w:themeColor="text1"/>
        </w:rPr>
      </w:pPr>
    </w:p>
    <w:p w14:paraId="1924C7FF" w14:textId="6BE99A84" w:rsidR="00AE00F0" w:rsidRDefault="5F52D397" w:rsidP="001E74BC">
      <w:pPr>
        <w:spacing w:after="0"/>
        <w:jc w:val="both"/>
        <w:rPr>
          <w:rFonts w:ascii="Times New Roman" w:eastAsia="Times New Roman" w:hAnsi="Times New Roman" w:cs="Times New Roman"/>
          <w:color w:val="000000" w:themeColor="text1"/>
        </w:rPr>
      </w:pPr>
      <w:r w:rsidRPr="004811C7">
        <w:rPr>
          <w:rFonts w:ascii="Times New Roman" w:eastAsia="Times New Roman" w:hAnsi="Times New Roman" w:cs="Times New Roman"/>
          <w:color w:val="000000" w:themeColor="text1"/>
        </w:rPr>
        <w:t xml:space="preserve">Le CFDA intervient en tant qu'organisation de la société civile directement et durablement touchée par les restrictions à la liberté d'association en Algérie. Sa contribution a un double objet : témoigner de manière documentée des obstacles concrets auxquels le CFDA et </w:t>
      </w:r>
      <w:r w:rsidR="10E4ABF0" w:rsidRPr="1622F273">
        <w:rPr>
          <w:rFonts w:ascii="Times New Roman" w:eastAsia="Times New Roman" w:hAnsi="Times New Roman" w:cs="Times New Roman"/>
          <w:color w:val="000000" w:themeColor="text1"/>
        </w:rPr>
        <w:t>les associations algériennes</w:t>
      </w:r>
      <w:r w:rsidRPr="1622F273">
        <w:rPr>
          <w:rFonts w:ascii="Times New Roman" w:eastAsia="Times New Roman" w:hAnsi="Times New Roman" w:cs="Times New Roman"/>
          <w:color w:val="000000" w:themeColor="text1"/>
        </w:rPr>
        <w:t xml:space="preserve"> se heurtent ; et formuler des observations sur certains points du projet de Commentaire général. Ces observations s'appuient notamment sur une étude publiée par le CFDA en 2015</w:t>
      </w:r>
      <w:r w:rsidR="62F6641D" w:rsidRPr="1622F273">
        <w:rPr>
          <w:rFonts w:ascii="Times New Roman" w:eastAsia="Times New Roman" w:hAnsi="Times New Roman" w:cs="Times New Roman"/>
          <w:color w:val="000000" w:themeColor="text1"/>
        </w:rPr>
        <w:t>, fondée</w:t>
      </w:r>
      <w:r w:rsidRPr="1622F273">
        <w:rPr>
          <w:rFonts w:ascii="Times New Roman" w:eastAsia="Times New Roman" w:hAnsi="Times New Roman" w:cs="Times New Roman"/>
          <w:color w:val="000000" w:themeColor="text1"/>
        </w:rPr>
        <w:t xml:space="preserve"> sur des rencontres avec plus de 50 associations algériennes dans dix wilayas et avec des bailleurs de fonds internationaux.</w:t>
      </w:r>
      <w:r w:rsidR="0B50EB0F" w:rsidRPr="1622F273">
        <w:rPr>
          <w:rStyle w:val="Appelnotedebasdep"/>
          <w:rFonts w:ascii="Times New Roman" w:eastAsia="Times New Roman" w:hAnsi="Times New Roman" w:cs="Times New Roman"/>
          <w:color w:val="000000" w:themeColor="text1"/>
        </w:rPr>
        <w:footnoteReference w:id="1"/>
      </w:r>
      <w:r w:rsidRPr="1622F273">
        <w:rPr>
          <w:rFonts w:ascii="Times New Roman" w:eastAsia="Times New Roman" w:hAnsi="Times New Roman" w:cs="Times New Roman"/>
          <w:color w:val="000000" w:themeColor="text1"/>
        </w:rPr>
        <w:t xml:space="preserve"> Plus de dix ans après, les constats dressés alors se sont aggravés par de nouvelles formes de répression</w:t>
      </w:r>
      <w:r w:rsidR="02B7A7E7" w:rsidRPr="1622F273">
        <w:rPr>
          <w:rFonts w:ascii="Times New Roman" w:eastAsia="Times New Roman" w:hAnsi="Times New Roman" w:cs="Times New Roman"/>
          <w:color w:val="000000" w:themeColor="text1"/>
        </w:rPr>
        <w:t xml:space="preserve"> que nous nous attachons à documenter. </w:t>
      </w:r>
    </w:p>
    <w:p w14:paraId="69C1CDF8" w14:textId="77777777" w:rsidR="001E74BC" w:rsidRDefault="001E74BC" w:rsidP="001E74BC">
      <w:pPr>
        <w:spacing w:after="0"/>
        <w:jc w:val="both"/>
        <w:rPr>
          <w:rFonts w:ascii="Times New Roman" w:eastAsia="Times New Roman" w:hAnsi="Times New Roman" w:cs="Times New Roman"/>
          <w:color w:val="000000" w:themeColor="text1"/>
        </w:rPr>
      </w:pPr>
    </w:p>
    <w:p w14:paraId="5096E4D9" w14:textId="31A2B4FA" w:rsidR="00AE00F0" w:rsidRPr="00C300DE" w:rsidRDefault="51F2B3FA" w:rsidP="00E12C46">
      <w:pPr>
        <w:spacing w:before="240" w:after="240"/>
        <w:jc w:val="both"/>
        <w:rPr>
          <w:rFonts w:ascii="Times New Roman" w:eastAsia="Times New Roman" w:hAnsi="Times New Roman" w:cs="Times New Roman"/>
          <w:b/>
          <w:bCs/>
          <w:color w:val="000000" w:themeColor="text1"/>
        </w:rPr>
      </w:pPr>
      <w:r w:rsidRPr="4992206A">
        <w:rPr>
          <w:rFonts w:ascii="Times New Roman" w:eastAsia="Times New Roman" w:hAnsi="Times New Roman" w:cs="Times New Roman"/>
          <w:b/>
          <w:bCs/>
          <w:color w:val="000000" w:themeColor="text1"/>
        </w:rPr>
        <w:t xml:space="preserve">I. LA LIBERTÉ D'ASSOCIATION EN ALGÉRIE </w:t>
      </w:r>
    </w:p>
    <w:p w14:paraId="5AA043B1" w14:textId="46AC7498" w:rsidR="001E74BC" w:rsidRDefault="2EA6EB53" w:rsidP="001E74BC">
      <w:pPr>
        <w:spacing w:after="0"/>
        <w:jc w:val="both"/>
        <w:rPr>
          <w:rFonts w:ascii="Times New Roman" w:eastAsia="Times New Roman" w:hAnsi="Times New Roman" w:cs="Times New Roman"/>
          <w:color w:val="000000" w:themeColor="text1"/>
        </w:rPr>
      </w:pPr>
      <w:r w:rsidRPr="004811C7">
        <w:rPr>
          <w:rFonts w:ascii="Times New Roman" w:eastAsia="Times New Roman" w:hAnsi="Times New Roman" w:cs="Times New Roman"/>
          <w:color w:val="000000" w:themeColor="text1"/>
        </w:rPr>
        <w:t xml:space="preserve">Le paragraphe 6 du projet </w:t>
      </w:r>
      <w:r w:rsidR="04E0E63B" w:rsidRPr="004811C7">
        <w:rPr>
          <w:rFonts w:ascii="Times New Roman" w:eastAsia="Times New Roman" w:hAnsi="Times New Roman" w:cs="Times New Roman"/>
          <w:color w:val="000000" w:themeColor="text1"/>
        </w:rPr>
        <w:t xml:space="preserve">d’Observation générale </w:t>
      </w:r>
      <w:r w:rsidRPr="004811C7">
        <w:rPr>
          <w:rFonts w:ascii="Times New Roman" w:eastAsia="Times New Roman" w:hAnsi="Times New Roman" w:cs="Times New Roman"/>
          <w:color w:val="000000" w:themeColor="text1"/>
        </w:rPr>
        <w:t>rappelle que le droit à la liberté d'association est reconnu dans les constitutions nationales de la quasi-totalité des États parties. L'Algérie ne fait pas exception : ce droit a été consacré dans toutes ses constitutions successives depuis l'indépendance, et l'article 53 de la Constitution de 2020 le garantit formellement en ces termes :</w:t>
      </w:r>
      <w:r w:rsidR="001E74BC">
        <w:rPr>
          <w:rFonts w:ascii="Times New Roman" w:eastAsia="Times New Roman" w:hAnsi="Times New Roman" w:cs="Times New Roman"/>
          <w:color w:val="000000" w:themeColor="text1"/>
        </w:rPr>
        <w:t xml:space="preserve"> </w:t>
      </w:r>
      <w:r w:rsidRPr="004811C7">
        <w:rPr>
          <w:rFonts w:ascii="Times New Roman" w:eastAsia="Times New Roman" w:hAnsi="Times New Roman" w:cs="Times New Roman"/>
          <w:color w:val="000000" w:themeColor="text1"/>
        </w:rPr>
        <w:t>« Le droit de créer des associations est garanti. Il s'exerce par simple déclaration. L'État encourage les associations d'utilité publique. [...] Les associations ne peuvent être dissoutes qu'en vertu d'une décision de justice</w:t>
      </w:r>
      <w:proofErr w:type="gramStart"/>
      <w:r w:rsidRPr="1622F273">
        <w:rPr>
          <w:rFonts w:ascii="Times New Roman" w:eastAsia="Times New Roman" w:hAnsi="Times New Roman" w:cs="Times New Roman"/>
          <w:color w:val="000000" w:themeColor="text1"/>
        </w:rPr>
        <w:t>.»</w:t>
      </w:r>
      <w:proofErr w:type="gramEnd"/>
      <w:r w:rsidR="20F29845" w:rsidRPr="1622F273">
        <w:rPr>
          <w:rStyle w:val="Appelnotedebasdep"/>
          <w:rFonts w:ascii="Times New Roman" w:eastAsia="Times New Roman" w:hAnsi="Times New Roman" w:cs="Times New Roman"/>
          <w:color w:val="000000" w:themeColor="text1"/>
        </w:rPr>
        <w:footnoteReference w:id="2"/>
      </w:r>
      <w:r w:rsidRPr="1622F273">
        <w:rPr>
          <w:rFonts w:ascii="Times New Roman" w:eastAsia="Times New Roman" w:hAnsi="Times New Roman" w:cs="Times New Roman"/>
          <w:color w:val="000000" w:themeColor="text1"/>
        </w:rPr>
        <w:t xml:space="preserve"> </w:t>
      </w:r>
    </w:p>
    <w:p w14:paraId="7132D0CA" w14:textId="445060D9" w:rsidR="00AE00F0" w:rsidRPr="004811C7" w:rsidRDefault="2EA6EB53" w:rsidP="001E74BC">
      <w:pPr>
        <w:spacing w:after="0"/>
        <w:jc w:val="both"/>
        <w:rPr>
          <w:rFonts w:ascii="Times New Roman" w:eastAsia="Times New Roman" w:hAnsi="Times New Roman" w:cs="Times New Roman"/>
          <w:color w:val="000000" w:themeColor="text1"/>
        </w:rPr>
      </w:pPr>
      <w:r w:rsidRPr="1622F273">
        <w:rPr>
          <w:rFonts w:ascii="Times New Roman" w:eastAsia="Times New Roman" w:hAnsi="Times New Roman" w:cs="Times New Roman"/>
          <w:color w:val="000000" w:themeColor="text1"/>
        </w:rPr>
        <w:t xml:space="preserve">L'Algérie est par ailleurs partie au PIDCP depuis 1989 et a ratifié la Charte africaine des droits de l'homme et des peuples </w:t>
      </w:r>
      <w:r w:rsidR="54523568" w:rsidRPr="1622F273">
        <w:rPr>
          <w:rFonts w:ascii="Times New Roman" w:eastAsia="Times New Roman" w:hAnsi="Times New Roman" w:cs="Times New Roman"/>
          <w:color w:val="000000" w:themeColor="text1"/>
        </w:rPr>
        <w:t>dont l’article 10 protège également</w:t>
      </w:r>
      <w:r w:rsidR="001E74BC">
        <w:rPr>
          <w:rFonts w:ascii="Times New Roman" w:eastAsia="Times New Roman" w:hAnsi="Times New Roman" w:cs="Times New Roman"/>
          <w:color w:val="000000" w:themeColor="text1"/>
        </w:rPr>
        <w:t xml:space="preserve"> </w:t>
      </w:r>
      <w:r w:rsidR="54523568" w:rsidRPr="1622F273">
        <w:rPr>
          <w:rFonts w:ascii="Times New Roman" w:eastAsia="Times New Roman" w:hAnsi="Times New Roman" w:cs="Times New Roman"/>
          <w:color w:val="000000" w:themeColor="text1"/>
        </w:rPr>
        <w:t xml:space="preserve">ce droit </w:t>
      </w:r>
      <w:r w:rsidRPr="1622F273">
        <w:rPr>
          <w:rFonts w:ascii="Times New Roman" w:eastAsia="Times New Roman" w:hAnsi="Times New Roman" w:cs="Times New Roman"/>
          <w:color w:val="000000" w:themeColor="text1"/>
        </w:rPr>
        <w:t>en</w:t>
      </w:r>
      <w:r w:rsidR="001E74BC">
        <w:rPr>
          <w:rFonts w:ascii="Times New Roman" w:eastAsia="Times New Roman" w:hAnsi="Times New Roman" w:cs="Times New Roman"/>
          <w:color w:val="000000" w:themeColor="text1"/>
        </w:rPr>
        <w:t xml:space="preserve"> </w:t>
      </w:r>
      <w:r w:rsidRPr="1622F273">
        <w:rPr>
          <w:rFonts w:ascii="Times New Roman" w:eastAsia="Times New Roman" w:hAnsi="Times New Roman" w:cs="Times New Roman"/>
          <w:color w:val="000000" w:themeColor="text1"/>
        </w:rPr>
        <w:t>1987</w:t>
      </w:r>
      <w:r w:rsidR="7096BCDB" w:rsidRPr="1622F273">
        <w:rPr>
          <w:rFonts w:ascii="Times New Roman" w:eastAsia="Times New Roman" w:hAnsi="Times New Roman" w:cs="Times New Roman"/>
          <w:color w:val="000000" w:themeColor="text1"/>
        </w:rPr>
        <w:t xml:space="preserve">. </w:t>
      </w:r>
      <w:r w:rsidR="20F29845">
        <w:br/>
      </w:r>
    </w:p>
    <w:p w14:paraId="69AFCB7A" w14:textId="4DD388C6" w:rsidR="00AE00F0" w:rsidRPr="004811C7" w:rsidRDefault="08BADA68" w:rsidP="004811C7">
      <w:pPr>
        <w:spacing w:after="0"/>
        <w:jc w:val="both"/>
        <w:rPr>
          <w:rFonts w:ascii="Times New Roman" w:eastAsia="Times New Roman" w:hAnsi="Times New Roman" w:cs="Times New Roman"/>
          <w:color w:val="000000" w:themeColor="text1"/>
        </w:rPr>
      </w:pPr>
      <w:r w:rsidRPr="004811C7">
        <w:rPr>
          <w:rFonts w:ascii="Times New Roman" w:eastAsia="Times New Roman" w:hAnsi="Times New Roman" w:cs="Times New Roman"/>
          <w:color w:val="000000" w:themeColor="text1"/>
        </w:rPr>
        <w:t xml:space="preserve">Pourtant, cette </w:t>
      </w:r>
      <w:r w:rsidR="0B50EB0F" w:rsidRPr="004811C7">
        <w:rPr>
          <w:rFonts w:ascii="Times New Roman" w:eastAsia="Times New Roman" w:hAnsi="Times New Roman" w:cs="Times New Roman"/>
          <w:color w:val="000000" w:themeColor="text1"/>
        </w:rPr>
        <w:t xml:space="preserve">reconnaissance formelle est rendue illusoire par le cadre législatif qui en encadre l'exercice. La loi n° 12-06 du 12 janvier 2012, présentée comme une réforme libérale mais en </w:t>
      </w:r>
      <w:proofErr w:type="gramStart"/>
      <w:r w:rsidR="0B50EB0F" w:rsidRPr="004811C7">
        <w:rPr>
          <w:rFonts w:ascii="Times New Roman" w:eastAsia="Times New Roman" w:hAnsi="Times New Roman" w:cs="Times New Roman"/>
          <w:color w:val="000000" w:themeColor="text1"/>
        </w:rPr>
        <w:lastRenderedPageBreak/>
        <w:t>réalité</w:t>
      </w:r>
      <w:proofErr w:type="gramEnd"/>
      <w:r w:rsidR="0B50EB0F" w:rsidRPr="004811C7">
        <w:rPr>
          <w:rFonts w:ascii="Times New Roman" w:eastAsia="Times New Roman" w:hAnsi="Times New Roman" w:cs="Times New Roman"/>
          <w:color w:val="000000" w:themeColor="text1"/>
        </w:rPr>
        <w:t xml:space="preserve"> plus restrictive que la loi n° 90-31 qu'elle remplace, soumet la création et le fonctionnement de toute association à un régime d'agrément préalable assorti de pouvoirs discrétionnaires étendus.</w:t>
      </w:r>
      <w:r w:rsidR="00AE00F0" w:rsidRPr="4992206A">
        <w:rPr>
          <w:rStyle w:val="Appelnotedebasdep"/>
          <w:rFonts w:ascii="Times New Roman" w:eastAsia="Times New Roman" w:hAnsi="Times New Roman" w:cs="Times New Roman"/>
          <w:color w:val="000000" w:themeColor="text1"/>
        </w:rPr>
        <w:footnoteReference w:id="3"/>
      </w:r>
      <w:r w:rsidR="0B50EB0F" w:rsidRPr="004811C7">
        <w:rPr>
          <w:rFonts w:ascii="Times New Roman" w:eastAsia="Times New Roman" w:hAnsi="Times New Roman" w:cs="Times New Roman"/>
          <w:color w:val="000000" w:themeColor="text1"/>
        </w:rPr>
        <w:t xml:space="preserve"> Les critères de refus</w:t>
      </w:r>
      <w:r w:rsidR="00E12C46">
        <w:rPr>
          <w:rFonts w:ascii="Times New Roman" w:eastAsia="Times New Roman" w:hAnsi="Times New Roman" w:cs="Times New Roman"/>
          <w:color w:val="000000" w:themeColor="text1"/>
        </w:rPr>
        <w:t xml:space="preserve"> d’agrément</w:t>
      </w:r>
      <w:r w:rsidR="0B50EB0F" w:rsidRPr="004811C7">
        <w:rPr>
          <w:rFonts w:ascii="Times New Roman" w:eastAsia="Times New Roman" w:hAnsi="Times New Roman" w:cs="Times New Roman"/>
          <w:color w:val="000000" w:themeColor="text1"/>
        </w:rPr>
        <w:t xml:space="preserve"> sont définis en termes vagues, notamment l'exigence de conformité aux « constantes et valeurs nationales »</w:t>
      </w:r>
      <w:r w:rsidR="00AE00F0" w:rsidRPr="4992206A">
        <w:rPr>
          <w:rStyle w:val="Appelnotedebasdep"/>
          <w:rFonts w:ascii="Times New Roman" w:eastAsia="Times New Roman" w:hAnsi="Times New Roman" w:cs="Times New Roman"/>
          <w:color w:val="000000" w:themeColor="text1"/>
        </w:rPr>
        <w:footnoteReference w:id="4"/>
      </w:r>
      <w:r w:rsidR="0B50EB0F" w:rsidRPr="004811C7">
        <w:rPr>
          <w:rFonts w:ascii="Times New Roman" w:eastAsia="Times New Roman" w:hAnsi="Times New Roman" w:cs="Times New Roman"/>
          <w:color w:val="000000" w:themeColor="text1"/>
        </w:rPr>
        <w:t>, notion non définie dans aucun texte juridique. Les motifs de dissolution administrative sont larges, les voies de recours sont en pratique inaccessibles. Ainsi</w:t>
      </w:r>
      <w:r w:rsidR="289C1499" w:rsidRPr="004811C7">
        <w:rPr>
          <w:rFonts w:ascii="Times New Roman" w:eastAsia="Times New Roman" w:hAnsi="Times New Roman" w:cs="Times New Roman"/>
          <w:color w:val="000000" w:themeColor="text1"/>
        </w:rPr>
        <w:t>,</w:t>
      </w:r>
      <w:r w:rsidR="0B50EB0F" w:rsidRPr="004811C7">
        <w:rPr>
          <w:rFonts w:ascii="Times New Roman" w:eastAsia="Times New Roman" w:hAnsi="Times New Roman" w:cs="Times New Roman"/>
          <w:color w:val="000000" w:themeColor="text1"/>
        </w:rPr>
        <w:t xml:space="preserve"> </w:t>
      </w:r>
      <w:r w:rsidR="15B14242" w:rsidRPr="004811C7">
        <w:rPr>
          <w:rFonts w:ascii="Times New Roman" w:eastAsia="Times New Roman" w:hAnsi="Times New Roman" w:cs="Times New Roman"/>
          <w:color w:val="000000" w:themeColor="text1"/>
        </w:rPr>
        <w:t>la loi n° 12-06 a érigé en norme ce qui n'était que pratique illégale sous le régime précédent, sans pour autant épuiser le champ de l'arbitraire</w:t>
      </w:r>
      <w:r w:rsidR="00687A2B" w:rsidRPr="004811C7">
        <w:rPr>
          <w:rFonts w:ascii="Times New Roman" w:eastAsia="Times New Roman" w:hAnsi="Times New Roman" w:cs="Times New Roman"/>
          <w:color w:val="000000" w:themeColor="text1"/>
        </w:rPr>
        <w:t>. Ainsi, d</w:t>
      </w:r>
      <w:r w:rsidR="15B14242" w:rsidRPr="004811C7">
        <w:rPr>
          <w:rFonts w:ascii="Times New Roman" w:eastAsia="Times New Roman" w:hAnsi="Times New Roman" w:cs="Times New Roman"/>
          <w:color w:val="000000" w:themeColor="text1"/>
        </w:rPr>
        <w:t>es entraves supplémentaires, dépourvues de toute base légale, continuent d'être imposées aux associations en dehors de tout cadre législatif.</w:t>
      </w:r>
    </w:p>
    <w:p w14:paraId="171090F4" w14:textId="69488809" w:rsidR="00AE00F0" w:rsidRDefault="00AE00F0" w:rsidP="4992206A">
      <w:pPr>
        <w:spacing w:after="0"/>
        <w:jc w:val="both"/>
        <w:rPr>
          <w:rFonts w:ascii="Times New Roman" w:eastAsia="Times New Roman" w:hAnsi="Times New Roman" w:cs="Times New Roman"/>
          <w:color w:val="000000" w:themeColor="text1"/>
        </w:rPr>
      </w:pPr>
    </w:p>
    <w:p w14:paraId="6075A023" w14:textId="693E6E7D" w:rsidR="00AE00F0" w:rsidRPr="004811C7" w:rsidRDefault="0B50EB0F" w:rsidP="004811C7">
      <w:pPr>
        <w:spacing w:after="0"/>
        <w:jc w:val="both"/>
        <w:rPr>
          <w:rFonts w:ascii="Times New Roman" w:eastAsia="Times New Roman" w:hAnsi="Times New Roman" w:cs="Times New Roman"/>
          <w:color w:val="000000" w:themeColor="text1"/>
        </w:rPr>
      </w:pPr>
      <w:r w:rsidRPr="004811C7">
        <w:rPr>
          <w:rFonts w:ascii="Times New Roman" w:eastAsia="Times New Roman" w:hAnsi="Times New Roman" w:cs="Times New Roman"/>
          <w:color w:val="000000" w:themeColor="text1"/>
        </w:rPr>
        <w:t>L'étude du CFDA de 2015 a révélé que dans 90 % des cas, l'administration exigeait un dossier de constitution complet même pour les associations déjà enregistrées devant simplement se mettre en conformité</w:t>
      </w:r>
      <w:r w:rsidR="0027222F" w:rsidRPr="004811C7">
        <w:rPr>
          <w:rFonts w:ascii="Times New Roman" w:eastAsia="Times New Roman" w:hAnsi="Times New Roman" w:cs="Times New Roman"/>
          <w:color w:val="000000" w:themeColor="text1"/>
        </w:rPr>
        <w:t xml:space="preserve"> avec la nouvelle loi</w:t>
      </w:r>
      <w:r w:rsidRPr="004811C7">
        <w:rPr>
          <w:rFonts w:ascii="Times New Roman" w:eastAsia="Times New Roman" w:hAnsi="Times New Roman" w:cs="Times New Roman"/>
          <w:color w:val="000000" w:themeColor="text1"/>
        </w:rPr>
        <w:t xml:space="preserve"> ; que les récépissés de dépôt </w:t>
      </w:r>
      <w:r w:rsidR="00687A2B" w:rsidRPr="004811C7">
        <w:rPr>
          <w:rFonts w:ascii="Times New Roman" w:eastAsia="Times New Roman" w:hAnsi="Times New Roman" w:cs="Times New Roman"/>
          <w:color w:val="000000" w:themeColor="text1"/>
        </w:rPr>
        <w:t xml:space="preserve">de dossier </w:t>
      </w:r>
      <w:r w:rsidRPr="004811C7">
        <w:rPr>
          <w:rFonts w:ascii="Times New Roman" w:eastAsia="Times New Roman" w:hAnsi="Times New Roman" w:cs="Times New Roman"/>
          <w:color w:val="000000" w:themeColor="text1"/>
        </w:rPr>
        <w:t xml:space="preserve">n'étaient quasiment jamais </w:t>
      </w:r>
      <w:r w:rsidR="004811C7" w:rsidRPr="004811C7">
        <w:rPr>
          <w:rFonts w:ascii="Times New Roman" w:eastAsia="Times New Roman" w:hAnsi="Times New Roman" w:cs="Times New Roman"/>
          <w:color w:val="000000" w:themeColor="text1"/>
        </w:rPr>
        <w:t>délivrés</w:t>
      </w:r>
      <w:r w:rsidR="004811C7">
        <w:rPr>
          <w:rFonts w:ascii="Times New Roman" w:eastAsia="Times New Roman" w:hAnsi="Times New Roman" w:cs="Times New Roman"/>
          <w:color w:val="000000" w:themeColor="text1"/>
        </w:rPr>
        <w:t xml:space="preserve">, </w:t>
      </w:r>
      <w:r w:rsidRPr="004811C7">
        <w:rPr>
          <w:rFonts w:ascii="Times New Roman" w:eastAsia="Times New Roman" w:hAnsi="Times New Roman" w:cs="Times New Roman"/>
          <w:color w:val="000000" w:themeColor="text1"/>
        </w:rPr>
        <w:t>et que des enquêtes de police non prévues par la loi étaient menées systématiquement sur les membres fondateurs. L'absence de réforme depuis 2012, malgré les recommandations répétées du Comité</w:t>
      </w:r>
      <w:r w:rsidR="00AE00F0" w:rsidRPr="4992206A">
        <w:rPr>
          <w:rStyle w:val="Appelnotedebasdep"/>
          <w:rFonts w:ascii="Times New Roman" w:eastAsia="Times New Roman" w:hAnsi="Times New Roman" w:cs="Times New Roman"/>
          <w:color w:val="000000" w:themeColor="text1"/>
        </w:rPr>
        <w:footnoteReference w:id="5"/>
      </w:r>
      <w:r w:rsidRPr="004811C7">
        <w:rPr>
          <w:rFonts w:ascii="Times New Roman" w:eastAsia="Times New Roman" w:hAnsi="Times New Roman" w:cs="Times New Roman"/>
          <w:color w:val="000000" w:themeColor="text1"/>
        </w:rPr>
        <w:t>, témoigne d'une politique délibérée de restriction.</w:t>
      </w:r>
    </w:p>
    <w:p w14:paraId="0BA6FDEC" w14:textId="74C8D239" w:rsidR="00AE00F0" w:rsidRDefault="00AE00F0" w:rsidP="4992206A">
      <w:pPr>
        <w:spacing w:after="0"/>
        <w:jc w:val="both"/>
        <w:rPr>
          <w:rFonts w:ascii="Times New Roman" w:eastAsia="Times New Roman" w:hAnsi="Times New Roman" w:cs="Times New Roman"/>
          <w:color w:val="000000" w:themeColor="text1"/>
        </w:rPr>
      </w:pPr>
    </w:p>
    <w:p w14:paraId="6620CA4C" w14:textId="6E298343" w:rsidR="5F52D397" w:rsidRDefault="5F52D397" w:rsidP="1622F273">
      <w:pPr>
        <w:spacing w:after="0"/>
        <w:jc w:val="both"/>
      </w:pPr>
      <w:r w:rsidRPr="1622F273">
        <w:rPr>
          <w:rFonts w:ascii="Times New Roman" w:eastAsia="Times New Roman" w:hAnsi="Times New Roman" w:cs="Times New Roman"/>
          <w:color w:val="000000" w:themeColor="text1"/>
        </w:rPr>
        <w:t xml:space="preserve">En 2023, la Rapporteuse spéciale des Nations unies sur les défenseurs des droits humains, Mary Lawlor, a exprimé ses préoccupations </w:t>
      </w:r>
      <w:r w:rsidR="096D0A66" w:rsidRPr="1622F273">
        <w:rPr>
          <w:rFonts w:ascii="Times New Roman" w:eastAsia="Times New Roman" w:hAnsi="Times New Roman" w:cs="Times New Roman"/>
          <w:color w:val="000000" w:themeColor="text1"/>
        </w:rPr>
        <w:t xml:space="preserve">quant à la loi n°12-06 </w:t>
      </w:r>
      <w:r w:rsidRPr="1622F273">
        <w:rPr>
          <w:rFonts w:ascii="Times New Roman" w:eastAsia="Times New Roman" w:hAnsi="Times New Roman" w:cs="Times New Roman"/>
        </w:rPr>
        <w:t>lors de sa visite en Algérie.</w:t>
      </w:r>
      <w:r w:rsidRPr="1622F273">
        <w:rPr>
          <w:rStyle w:val="Appelnotedebasdep"/>
          <w:rFonts w:ascii="Times New Roman" w:eastAsia="Times New Roman" w:hAnsi="Times New Roman" w:cs="Times New Roman"/>
        </w:rPr>
        <w:footnoteReference w:id="6"/>
      </w:r>
      <w:r w:rsidRPr="1622F273">
        <w:rPr>
          <w:rFonts w:ascii="Times New Roman" w:eastAsia="Times New Roman" w:hAnsi="Times New Roman" w:cs="Times New Roman"/>
        </w:rPr>
        <w:t xml:space="preserve"> </w:t>
      </w:r>
      <w:r w:rsidR="44FB4434" w:rsidRPr="1622F273">
        <w:rPr>
          <w:rFonts w:ascii="Times New Roman" w:eastAsia="Times New Roman" w:hAnsi="Times New Roman" w:cs="Times New Roman"/>
          <w:color w:val="000000" w:themeColor="text1"/>
        </w:rPr>
        <w:t>Elle a notamment relevé que cette loi touche gravement les défenseurs des droits humains en soumettant la création d'associations à une autorisation préalable, en interdisant aux associations d'aller à l'encontre des « valeurs nationales » sans définir ce que recouvre cette notion, et en empêchant les associations algériennes de recevoir des fonds étrangers sans autorisation préalable.</w:t>
      </w:r>
      <w:r w:rsidR="6FE6A283" w:rsidRPr="1622F273">
        <w:rPr>
          <w:rFonts w:ascii="Times New Roman" w:eastAsia="Times New Roman" w:hAnsi="Times New Roman" w:cs="Times New Roman"/>
          <w:color w:val="000000" w:themeColor="text1"/>
        </w:rPr>
        <w:t xml:space="preserve"> Lors de son entretien avec le ministre de l'Intérieur, celui-ci lui avait annoncé qu'une révision de la loi était en cours pour permettre la création d'associations par simple déclaration plutôt que par autorisation préalable, promesse formellement conforme à l'article 53 de la Constitution.</w:t>
      </w:r>
      <w:r w:rsidR="74A79AC6" w:rsidRPr="1622F273">
        <w:rPr>
          <w:rFonts w:ascii="Times New Roman" w:eastAsia="Times New Roman" w:hAnsi="Times New Roman" w:cs="Times New Roman"/>
          <w:color w:val="000000" w:themeColor="text1"/>
        </w:rPr>
        <w:t xml:space="preserve"> </w:t>
      </w:r>
    </w:p>
    <w:p w14:paraId="5310A780" w14:textId="2CB864B9" w:rsidR="1622F273" w:rsidRDefault="1622F273" w:rsidP="1622F273">
      <w:pPr>
        <w:spacing w:after="0"/>
        <w:jc w:val="both"/>
        <w:rPr>
          <w:rFonts w:ascii="Times New Roman" w:eastAsia="Times New Roman" w:hAnsi="Times New Roman" w:cs="Times New Roman"/>
          <w:color w:val="000000" w:themeColor="text1"/>
        </w:rPr>
      </w:pPr>
    </w:p>
    <w:p w14:paraId="75E32302" w14:textId="4DDBD9D9" w:rsidR="7B1959B8" w:rsidRDefault="7B1959B8" w:rsidP="1622F273">
      <w:pPr>
        <w:spacing w:after="0"/>
        <w:jc w:val="both"/>
      </w:pPr>
      <w:r w:rsidRPr="1622F273">
        <w:rPr>
          <w:rFonts w:ascii="Times New Roman" w:eastAsia="Times New Roman" w:hAnsi="Times New Roman" w:cs="Times New Roman"/>
          <w:color w:val="000000" w:themeColor="text1"/>
        </w:rPr>
        <w:t>L</w:t>
      </w:r>
      <w:r w:rsidR="2C269499" w:rsidRPr="1622F273">
        <w:rPr>
          <w:rFonts w:ascii="Times New Roman" w:eastAsia="Times New Roman" w:hAnsi="Times New Roman" w:cs="Times New Roman"/>
          <w:color w:val="000000" w:themeColor="text1"/>
        </w:rPr>
        <w:t>’avant-</w:t>
      </w:r>
      <w:r w:rsidRPr="1622F273">
        <w:rPr>
          <w:rFonts w:ascii="Times New Roman" w:eastAsia="Times New Roman" w:hAnsi="Times New Roman" w:cs="Times New Roman"/>
          <w:color w:val="000000" w:themeColor="text1"/>
        </w:rPr>
        <w:t>projet de loi organique destiné à remplacer la loi n° 12-06, examiné en Conseil des ministres dès juin 2022, ne tient cependant pas ces engagements.</w:t>
      </w:r>
      <w:r w:rsidRPr="1622F273">
        <w:rPr>
          <w:rFonts w:ascii="Times New Roman" w:eastAsia="Times New Roman" w:hAnsi="Times New Roman" w:cs="Times New Roman"/>
          <w:color w:val="000000" w:themeColor="text1"/>
        </w:rPr>
        <w:footnoteReference w:id="7"/>
      </w:r>
      <w:r w:rsidRPr="1622F273">
        <w:rPr>
          <w:rFonts w:ascii="Times New Roman" w:eastAsia="Times New Roman" w:hAnsi="Times New Roman" w:cs="Times New Roman"/>
          <w:color w:val="000000" w:themeColor="text1"/>
        </w:rPr>
        <w:t xml:space="preserve"> Le texte ne constitue pas une rupture suffisante avec le régime d'autorisation actuellement en vigueur. Il soumet l'activité des associations au respect d'une liste de principes particulièrement larges ; « constantes nationales », « fondamentaux de l'identité nationale », « symboles de l'État » conférant aux autorités un pouvoir discrétionnaire excessif susceptible de viser en priorité les associations de défense des droits humains et celles travaillant avec des minorités. Le récépissé d'enregistrement demeure une condition d'exercice de l'activité, et le projet ne prévoit aucune sanction pour le refus de le délivrer. Les financements étrangers restent</w:t>
      </w:r>
      <w:r w:rsidR="7F1F7661" w:rsidRPr="1622F273">
        <w:rPr>
          <w:rFonts w:ascii="Times New Roman" w:eastAsia="Times New Roman" w:hAnsi="Times New Roman" w:cs="Times New Roman"/>
          <w:color w:val="000000" w:themeColor="text1"/>
        </w:rPr>
        <w:t xml:space="preserve"> quant</w:t>
      </w:r>
      <w:r w:rsidR="40DD1F0C" w:rsidRPr="1622F273">
        <w:rPr>
          <w:rFonts w:ascii="Times New Roman" w:eastAsia="Times New Roman" w:hAnsi="Times New Roman" w:cs="Times New Roman"/>
          <w:color w:val="000000" w:themeColor="text1"/>
        </w:rPr>
        <w:t xml:space="preserve"> à</w:t>
      </w:r>
      <w:r w:rsidR="7F1F7661" w:rsidRPr="1622F273">
        <w:rPr>
          <w:rFonts w:ascii="Times New Roman" w:eastAsia="Times New Roman" w:hAnsi="Times New Roman" w:cs="Times New Roman"/>
          <w:color w:val="000000" w:themeColor="text1"/>
        </w:rPr>
        <w:t xml:space="preserve"> eux</w:t>
      </w:r>
      <w:r w:rsidRPr="1622F273">
        <w:rPr>
          <w:rFonts w:ascii="Times New Roman" w:eastAsia="Times New Roman" w:hAnsi="Times New Roman" w:cs="Times New Roman"/>
          <w:color w:val="000000" w:themeColor="text1"/>
        </w:rPr>
        <w:t xml:space="preserve"> soumis à </w:t>
      </w:r>
      <w:r w:rsidR="56EAB47B" w:rsidRPr="1622F273">
        <w:rPr>
          <w:rFonts w:ascii="Times New Roman" w:eastAsia="Times New Roman" w:hAnsi="Times New Roman" w:cs="Times New Roman"/>
          <w:color w:val="000000" w:themeColor="text1"/>
        </w:rPr>
        <w:t xml:space="preserve">une </w:t>
      </w:r>
      <w:r w:rsidRPr="1622F273">
        <w:rPr>
          <w:rFonts w:ascii="Times New Roman" w:eastAsia="Times New Roman" w:hAnsi="Times New Roman" w:cs="Times New Roman"/>
          <w:color w:val="000000" w:themeColor="text1"/>
        </w:rPr>
        <w:t>autorisation préalable</w:t>
      </w:r>
      <w:r w:rsidR="3C7C2FDC" w:rsidRPr="1622F273">
        <w:rPr>
          <w:rFonts w:ascii="Times New Roman" w:eastAsia="Times New Roman" w:hAnsi="Times New Roman" w:cs="Times New Roman"/>
          <w:color w:val="000000" w:themeColor="text1"/>
        </w:rPr>
        <w:t>.</w:t>
      </w:r>
      <w:r w:rsidRPr="1622F273">
        <w:rPr>
          <w:rFonts w:ascii="Times New Roman" w:eastAsia="Times New Roman" w:hAnsi="Times New Roman" w:cs="Times New Roman"/>
          <w:color w:val="000000" w:themeColor="text1"/>
        </w:rPr>
        <w:t xml:space="preserve"> Le texte redéfinit en outre la finalité des associations comme un « soutien aux autorités publiques dans la mise en œuvre des politiques publiques », remettant en </w:t>
      </w:r>
      <w:r w:rsidRPr="1622F273">
        <w:rPr>
          <w:rFonts w:ascii="Times New Roman" w:eastAsia="Times New Roman" w:hAnsi="Times New Roman" w:cs="Times New Roman"/>
          <w:color w:val="000000" w:themeColor="text1"/>
        </w:rPr>
        <w:lastRenderedPageBreak/>
        <w:t>cause leur indépendance. Il élargit les motifs de gel et de suspension</w:t>
      </w:r>
      <w:r w:rsidR="3CF14455" w:rsidRPr="1622F273">
        <w:rPr>
          <w:rFonts w:ascii="Times New Roman" w:eastAsia="Times New Roman" w:hAnsi="Times New Roman" w:cs="Times New Roman"/>
          <w:color w:val="000000" w:themeColor="text1"/>
        </w:rPr>
        <w:t>,</w:t>
      </w:r>
      <w:r w:rsidRPr="1622F273">
        <w:rPr>
          <w:rFonts w:ascii="Times New Roman" w:eastAsia="Times New Roman" w:hAnsi="Times New Roman" w:cs="Times New Roman"/>
          <w:color w:val="000000" w:themeColor="text1"/>
        </w:rPr>
        <w:t xml:space="preserve"> notamment en cas de relations avec des associations étrangères sans accord préalable et </w:t>
      </w:r>
      <w:proofErr w:type="spellStart"/>
      <w:r w:rsidR="09676BCE" w:rsidRPr="1622F273">
        <w:rPr>
          <w:rFonts w:ascii="Times New Roman" w:eastAsia="Times New Roman" w:hAnsi="Times New Roman" w:cs="Times New Roman"/>
          <w:color w:val="000000" w:themeColor="text1"/>
        </w:rPr>
        <w:t>maintient</w:t>
      </w:r>
      <w:proofErr w:type="spellEnd"/>
      <w:r w:rsidRPr="1622F273">
        <w:rPr>
          <w:rFonts w:ascii="Times New Roman" w:eastAsia="Times New Roman" w:hAnsi="Times New Roman" w:cs="Times New Roman"/>
          <w:color w:val="000000" w:themeColor="text1"/>
        </w:rPr>
        <w:t xml:space="preserve"> des sanctions pénales d'emprisonnement contre les membres d'associations non enregistrées. À cela s'ajoute l'article 95 bis du Code pénal, introduit en 2020, qui punit de cinq à sept ans d'emprisonnement quiconque reçoit des fonds étrangers pour des activités susceptibles de porter atteinte au « fonctionnement normal des institutions » ou à l'« unité nationale » formulation si vague</w:t>
      </w:r>
      <w:r w:rsidR="6FC6CA58" w:rsidRPr="1622F273">
        <w:rPr>
          <w:rFonts w:ascii="Times New Roman" w:eastAsia="Times New Roman" w:hAnsi="Times New Roman" w:cs="Times New Roman"/>
          <w:color w:val="000000" w:themeColor="text1"/>
        </w:rPr>
        <w:t xml:space="preserve">, encore une fois, </w:t>
      </w:r>
      <w:r w:rsidRPr="1622F273">
        <w:rPr>
          <w:rFonts w:ascii="Times New Roman" w:eastAsia="Times New Roman" w:hAnsi="Times New Roman" w:cs="Times New Roman"/>
          <w:color w:val="000000" w:themeColor="text1"/>
        </w:rPr>
        <w:t>qu'elle permet de poursuivre tout défenseur des droits humains bénéficiant d'un financement international, la peine étant doublée lorsque les fonds sont reçus dans le cadre d'une association.</w:t>
      </w:r>
    </w:p>
    <w:p w14:paraId="51C72E79" w14:textId="0266BA58" w:rsidR="00E06639" w:rsidRDefault="00E06639" w:rsidP="1622F273">
      <w:pPr>
        <w:spacing w:after="0"/>
        <w:jc w:val="both"/>
        <w:rPr>
          <w:rFonts w:ascii="Times New Roman" w:eastAsia="Times New Roman" w:hAnsi="Times New Roman" w:cs="Times New Roman"/>
          <w:highlight w:val="yellow"/>
        </w:rPr>
      </w:pPr>
    </w:p>
    <w:p w14:paraId="4EBE486F" w14:textId="58DC41FF" w:rsidR="00AE00F0" w:rsidRPr="00E12C46" w:rsidRDefault="21AD7637" w:rsidP="00E12C46">
      <w:pPr>
        <w:spacing w:before="240" w:after="240"/>
        <w:jc w:val="both"/>
        <w:rPr>
          <w:rFonts w:ascii="Times New Roman" w:eastAsia="Times New Roman" w:hAnsi="Times New Roman" w:cs="Times New Roman"/>
          <w:b/>
          <w:bCs/>
          <w:color w:val="000000" w:themeColor="text1"/>
        </w:rPr>
      </w:pPr>
      <w:r w:rsidRPr="4992206A">
        <w:rPr>
          <w:rFonts w:ascii="Times New Roman" w:eastAsia="Times New Roman" w:hAnsi="Times New Roman" w:cs="Times New Roman"/>
          <w:b/>
          <w:bCs/>
          <w:color w:val="000000" w:themeColor="text1"/>
        </w:rPr>
        <w:t xml:space="preserve">II. DES VIOLATIONS DOCUMENTÉES </w:t>
      </w:r>
    </w:p>
    <w:p w14:paraId="69644120" w14:textId="7554EFA7" w:rsidR="00AE00F0" w:rsidRPr="004811C7" w:rsidRDefault="5F52D397" w:rsidP="004811C7">
      <w:pPr>
        <w:spacing w:after="0"/>
        <w:jc w:val="both"/>
        <w:rPr>
          <w:rFonts w:ascii="Times New Roman" w:eastAsia="Times New Roman" w:hAnsi="Times New Roman" w:cs="Times New Roman"/>
          <w:color w:val="000000" w:themeColor="text1"/>
        </w:rPr>
      </w:pPr>
      <w:r w:rsidRPr="1622F273">
        <w:rPr>
          <w:rFonts w:ascii="Times New Roman" w:eastAsia="Times New Roman" w:hAnsi="Times New Roman" w:cs="Times New Roman"/>
          <w:color w:val="000000" w:themeColor="text1"/>
        </w:rPr>
        <w:t xml:space="preserve">Le paragraphe 34 du projet </w:t>
      </w:r>
      <w:r w:rsidR="72E3EEFF" w:rsidRPr="1622F273">
        <w:rPr>
          <w:rFonts w:ascii="Times New Roman" w:eastAsia="Times New Roman" w:hAnsi="Times New Roman" w:cs="Times New Roman"/>
          <w:color w:val="000000" w:themeColor="text1"/>
        </w:rPr>
        <w:t xml:space="preserve">d’Observation Générale </w:t>
      </w:r>
      <w:r w:rsidRPr="1622F273">
        <w:rPr>
          <w:rFonts w:ascii="Times New Roman" w:eastAsia="Times New Roman" w:hAnsi="Times New Roman" w:cs="Times New Roman"/>
          <w:color w:val="000000" w:themeColor="text1"/>
        </w:rPr>
        <w:t xml:space="preserve">pose le principe que des mesures cumulatives et indirectes peuvent porter atteinte au droit à la liberté d'association même lorsqu'une action isolée ne semble pas déterminante. Les faits documentés ci-dessous s'inscrivent dans un ensemble </w:t>
      </w:r>
      <w:r w:rsidR="4D25AF7A" w:rsidRPr="1622F273">
        <w:rPr>
          <w:rFonts w:ascii="Times New Roman" w:eastAsia="Times New Roman" w:hAnsi="Times New Roman" w:cs="Times New Roman"/>
          <w:color w:val="000000" w:themeColor="text1"/>
        </w:rPr>
        <w:t>administratif, financier, physique et numérique cohérent,</w:t>
      </w:r>
      <w:r w:rsidRPr="1622F273">
        <w:rPr>
          <w:rFonts w:ascii="Times New Roman" w:eastAsia="Times New Roman" w:hAnsi="Times New Roman" w:cs="Times New Roman"/>
          <w:color w:val="000000" w:themeColor="text1"/>
        </w:rPr>
        <w:t xml:space="preserve"> traduisant une stratégie délibérée de réduction de l'espace associatif pour les organisations de défense des droits humains en Algérie.</w:t>
      </w:r>
      <w:r w:rsidR="353050DE" w:rsidRPr="1622F273">
        <w:rPr>
          <w:rFonts w:ascii="Times New Roman" w:eastAsia="Times New Roman" w:hAnsi="Times New Roman" w:cs="Times New Roman"/>
          <w:color w:val="000000" w:themeColor="text1"/>
        </w:rPr>
        <w:t xml:space="preserve"> </w:t>
      </w:r>
    </w:p>
    <w:p w14:paraId="0F5D0B68" w14:textId="18E164B6" w:rsidR="00AE00F0" w:rsidRDefault="00AE00F0" w:rsidP="4992206A">
      <w:pPr>
        <w:spacing w:after="0"/>
        <w:jc w:val="both"/>
        <w:rPr>
          <w:rFonts w:ascii="Times New Roman" w:eastAsia="Times New Roman" w:hAnsi="Times New Roman" w:cs="Times New Roman"/>
          <w:color w:val="000000" w:themeColor="text1"/>
        </w:rPr>
      </w:pPr>
    </w:p>
    <w:p w14:paraId="7C60F1EC" w14:textId="48C63C57" w:rsidR="00AE00F0" w:rsidRDefault="520E2283" w:rsidP="4992206A">
      <w:pPr>
        <w:spacing w:after="0"/>
        <w:jc w:val="both"/>
        <w:rPr>
          <w:rFonts w:ascii="Times New Roman" w:eastAsia="Times New Roman" w:hAnsi="Times New Roman" w:cs="Times New Roman"/>
          <w:b/>
          <w:bCs/>
          <w:color w:val="000000" w:themeColor="text1"/>
        </w:rPr>
      </w:pPr>
      <w:r w:rsidRPr="4992206A">
        <w:rPr>
          <w:rFonts w:ascii="Times New Roman" w:eastAsia="Times New Roman" w:hAnsi="Times New Roman" w:cs="Times New Roman"/>
          <w:b/>
          <w:bCs/>
          <w:color w:val="000000" w:themeColor="text1"/>
        </w:rPr>
        <w:t xml:space="preserve">A. Difficultés de constitution, de fonctionnement et d'accès aux ressources </w:t>
      </w:r>
    </w:p>
    <w:p w14:paraId="4A44F603" w14:textId="21887A4D" w:rsidR="00AE00F0" w:rsidRDefault="00AE00F0" w:rsidP="4992206A">
      <w:pPr>
        <w:spacing w:after="0"/>
        <w:jc w:val="both"/>
        <w:rPr>
          <w:rFonts w:ascii="Times New Roman" w:eastAsia="Times New Roman" w:hAnsi="Times New Roman" w:cs="Times New Roman"/>
          <w:color w:val="000000" w:themeColor="text1"/>
        </w:rPr>
      </w:pPr>
    </w:p>
    <w:p w14:paraId="406F9D79" w14:textId="23562EA8" w:rsidR="00AE00F0" w:rsidRPr="004811C7" w:rsidRDefault="5F52D397" w:rsidP="1622F273">
      <w:pPr>
        <w:spacing w:after="0"/>
        <w:jc w:val="both"/>
      </w:pPr>
      <w:r w:rsidRPr="1622F273">
        <w:rPr>
          <w:rFonts w:ascii="Times New Roman" w:eastAsia="Times New Roman" w:hAnsi="Times New Roman" w:cs="Times New Roman"/>
          <w:color w:val="000000" w:themeColor="text1"/>
        </w:rPr>
        <w:t>Le 16 mars 2026, le siège de SOS Disparus, bureau du CFDA à Alger, a fait l'objet d'une intervention de plusieurs agents de police. Les personnes présentes ont été retenues, leurs documents vérifiés. Les agents ont menacé le personnel de poursuites si des images étaient diffusées, avant d'apposer des scellés à la cire</w:t>
      </w:r>
      <w:r w:rsidR="57C63C64" w:rsidRPr="1622F273">
        <w:rPr>
          <w:rFonts w:ascii="Times New Roman" w:eastAsia="Times New Roman" w:hAnsi="Times New Roman" w:cs="Times New Roman"/>
          <w:color w:val="000000" w:themeColor="text1"/>
        </w:rPr>
        <w:t xml:space="preserve"> </w:t>
      </w:r>
      <w:r w:rsidR="00141697">
        <w:rPr>
          <w:rFonts w:ascii="Times New Roman" w:eastAsia="Times New Roman" w:hAnsi="Times New Roman" w:cs="Times New Roman"/>
          <w:color w:val="000000" w:themeColor="text1"/>
        </w:rPr>
        <w:t>sur</w:t>
      </w:r>
      <w:r w:rsidR="57C63C64" w:rsidRPr="1622F273">
        <w:rPr>
          <w:rFonts w:ascii="Times New Roman" w:eastAsia="Times New Roman" w:hAnsi="Times New Roman" w:cs="Times New Roman"/>
          <w:color w:val="000000" w:themeColor="text1"/>
        </w:rPr>
        <w:t xml:space="preserve"> la porte des locaux</w:t>
      </w:r>
      <w:r w:rsidRPr="1622F273">
        <w:rPr>
          <w:rFonts w:ascii="Times New Roman" w:eastAsia="Times New Roman" w:hAnsi="Times New Roman" w:cs="Times New Roman"/>
          <w:color w:val="000000" w:themeColor="text1"/>
        </w:rPr>
        <w:t xml:space="preserve">. Le motif </w:t>
      </w:r>
      <w:r w:rsidR="00141697" w:rsidRPr="1622F273">
        <w:rPr>
          <w:rFonts w:ascii="Times New Roman" w:eastAsia="Times New Roman" w:hAnsi="Times New Roman" w:cs="Times New Roman"/>
          <w:color w:val="000000" w:themeColor="text1"/>
        </w:rPr>
        <w:t>invoqué</w:t>
      </w:r>
      <w:r w:rsidR="00141697">
        <w:rPr>
          <w:rFonts w:ascii="Times New Roman" w:eastAsia="Times New Roman" w:hAnsi="Times New Roman" w:cs="Times New Roman"/>
          <w:color w:val="000000" w:themeColor="text1"/>
        </w:rPr>
        <w:t xml:space="preserve"> mais jamais notifié au préalable, </w:t>
      </w:r>
      <w:r w:rsidRPr="1622F273">
        <w:rPr>
          <w:rFonts w:ascii="Times New Roman" w:eastAsia="Times New Roman" w:hAnsi="Times New Roman" w:cs="Times New Roman"/>
          <w:color w:val="000000" w:themeColor="text1"/>
        </w:rPr>
        <w:t>était l'absence d'agrément</w:t>
      </w:r>
      <w:r w:rsidR="00141697">
        <w:rPr>
          <w:rFonts w:ascii="Times New Roman" w:eastAsia="Times New Roman" w:hAnsi="Times New Roman" w:cs="Times New Roman"/>
          <w:color w:val="000000" w:themeColor="text1"/>
        </w:rPr>
        <w:t xml:space="preserve">. </w:t>
      </w:r>
      <w:r w:rsidRPr="1622F273">
        <w:rPr>
          <w:rFonts w:ascii="Times New Roman" w:eastAsia="Times New Roman" w:hAnsi="Times New Roman" w:cs="Times New Roman"/>
          <w:color w:val="000000" w:themeColor="text1"/>
        </w:rPr>
        <w:t xml:space="preserve">L'accès aux archives, aux dossiers de plainte des familles et au matériel de travail a été rendu impossible. </w:t>
      </w:r>
      <w:r w:rsidR="186DEB0B" w:rsidRPr="1622F273">
        <w:rPr>
          <w:rFonts w:ascii="Times New Roman" w:eastAsia="Times New Roman" w:hAnsi="Times New Roman" w:cs="Times New Roman"/>
          <w:color w:val="000000" w:themeColor="text1"/>
        </w:rPr>
        <w:t>Le CFDA s'inquiète que cette fermeture administrative s'inscrive par ailleurs dans le cadre de l'article 39 de la loi n° 12-06, qui autorise la suspension ou la dissolution d'une association par simple décision administrative au motif d'« ingérence dans les affaires internes du pays ou d'atteinte à la souveraineté nationale », formulation dont le caractère vague et extensif a été expressément signalé par le Comité comme incompatible avec les exigences de légalité de l'article 22 du PIDCP</w:t>
      </w:r>
      <w:r w:rsidR="0B50EB0F" w:rsidRPr="1622F273">
        <w:rPr>
          <w:rStyle w:val="Appelnotedebasdep"/>
          <w:rFonts w:ascii="Times New Roman" w:eastAsia="Times New Roman" w:hAnsi="Times New Roman" w:cs="Times New Roman"/>
          <w:color w:val="000000" w:themeColor="text1"/>
        </w:rPr>
        <w:footnoteReference w:id="8"/>
      </w:r>
      <w:r w:rsidR="186DEB0B" w:rsidRPr="1622F273">
        <w:rPr>
          <w:rFonts w:ascii="Times New Roman" w:eastAsia="Times New Roman" w:hAnsi="Times New Roman" w:cs="Times New Roman"/>
          <w:color w:val="000000" w:themeColor="text1"/>
        </w:rPr>
        <w:t>, et qui pourrait à tout moment être invoquée contre toute organisation de défense des droits humains dont les activités seraient jugées dérangeantes par les autorités.</w:t>
      </w:r>
    </w:p>
    <w:p w14:paraId="5E7C38B7" w14:textId="14B51EC0" w:rsidR="00AE00F0" w:rsidRDefault="00AE00F0" w:rsidP="4992206A">
      <w:pPr>
        <w:spacing w:after="0"/>
        <w:jc w:val="both"/>
        <w:rPr>
          <w:rFonts w:ascii="Times New Roman" w:eastAsia="Times New Roman" w:hAnsi="Times New Roman" w:cs="Times New Roman"/>
          <w:color w:val="000000" w:themeColor="text1"/>
        </w:rPr>
      </w:pPr>
    </w:p>
    <w:p w14:paraId="36D52CAA" w14:textId="5EF0B641" w:rsidR="00AE00F0" w:rsidRPr="004811C7" w:rsidRDefault="1691FE8C" w:rsidP="004811C7">
      <w:pPr>
        <w:spacing w:after="0"/>
        <w:jc w:val="both"/>
        <w:rPr>
          <w:rFonts w:ascii="Times New Roman" w:eastAsia="Times New Roman" w:hAnsi="Times New Roman" w:cs="Times New Roman"/>
          <w:color w:val="000000" w:themeColor="text1"/>
        </w:rPr>
      </w:pPr>
      <w:r w:rsidRPr="1622F273">
        <w:rPr>
          <w:rFonts w:ascii="Times New Roman" w:eastAsia="Times New Roman" w:hAnsi="Times New Roman" w:cs="Times New Roman"/>
          <w:color w:val="000000" w:themeColor="text1"/>
        </w:rPr>
        <w:t xml:space="preserve">Cette opération a </w:t>
      </w:r>
      <w:r w:rsidR="34EA48D2" w:rsidRPr="1622F273">
        <w:rPr>
          <w:rFonts w:ascii="Times New Roman" w:eastAsia="Times New Roman" w:hAnsi="Times New Roman" w:cs="Times New Roman"/>
          <w:color w:val="000000" w:themeColor="text1"/>
        </w:rPr>
        <w:t>mis</w:t>
      </w:r>
      <w:r w:rsidRPr="1622F273">
        <w:rPr>
          <w:rFonts w:ascii="Times New Roman" w:eastAsia="Times New Roman" w:hAnsi="Times New Roman" w:cs="Times New Roman"/>
          <w:color w:val="000000" w:themeColor="text1"/>
        </w:rPr>
        <w:t xml:space="preserve"> </w:t>
      </w:r>
      <w:r w:rsidR="34EA48D2" w:rsidRPr="1622F273">
        <w:rPr>
          <w:rFonts w:ascii="Times New Roman" w:eastAsia="Times New Roman" w:hAnsi="Times New Roman" w:cs="Times New Roman"/>
          <w:color w:val="000000" w:themeColor="text1"/>
        </w:rPr>
        <w:t xml:space="preserve">fin </w:t>
      </w:r>
      <w:r w:rsidRPr="1622F273">
        <w:rPr>
          <w:rFonts w:ascii="Times New Roman" w:eastAsia="Times New Roman" w:hAnsi="Times New Roman" w:cs="Times New Roman"/>
          <w:color w:val="000000" w:themeColor="text1"/>
        </w:rPr>
        <w:t>de facto</w:t>
      </w:r>
      <w:r w:rsidR="5904A999" w:rsidRPr="1622F273">
        <w:rPr>
          <w:rFonts w:ascii="Times New Roman" w:eastAsia="Times New Roman" w:hAnsi="Times New Roman" w:cs="Times New Roman"/>
          <w:color w:val="000000" w:themeColor="text1"/>
        </w:rPr>
        <w:t xml:space="preserve"> aux activités de l’association, ou en tout cas les a entravées gravement. P</w:t>
      </w:r>
      <w:r w:rsidRPr="1622F273">
        <w:rPr>
          <w:rFonts w:ascii="Times New Roman" w:eastAsia="Times New Roman" w:hAnsi="Times New Roman" w:cs="Times New Roman"/>
          <w:color w:val="000000" w:themeColor="text1"/>
        </w:rPr>
        <w:t xml:space="preserve">ourtant </w:t>
      </w:r>
      <w:r w:rsidR="2640D210" w:rsidRPr="1622F273">
        <w:rPr>
          <w:rFonts w:ascii="Times New Roman" w:eastAsia="Times New Roman" w:hAnsi="Times New Roman" w:cs="Times New Roman"/>
          <w:color w:val="000000" w:themeColor="text1"/>
        </w:rPr>
        <w:t xml:space="preserve">SOS Disparus est </w:t>
      </w:r>
      <w:r w:rsidRPr="1622F273">
        <w:rPr>
          <w:rFonts w:ascii="Times New Roman" w:eastAsia="Times New Roman" w:hAnsi="Times New Roman" w:cs="Times New Roman"/>
          <w:color w:val="000000" w:themeColor="text1"/>
        </w:rPr>
        <w:t xml:space="preserve">active depuis des années, </w:t>
      </w:r>
      <w:r w:rsidR="00C3136A">
        <w:rPr>
          <w:rFonts w:ascii="Times New Roman" w:eastAsia="Times New Roman" w:hAnsi="Times New Roman" w:cs="Times New Roman"/>
          <w:color w:val="000000" w:themeColor="text1"/>
        </w:rPr>
        <w:t>même si depuis</w:t>
      </w:r>
      <w:r w:rsidR="0A0698AF" w:rsidRPr="1622F273">
        <w:rPr>
          <w:rFonts w:ascii="Times New Roman" w:eastAsia="Times New Roman" w:hAnsi="Times New Roman" w:cs="Times New Roman"/>
          <w:color w:val="000000" w:themeColor="text1"/>
        </w:rPr>
        <w:t xml:space="preserve"> 2001, elle n’a jamais réussi à s’enregistrer légalement malgré de nombreuse</w:t>
      </w:r>
      <w:r w:rsidR="101B5783" w:rsidRPr="1622F273">
        <w:rPr>
          <w:rFonts w:ascii="Times New Roman" w:eastAsia="Times New Roman" w:hAnsi="Times New Roman" w:cs="Times New Roman"/>
          <w:color w:val="000000" w:themeColor="text1"/>
        </w:rPr>
        <w:t>s tentatives, l’administration refusant systématiquement de prendre</w:t>
      </w:r>
      <w:r w:rsidR="00C3136A">
        <w:rPr>
          <w:rFonts w:ascii="Times New Roman" w:eastAsia="Times New Roman" w:hAnsi="Times New Roman" w:cs="Times New Roman"/>
          <w:color w:val="000000" w:themeColor="text1"/>
        </w:rPr>
        <w:t xml:space="preserve"> en compte</w:t>
      </w:r>
      <w:r w:rsidR="101B5783" w:rsidRPr="1622F273">
        <w:rPr>
          <w:rFonts w:ascii="Times New Roman" w:eastAsia="Times New Roman" w:hAnsi="Times New Roman" w:cs="Times New Roman"/>
          <w:color w:val="000000" w:themeColor="text1"/>
        </w:rPr>
        <w:t xml:space="preserve"> son dossier</w:t>
      </w:r>
      <w:r w:rsidR="24253D25" w:rsidRPr="1622F273">
        <w:rPr>
          <w:rFonts w:ascii="Times New Roman" w:eastAsia="Times New Roman" w:hAnsi="Times New Roman" w:cs="Times New Roman"/>
          <w:color w:val="000000" w:themeColor="text1"/>
        </w:rPr>
        <w:t>.</w:t>
      </w:r>
    </w:p>
    <w:p w14:paraId="2A910B2F" w14:textId="774D0582" w:rsidR="00AE00F0" w:rsidRDefault="00AE00F0" w:rsidP="4992206A">
      <w:pPr>
        <w:spacing w:after="0"/>
        <w:ind w:left="708"/>
        <w:jc w:val="both"/>
        <w:rPr>
          <w:rFonts w:ascii="Times New Roman" w:eastAsia="Times New Roman" w:hAnsi="Times New Roman" w:cs="Times New Roman"/>
          <w:color w:val="000000" w:themeColor="text1"/>
        </w:rPr>
      </w:pPr>
    </w:p>
    <w:p w14:paraId="6726D62A" w14:textId="58C4D3CD" w:rsidR="00AE00F0" w:rsidRPr="004811C7" w:rsidRDefault="0B50EB0F" w:rsidP="004811C7">
      <w:pPr>
        <w:spacing w:after="0"/>
        <w:jc w:val="both"/>
        <w:rPr>
          <w:rFonts w:ascii="Times New Roman" w:eastAsia="Times New Roman" w:hAnsi="Times New Roman" w:cs="Times New Roman"/>
          <w:color w:val="000000" w:themeColor="text1"/>
        </w:rPr>
      </w:pPr>
      <w:r w:rsidRPr="004811C7">
        <w:rPr>
          <w:rFonts w:ascii="Times New Roman" w:eastAsia="Times New Roman" w:hAnsi="Times New Roman" w:cs="Times New Roman"/>
          <w:color w:val="000000" w:themeColor="text1"/>
        </w:rPr>
        <w:lastRenderedPageBreak/>
        <w:t xml:space="preserve">L'Association pour la réhabilitation des victimes (APV), entité du CFDA disposant d'un agrément délivré depuis 2015, </w:t>
      </w:r>
      <w:r w:rsidR="50897C53" w:rsidRPr="004811C7">
        <w:rPr>
          <w:rFonts w:ascii="Times New Roman" w:eastAsia="Times New Roman" w:hAnsi="Times New Roman" w:cs="Times New Roman"/>
          <w:color w:val="000000" w:themeColor="text1"/>
        </w:rPr>
        <w:t>a également</w:t>
      </w:r>
      <w:r w:rsidRPr="004811C7">
        <w:rPr>
          <w:rFonts w:ascii="Times New Roman" w:eastAsia="Times New Roman" w:hAnsi="Times New Roman" w:cs="Times New Roman"/>
          <w:color w:val="000000" w:themeColor="text1"/>
        </w:rPr>
        <w:t xml:space="preserve"> subi en 2025 une série d'entraves administratives. Sa procédure de mise à jour des statuts s'est heurtée à des exigences non prévues par la loi, à une déclaration d'</w:t>
      </w:r>
      <w:proofErr w:type="spellStart"/>
      <w:r w:rsidRPr="004811C7">
        <w:rPr>
          <w:rFonts w:ascii="Times New Roman" w:eastAsia="Times New Roman" w:hAnsi="Times New Roman" w:cs="Times New Roman"/>
          <w:color w:val="000000" w:themeColor="text1"/>
        </w:rPr>
        <w:t>introuvabilité</w:t>
      </w:r>
      <w:proofErr w:type="spellEnd"/>
      <w:r w:rsidRPr="004811C7">
        <w:rPr>
          <w:rFonts w:ascii="Times New Roman" w:eastAsia="Times New Roman" w:hAnsi="Times New Roman" w:cs="Times New Roman"/>
          <w:color w:val="000000" w:themeColor="text1"/>
        </w:rPr>
        <w:t xml:space="preserve"> de son dossier, puis à des interrogatoires intrusifs : le chef de service a questionné les responsables sur Nassera </w:t>
      </w:r>
      <w:proofErr w:type="spellStart"/>
      <w:r w:rsidRPr="004811C7">
        <w:rPr>
          <w:rFonts w:ascii="Times New Roman" w:eastAsia="Times New Roman" w:hAnsi="Times New Roman" w:cs="Times New Roman"/>
          <w:color w:val="000000" w:themeColor="text1"/>
        </w:rPr>
        <w:t>Dutour</w:t>
      </w:r>
      <w:proofErr w:type="spellEnd"/>
      <w:r w:rsidRPr="004811C7">
        <w:rPr>
          <w:rFonts w:ascii="Times New Roman" w:eastAsia="Times New Roman" w:hAnsi="Times New Roman" w:cs="Times New Roman"/>
          <w:color w:val="000000" w:themeColor="text1"/>
        </w:rPr>
        <w:t xml:space="preserve"> </w:t>
      </w:r>
      <w:r w:rsidR="694210E2" w:rsidRPr="004811C7">
        <w:rPr>
          <w:rFonts w:ascii="Times New Roman" w:eastAsia="Times New Roman" w:hAnsi="Times New Roman" w:cs="Times New Roman"/>
          <w:color w:val="000000" w:themeColor="text1"/>
        </w:rPr>
        <w:t>(</w:t>
      </w:r>
      <w:r w:rsidR="24B60AF6" w:rsidRPr="004811C7">
        <w:rPr>
          <w:rFonts w:ascii="Times New Roman" w:eastAsia="Times New Roman" w:hAnsi="Times New Roman" w:cs="Times New Roman"/>
          <w:color w:val="000000" w:themeColor="text1"/>
        </w:rPr>
        <w:t xml:space="preserve"> </w:t>
      </w:r>
      <w:r w:rsidR="46F93B32" w:rsidRPr="004811C7">
        <w:rPr>
          <w:rFonts w:ascii="Times New Roman" w:eastAsia="Times New Roman" w:hAnsi="Times New Roman" w:cs="Times New Roman"/>
          <w:color w:val="000000" w:themeColor="text1"/>
        </w:rPr>
        <w:t>son</w:t>
      </w:r>
      <w:r w:rsidRPr="004811C7">
        <w:rPr>
          <w:rFonts w:ascii="Times New Roman" w:eastAsia="Times New Roman" w:hAnsi="Times New Roman" w:cs="Times New Roman"/>
          <w:color w:val="000000" w:themeColor="text1"/>
        </w:rPr>
        <w:t xml:space="preserve"> nom de jeune fille, sa situation matrimoniale, ses liens avec SOS Disparus</w:t>
      </w:r>
      <w:r w:rsidR="5F3A5545" w:rsidRPr="004811C7">
        <w:rPr>
          <w:rFonts w:ascii="Times New Roman" w:eastAsia="Times New Roman" w:hAnsi="Times New Roman" w:cs="Times New Roman"/>
          <w:color w:val="000000" w:themeColor="text1"/>
        </w:rPr>
        <w:t xml:space="preserve"> )</w:t>
      </w:r>
      <w:r w:rsidR="5FBA0A18" w:rsidRPr="004811C7">
        <w:rPr>
          <w:rFonts w:ascii="Times New Roman" w:eastAsia="Times New Roman" w:hAnsi="Times New Roman" w:cs="Times New Roman"/>
          <w:color w:val="000000" w:themeColor="text1"/>
        </w:rPr>
        <w:t xml:space="preserve"> </w:t>
      </w:r>
      <w:r w:rsidR="3F0981CF" w:rsidRPr="004811C7">
        <w:rPr>
          <w:rFonts w:ascii="Times New Roman" w:eastAsia="Times New Roman" w:hAnsi="Times New Roman" w:cs="Times New Roman"/>
          <w:color w:val="000000" w:themeColor="text1"/>
        </w:rPr>
        <w:t>avant</w:t>
      </w:r>
      <w:r w:rsidRPr="004811C7">
        <w:rPr>
          <w:rFonts w:ascii="Times New Roman" w:eastAsia="Times New Roman" w:hAnsi="Times New Roman" w:cs="Times New Roman"/>
          <w:color w:val="000000" w:themeColor="text1"/>
        </w:rPr>
        <w:t xml:space="preserve"> d'affirmer explicitement que l'association n'obtiendrait jamais </w:t>
      </w:r>
      <w:r w:rsidR="00B06DAD" w:rsidRPr="004811C7">
        <w:rPr>
          <w:rFonts w:ascii="Times New Roman" w:eastAsia="Times New Roman" w:hAnsi="Times New Roman" w:cs="Times New Roman"/>
          <w:color w:val="000000" w:themeColor="text1"/>
        </w:rPr>
        <w:t xml:space="preserve">le renouvellement de son </w:t>
      </w:r>
      <w:r w:rsidRPr="004811C7">
        <w:rPr>
          <w:rFonts w:ascii="Times New Roman" w:eastAsia="Times New Roman" w:hAnsi="Times New Roman" w:cs="Times New Roman"/>
          <w:color w:val="000000" w:themeColor="text1"/>
        </w:rPr>
        <w:t xml:space="preserve">agrément au motif que sa présidente travaillerait « pour l'étranger ». </w:t>
      </w:r>
    </w:p>
    <w:p w14:paraId="00AE8E0C" w14:textId="5287929E" w:rsidR="00AE00F0" w:rsidRDefault="00AE00F0" w:rsidP="4992206A">
      <w:pPr>
        <w:spacing w:after="0"/>
        <w:jc w:val="both"/>
        <w:rPr>
          <w:rFonts w:ascii="Times New Roman" w:eastAsia="Times New Roman" w:hAnsi="Times New Roman" w:cs="Times New Roman"/>
          <w:color w:val="000000" w:themeColor="text1"/>
        </w:rPr>
      </w:pPr>
    </w:p>
    <w:p w14:paraId="037DF718" w14:textId="3C48A724" w:rsidR="00AE00F0" w:rsidRPr="004811C7" w:rsidRDefault="5F52D397" w:rsidP="004811C7">
      <w:pPr>
        <w:spacing w:after="0"/>
        <w:jc w:val="both"/>
        <w:rPr>
          <w:rFonts w:ascii="Times New Roman" w:eastAsia="Times New Roman" w:hAnsi="Times New Roman" w:cs="Times New Roman"/>
          <w:color w:val="000000" w:themeColor="text1"/>
        </w:rPr>
      </w:pPr>
      <w:r w:rsidRPr="004811C7">
        <w:rPr>
          <w:rFonts w:ascii="Times New Roman" w:eastAsia="Times New Roman" w:hAnsi="Times New Roman" w:cs="Times New Roman"/>
          <w:color w:val="000000" w:themeColor="text1"/>
        </w:rPr>
        <w:t xml:space="preserve">Au-delà des entraves à l'enregistrement, l'accès aux ressources constitue un obstacle structurel majeur. </w:t>
      </w:r>
      <w:r w:rsidR="4655CFD0" w:rsidRPr="004811C7">
        <w:rPr>
          <w:rFonts w:ascii="Times New Roman" w:eastAsia="Times New Roman" w:hAnsi="Times New Roman" w:cs="Times New Roman"/>
          <w:color w:val="000000" w:themeColor="text1"/>
        </w:rPr>
        <w:t>Pourtant, l</w:t>
      </w:r>
      <w:r w:rsidRPr="004811C7">
        <w:rPr>
          <w:rFonts w:ascii="Times New Roman" w:eastAsia="Times New Roman" w:hAnsi="Times New Roman" w:cs="Times New Roman"/>
          <w:color w:val="000000" w:themeColor="text1"/>
        </w:rPr>
        <w:t xml:space="preserve">'accès effectif aux </w:t>
      </w:r>
      <w:r w:rsidR="7CEBE4A3" w:rsidRPr="004811C7">
        <w:rPr>
          <w:rFonts w:ascii="Times New Roman" w:eastAsia="Times New Roman" w:hAnsi="Times New Roman" w:cs="Times New Roman"/>
          <w:color w:val="000000" w:themeColor="text1"/>
        </w:rPr>
        <w:t>ressources, y</w:t>
      </w:r>
      <w:r w:rsidRPr="004811C7">
        <w:rPr>
          <w:rFonts w:ascii="Times New Roman" w:eastAsia="Times New Roman" w:hAnsi="Times New Roman" w:cs="Times New Roman"/>
          <w:color w:val="000000" w:themeColor="text1"/>
        </w:rPr>
        <w:t xml:space="preserve"> compris les financements domestiques et étrangers</w:t>
      </w:r>
      <w:r w:rsidR="14DFABF5" w:rsidRPr="004811C7">
        <w:rPr>
          <w:rFonts w:ascii="Times New Roman" w:eastAsia="Times New Roman" w:hAnsi="Times New Roman" w:cs="Times New Roman"/>
          <w:color w:val="000000" w:themeColor="text1"/>
        </w:rPr>
        <w:t xml:space="preserve">, </w:t>
      </w:r>
      <w:r w:rsidRPr="004811C7">
        <w:rPr>
          <w:rFonts w:ascii="Times New Roman" w:eastAsia="Times New Roman" w:hAnsi="Times New Roman" w:cs="Times New Roman"/>
          <w:color w:val="000000" w:themeColor="text1"/>
        </w:rPr>
        <w:t xml:space="preserve">est un élément essentiel de la liberté d'association protégée par l'article 22(1) du PIDCP. La loi n° 12-06 soumet la réception de fonds étrangers et la coopération avec des ONG internationales à un accord préalable des autorités (art. 23, </w:t>
      </w:r>
      <w:r w:rsidRPr="1622F273">
        <w:rPr>
          <w:rFonts w:ascii="Times New Roman" w:eastAsia="Times New Roman" w:hAnsi="Times New Roman" w:cs="Times New Roman"/>
          <w:color w:val="000000" w:themeColor="text1"/>
        </w:rPr>
        <w:t>30)</w:t>
      </w:r>
      <w:r w:rsidR="00AE00F0" w:rsidRPr="4992206A">
        <w:rPr>
          <w:rStyle w:val="Appelnotedebasdep"/>
          <w:rFonts w:ascii="Times New Roman" w:eastAsia="Times New Roman" w:hAnsi="Times New Roman" w:cs="Times New Roman"/>
          <w:color w:val="000000" w:themeColor="text1"/>
        </w:rPr>
        <w:footnoteReference w:id="9"/>
      </w:r>
      <w:r w:rsidRPr="004811C7">
        <w:rPr>
          <w:rFonts w:ascii="Times New Roman" w:eastAsia="Times New Roman" w:hAnsi="Times New Roman" w:cs="Times New Roman"/>
          <w:color w:val="000000" w:themeColor="text1"/>
        </w:rPr>
        <w:t>, mécanisme que le Comité a lui-même identifié comme problématique au regard de l'article 22</w:t>
      </w:r>
      <w:r w:rsidR="00AE00F0" w:rsidRPr="4992206A">
        <w:rPr>
          <w:rStyle w:val="Appelnotedebasdep"/>
          <w:rFonts w:ascii="Times New Roman" w:eastAsia="Times New Roman" w:hAnsi="Times New Roman" w:cs="Times New Roman"/>
          <w:color w:val="000000" w:themeColor="text1"/>
        </w:rPr>
        <w:footnoteReference w:id="10"/>
      </w:r>
      <w:r w:rsidRPr="004811C7">
        <w:rPr>
          <w:rFonts w:ascii="Times New Roman" w:eastAsia="Times New Roman" w:hAnsi="Times New Roman" w:cs="Times New Roman"/>
          <w:color w:val="000000" w:themeColor="text1"/>
        </w:rPr>
        <w:t>. En pratique, l'étude du CFDA de 2015 a</w:t>
      </w:r>
      <w:r w:rsidR="7D77CA14" w:rsidRPr="004811C7">
        <w:rPr>
          <w:rFonts w:ascii="Times New Roman" w:eastAsia="Times New Roman" w:hAnsi="Times New Roman" w:cs="Times New Roman"/>
          <w:color w:val="000000" w:themeColor="text1"/>
        </w:rPr>
        <w:t>vait</w:t>
      </w:r>
      <w:r w:rsidRPr="004811C7">
        <w:rPr>
          <w:rFonts w:ascii="Times New Roman" w:eastAsia="Times New Roman" w:hAnsi="Times New Roman" w:cs="Times New Roman"/>
          <w:color w:val="000000" w:themeColor="text1"/>
        </w:rPr>
        <w:t xml:space="preserve"> révélé que la plupart des associations indépendantes renoncent à solliciter des financements étrangers par peur d'agir dans l'illégalité</w:t>
      </w:r>
      <w:r w:rsidR="174DA3C7" w:rsidRPr="004811C7">
        <w:rPr>
          <w:rFonts w:ascii="Times New Roman" w:eastAsia="Times New Roman" w:hAnsi="Times New Roman" w:cs="Times New Roman"/>
          <w:color w:val="000000" w:themeColor="text1"/>
        </w:rPr>
        <w:t xml:space="preserve"> et peur de représailles.</w:t>
      </w:r>
      <w:r w:rsidRPr="004811C7">
        <w:rPr>
          <w:rFonts w:ascii="Times New Roman" w:eastAsia="Times New Roman" w:hAnsi="Times New Roman" w:cs="Times New Roman"/>
          <w:color w:val="000000" w:themeColor="text1"/>
        </w:rPr>
        <w:t xml:space="preserve"> Le nouveau projet de loi</w:t>
      </w:r>
      <w:r w:rsidR="009D7A5D">
        <w:rPr>
          <w:rFonts w:ascii="Times New Roman" w:eastAsia="Times New Roman" w:hAnsi="Times New Roman" w:cs="Times New Roman"/>
          <w:color w:val="000000" w:themeColor="text1"/>
        </w:rPr>
        <w:t>, comme nous l’avons mentionné,</w:t>
      </w:r>
      <w:r w:rsidRPr="004811C7">
        <w:rPr>
          <w:rFonts w:ascii="Times New Roman" w:eastAsia="Times New Roman" w:hAnsi="Times New Roman" w:cs="Times New Roman"/>
          <w:color w:val="000000" w:themeColor="text1"/>
        </w:rPr>
        <w:t xml:space="preserve"> maintient ces restrictions et subordonne toujours la coopération internationale au respect des « valeurs et constantes nationales ». S'y ajoute un discours officiel de stigmatisation : dans le cas de l'APV, l'administration a explicitement invoqué les « financements étrangers </w:t>
      </w:r>
      <w:r w:rsidR="68B50677" w:rsidRPr="004811C7">
        <w:rPr>
          <w:rFonts w:ascii="Times New Roman" w:eastAsia="Times New Roman" w:hAnsi="Times New Roman" w:cs="Times New Roman"/>
          <w:color w:val="000000" w:themeColor="text1"/>
        </w:rPr>
        <w:t>» pour</w:t>
      </w:r>
      <w:r w:rsidRPr="004811C7">
        <w:rPr>
          <w:rFonts w:ascii="Times New Roman" w:eastAsia="Times New Roman" w:hAnsi="Times New Roman" w:cs="Times New Roman"/>
          <w:color w:val="000000" w:themeColor="text1"/>
        </w:rPr>
        <w:t xml:space="preserve"> justifier </w:t>
      </w:r>
      <w:r w:rsidR="7953A5F3" w:rsidRPr="1622F273">
        <w:rPr>
          <w:rFonts w:ascii="Times New Roman" w:eastAsia="Times New Roman" w:hAnsi="Times New Roman" w:cs="Times New Roman"/>
          <w:color w:val="000000" w:themeColor="text1"/>
        </w:rPr>
        <w:t>les difficultés rencontrées</w:t>
      </w:r>
      <w:r w:rsidR="065229B9" w:rsidRPr="1622F273">
        <w:rPr>
          <w:rFonts w:ascii="Times New Roman" w:eastAsia="Times New Roman" w:hAnsi="Times New Roman" w:cs="Times New Roman"/>
          <w:color w:val="000000" w:themeColor="text1"/>
        </w:rPr>
        <w:t>,</w:t>
      </w:r>
      <w:r w:rsidRPr="1622F273">
        <w:rPr>
          <w:rFonts w:ascii="Times New Roman" w:eastAsia="Times New Roman" w:hAnsi="Times New Roman" w:cs="Times New Roman"/>
          <w:color w:val="000000" w:themeColor="text1"/>
        </w:rPr>
        <w:t xml:space="preserve"> illustrant ce que le Rapporteur spécial qualifie d'atteinte indirecte à</w:t>
      </w:r>
      <w:r w:rsidR="69961476" w:rsidRPr="1622F273">
        <w:rPr>
          <w:rFonts w:ascii="Times New Roman" w:eastAsia="Times New Roman" w:hAnsi="Times New Roman" w:cs="Times New Roman"/>
          <w:color w:val="000000" w:themeColor="text1"/>
        </w:rPr>
        <w:t xml:space="preserve"> </w:t>
      </w:r>
      <w:r w:rsidRPr="1622F273">
        <w:rPr>
          <w:rFonts w:ascii="Times New Roman" w:eastAsia="Times New Roman" w:hAnsi="Times New Roman" w:cs="Times New Roman"/>
          <w:color w:val="000000" w:themeColor="text1"/>
        </w:rPr>
        <w:t xml:space="preserve">l'article 22(1) par campagne de dénigrement visant les associations en raison de leurs sources de financement. Ces restrictions </w:t>
      </w:r>
      <w:r w:rsidR="7627F06D" w:rsidRPr="1622F273">
        <w:rPr>
          <w:rFonts w:ascii="Times New Roman" w:eastAsia="Times New Roman" w:hAnsi="Times New Roman" w:cs="Times New Roman"/>
          <w:color w:val="000000" w:themeColor="text1"/>
        </w:rPr>
        <w:t>cumulées ;</w:t>
      </w:r>
      <w:r w:rsidRPr="1622F273">
        <w:rPr>
          <w:rFonts w:ascii="Times New Roman" w:eastAsia="Times New Roman" w:hAnsi="Times New Roman" w:cs="Times New Roman"/>
          <w:color w:val="000000" w:themeColor="text1"/>
        </w:rPr>
        <w:t xml:space="preserve"> obligation d'autorisation préalable, stigmatisation des financements étrangers et impossibilité d'ouvrir un compte bancaire sans récépissé d'enregistrement</w:t>
      </w:r>
      <w:r w:rsidR="20CFA07B" w:rsidRPr="1622F273">
        <w:rPr>
          <w:rFonts w:ascii="Times New Roman" w:eastAsia="Times New Roman" w:hAnsi="Times New Roman" w:cs="Times New Roman"/>
          <w:color w:val="000000" w:themeColor="text1"/>
        </w:rPr>
        <w:t>,</w:t>
      </w:r>
      <w:r w:rsidRPr="1622F273">
        <w:rPr>
          <w:rFonts w:ascii="Times New Roman" w:eastAsia="Times New Roman" w:hAnsi="Times New Roman" w:cs="Times New Roman"/>
          <w:color w:val="000000" w:themeColor="text1"/>
        </w:rPr>
        <w:t xml:space="preserve"> </w:t>
      </w:r>
      <w:r w:rsidR="2FC35C90" w:rsidRPr="1622F273">
        <w:rPr>
          <w:rFonts w:ascii="Times New Roman" w:eastAsia="Times New Roman" w:hAnsi="Times New Roman" w:cs="Times New Roman"/>
          <w:color w:val="000000" w:themeColor="text1"/>
        </w:rPr>
        <w:t>privent</w:t>
      </w:r>
      <w:r w:rsidRPr="1622F273">
        <w:rPr>
          <w:rFonts w:ascii="Times New Roman" w:eastAsia="Times New Roman" w:hAnsi="Times New Roman" w:cs="Times New Roman"/>
          <w:color w:val="000000" w:themeColor="text1"/>
        </w:rPr>
        <w:t xml:space="preserve"> de facto les associations indépendantes de toute ressource et conduisent à leur asphyxie progressive.</w:t>
      </w:r>
    </w:p>
    <w:p w14:paraId="305A6A70" w14:textId="59897D89" w:rsidR="00AE00F0" w:rsidRDefault="00AE00F0" w:rsidP="4992206A">
      <w:pPr>
        <w:spacing w:after="0"/>
        <w:jc w:val="both"/>
        <w:rPr>
          <w:rFonts w:ascii="Times New Roman" w:eastAsia="Times New Roman" w:hAnsi="Times New Roman" w:cs="Times New Roman"/>
          <w:color w:val="000000" w:themeColor="text1"/>
        </w:rPr>
      </w:pPr>
    </w:p>
    <w:p w14:paraId="53AFF707" w14:textId="1A853E4A" w:rsidR="00AE00F0" w:rsidRDefault="4176806A" w:rsidP="4992206A">
      <w:pPr>
        <w:spacing w:before="240" w:after="240"/>
        <w:jc w:val="both"/>
        <w:rPr>
          <w:rFonts w:ascii="Times New Roman" w:eastAsia="Times New Roman" w:hAnsi="Times New Roman" w:cs="Times New Roman"/>
          <w:b/>
          <w:bCs/>
          <w:color w:val="000000" w:themeColor="text1"/>
        </w:rPr>
      </w:pPr>
      <w:r w:rsidRPr="4992206A">
        <w:rPr>
          <w:rFonts w:ascii="Times New Roman" w:eastAsia="Times New Roman" w:hAnsi="Times New Roman" w:cs="Times New Roman"/>
          <w:b/>
          <w:bCs/>
          <w:color w:val="000000" w:themeColor="text1"/>
        </w:rPr>
        <w:t xml:space="preserve">B. Harcèlement des familles de disparus </w:t>
      </w:r>
    </w:p>
    <w:p w14:paraId="0F5D8A12" w14:textId="7D53433D" w:rsidR="00AE00F0" w:rsidRDefault="00AE00F0" w:rsidP="4992206A">
      <w:pPr>
        <w:spacing w:after="0"/>
        <w:jc w:val="both"/>
        <w:rPr>
          <w:rFonts w:ascii="Times New Roman" w:eastAsia="Times New Roman" w:hAnsi="Times New Roman" w:cs="Times New Roman"/>
          <w:color w:val="000000" w:themeColor="text1"/>
        </w:rPr>
      </w:pPr>
    </w:p>
    <w:p w14:paraId="170639B7" w14:textId="1D81A162" w:rsidR="00AE00F0" w:rsidRPr="00AA67F2" w:rsidRDefault="13AF3E1C"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Le paragraphe 9 du projet d’Observation générale reconnaît que les restrictions à la liberté d’association peuvent affecter de manière disproportionnée les femmes défenseures des droits humains. Le paragraphe 31 rappelle quant à lui que l’arrestation ou la détention arbitraire de personnes en raison de leur participation à des activités associatives pacifiques constitue une violation de l’article 22 du Pacte.</w:t>
      </w:r>
    </w:p>
    <w:p w14:paraId="059B8E2E" w14:textId="3C3C5724" w:rsidR="00AE00F0" w:rsidRDefault="00AE00F0" w:rsidP="4992206A">
      <w:pPr>
        <w:spacing w:after="0"/>
        <w:jc w:val="both"/>
        <w:rPr>
          <w:rFonts w:ascii="Times New Roman" w:eastAsia="Times New Roman" w:hAnsi="Times New Roman" w:cs="Times New Roman"/>
          <w:color w:val="000000" w:themeColor="text1"/>
        </w:rPr>
      </w:pPr>
    </w:p>
    <w:p w14:paraId="3E6D0CC8" w14:textId="615E1E05" w:rsidR="00AE00F0" w:rsidRPr="00AA67F2" w:rsidRDefault="13AF3E1C"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Les familles de disparues réunies autour du CFDA et de SOS Disparus illustrent</w:t>
      </w:r>
      <w:r w:rsidR="72E22EE3" w:rsidRPr="00AA67F2">
        <w:rPr>
          <w:rFonts w:ascii="Times New Roman" w:eastAsia="Times New Roman" w:hAnsi="Times New Roman" w:cs="Times New Roman"/>
          <w:color w:val="000000" w:themeColor="text1"/>
        </w:rPr>
        <w:t xml:space="preserve"> bien</w:t>
      </w:r>
      <w:r w:rsidRPr="00AA67F2">
        <w:rPr>
          <w:rFonts w:ascii="Times New Roman" w:eastAsia="Times New Roman" w:hAnsi="Times New Roman" w:cs="Times New Roman"/>
          <w:color w:val="000000" w:themeColor="text1"/>
        </w:rPr>
        <w:t xml:space="preserve"> cette </w:t>
      </w:r>
      <w:r w:rsidR="6E345CC9" w:rsidRPr="00AA67F2">
        <w:rPr>
          <w:rFonts w:ascii="Times New Roman" w:eastAsia="Times New Roman" w:hAnsi="Times New Roman" w:cs="Times New Roman"/>
          <w:color w:val="000000" w:themeColor="text1"/>
        </w:rPr>
        <w:t>situation</w:t>
      </w:r>
      <w:r w:rsidRPr="00AA67F2">
        <w:rPr>
          <w:rFonts w:ascii="Times New Roman" w:eastAsia="Times New Roman" w:hAnsi="Times New Roman" w:cs="Times New Roman"/>
          <w:color w:val="000000" w:themeColor="text1"/>
        </w:rPr>
        <w:t xml:space="preserve">. </w:t>
      </w:r>
      <w:r w:rsidR="2CE37C8D" w:rsidRPr="00AA67F2">
        <w:rPr>
          <w:rFonts w:ascii="Times New Roman" w:eastAsia="Times New Roman" w:hAnsi="Times New Roman" w:cs="Times New Roman"/>
          <w:color w:val="000000" w:themeColor="text1"/>
        </w:rPr>
        <w:t>De fait, l’association</w:t>
      </w:r>
      <w:r w:rsidRPr="00AA67F2">
        <w:rPr>
          <w:rFonts w:ascii="Times New Roman" w:eastAsia="Times New Roman" w:hAnsi="Times New Roman" w:cs="Times New Roman"/>
          <w:color w:val="000000" w:themeColor="text1"/>
        </w:rPr>
        <w:t xml:space="preserve"> </w:t>
      </w:r>
      <w:r w:rsidR="1B132589" w:rsidRPr="00AA67F2">
        <w:rPr>
          <w:rFonts w:ascii="Times New Roman" w:eastAsia="Times New Roman" w:hAnsi="Times New Roman" w:cs="Times New Roman"/>
          <w:color w:val="000000" w:themeColor="text1"/>
        </w:rPr>
        <w:t xml:space="preserve">est </w:t>
      </w:r>
      <w:r w:rsidRPr="00AA67F2">
        <w:rPr>
          <w:rFonts w:ascii="Times New Roman" w:eastAsia="Times New Roman" w:hAnsi="Times New Roman" w:cs="Times New Roman"/>
          <w:color w:val="000000" w:themeColor="text1"/>
        </w:rPr>
        <w:t xml:space="preserve">majoritairement </w:t>
      </w:r>
      <w:r w:rsidR="78707CCA" w:rsidRPr="00AA67F2">
        <w:rPr>
          <w:rFonts w:ascii="Times New Roman" w:eastAsia="Times New Roman" w:hAnsi="Times New Roman" w:cs="Times New Roman"/>
          <w:color w:val="000000" w:themeColor="text1"/>
        </w:rPr>
        <w:t>composée</w:t>
      </w:r>
      <w:r w:rsidRPr="00AA67F2">
        <w:rPr>
          <w:rFonts w:ascii="Times New Roman" w:eastAsia="Times New Roman" w:hAnsi="Times New Roman" w:cs="Times New Roman"/>
          <w:color w:val="000000" w:themeColor="text1"/>
        </w:rPr>
        <w:t xml:space="preserve"> de femmes</w:t>
      </w:r>
      <w:r w:rsidR="511AEFC6" w:rsidRPr="00AA67F2">
        <w:rPr>
          <w:rFonts w:ascii="Times New Roman" w:eastAsia="Times New Roman" w:hAnsi="Times New Roman" w:cs="Times New Roman"/>
          <w:color w:val="000000" w:themeColor="text1"/>
        </w:rPr>
        <w:t>,</w:t>
      </w:r>
      <w:r w:rsidRPr="00AA67F2">
        <w:rPr>
          <w:rFonts w:ascii="Times New Roman" w:eastAsia="Times New Roman" w:hAnsi="Times New Roman" w:cs="Times New Roman"/>
          <w:color w:val="000000" w:themeColor="text1"/>
        </w:rPr>
        <w:t xml:space="preserve"> mères, épouses et sœurs de disparus</w:t>
      </w:r>
      <w:r w:rsidR="31664B5C" w:rsidRPr="00AA67F2">
        <w:rPr>
          <w:rFonts w:ascii="Times New Roman" w:eastAsia="Times New Roman" w:hAnsi="Times New Roman" w:cs="Times New Roman"/>
          <w:color w:val="000000" w:themeColor="text1"/>
        </w:rPr>
        <w:t xml:space="preserve"> </w:t>
      </w:r>
      <w:r w:rsidRPr="00AA67F2">
        <w:rPr>
          <w:rFonts w:ascii="Times New Roman" w:eastAsia="Times New Roman" w:hAnsi="Times New Roman" w:cs="Times New Roman"/>
          <w:color w:val="000000" w:themeColor="text1"/>
        </w:rPr>
        <w:t xml:space="preserve">qui, depuis août 1998, organisent des rassemblements pacifiques réguliers afin de demander la vérité sur le sort de leurs proches et d’obtenir justice. En exerçant cette </w:t>
      </w:r>
      <w:r w:rsidRPr="00AA67F2">
        <w:rPr>
          <w:rFonts w:ascii="Times New Roman" w:eastAsia="Times New Roman" w:hAnsi="Times New Roman" w:cs="Times New Roman"/>
          <w:color w:val="000000" w:themeColor="text1"/>
        </w:rPr>
        <w:lastRenderedPageBreak/>
        <w:t>activité collective, elles mettent en œuvre leur droit à la liberté d’association consacré par l’article 22 du Pacte, ainsi que leur droit à la réunion pacifique garanti par l’article 21.</w:t>
      </w:r>
    </w:p>
    <w:p w14:paraId="36CD7457" w14:textId="14130F86" w:rsidR="00AE00F0" w:rsidRDefault="00AE00F0" w:rsidP="4992206A">
      <w:pPr>
        <w:spacing w:after="0"/>
        <w:jc w:val="both"/>
        <w:rPr>
          <w:rFonts w:ascii="Times New Roman" w:eastAsia="Times New Roman" w:hAnsi="Times New Roman" w:cs="Times New Roman"/>
          <w:color w:val="000000" w:themeColor="text1"/>
        </w:rPr>
      </w:pPr>
    </w:p>
    <w:p w14:paraId="4E8ADF49" w14:textId="69137E4A" w:rsidR="00AE00F0" w:rsidRPr="00AA67F2" w:rsidRDefault="13AF3E1C"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Or, ces rassemblements ont fait l’objet d’interdictions progressives par les autorités algériennes, sans fondement légal clair, sans décision formelle susceptible de recours effectif, et plusieurs membres de familles ont été arrêtés à l’occasion de ces mobilisations. Cette situation révèle une restriction cumulative : ces personnes sont empêchées à la fois d’agir collectivement au sein d’organisations de défense des droits humains et d’exercer leur droit de réunion pacifique</w:t>
      </w:r>
      <w:r w:rsidR="2A8B7FED" w:rsidRPr="00AA67F2">
        <w:rPr>
          <w:rFonts w:ascii="Times New Roman" w:eastAsia="Times New Roman" w:hAnsi="Times New Roman" w:cs="Times New Roman"/>
          <w:color w:val="000000" w:themeColor="text1"/>
        </w:rPr>
        <w:t>.</w:t>
      </w:r>
    </w:p>
    <w:p w14:paraId="56F7E935" w14:textId="5841C66D" w:rsidR="00AE00F0" w:rsidRDefault="00AE00F0" w:rsidP="4992206A">
      <w:pPr>
        <w:spacing w:after="0"/>
        <w:jc w:val="both"/>
        <w:rPr>
          <w:rFonts w:ascii="Times New Roman" w:eastAsia="Times New Roman" w:hAnsi="Times New Roman" w:cs="Times New Roman"/>
          <w:color w:val="000000" w:themeColor="text1"/>
        </w:rPr>
      </w:pPr>
    </w:p>
    <w:p w14:paraId="0489FFE2" w14:textId="36CEE25D" w:rsidR="00AE00F0" w:rsidRPr="00AA67F2" w:rsidRDefault="543EE371"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Les experts des Nations unies ont récemment exprimé leur inquiétude concernant la répression visant les familles de personnes disparues et la société civile en Algérie, en soulignant les atteintes subies par les défenseurs des droits humains et les membres d</w:t>
      </w:r>
      <w:r w:rsidR="201AAE29" w:rsidRPr="00AA67F2">
        <w:rPr>
          <w:rFonts w:ascii="Times New Roman" w:eastAsia="Times New Roman" w:hAnsi="Times New Roman" w:cs="Times New Roman"/>
          <w:color w:val="000000" w:themeColor="text1"/>
        </w:rPr>
        <w:t>e l’association</w:t>
      </w:r>
      <w:r w:rsidR="726B4B00" w:rsidRPr="00AA67F2">
        <w:rPr>
          <w:rFonts w:ascii="Times New Roman" w:eastAsia="Times New Roman" w:hAnsi="Times New Roman" w:cs="Times New Roman"/>
          <w:color w:val="000000" w:themeColor="text1"/>
        </w:rPr>
        <w:t>.</w:t>
      </w:r>
      <w:r w:rsidR="00AE00F0" w:rsidRPr="4992206A">
        <w:rPr>
          <w:rStyle w:val="Appelnotedebasdep"/>
          <w:rFonts w:ascii="Times New Roman" w:eastAsia="Times New Roman" w:hAnsi="Times New Roman" w:cs="Times New Roman"/>
          <w:color w:val="000000" w:themeColor="text1"/>
        </w:rPr>
        <w:footnoteReference w:id="11"/>
      </w:r>
      <w:r w:rsidRPr="00AA67F2">
        <w:rPr>
          <w:rFonts w:ascii="Times New Roman" w:eastAsia="Times New Roman" w:hAnsi="Times New Roman" w:cs="Times New Roman"/>
          <w:color w:val="000000" w:themeColor="text1"/>
        </w:rPr>
        <w:t xml:space="preserve"> Cette intervention fait suite aux informations communiquées sur la situation des familles de disparus et confirme la nécessité d’une protection accrue des acteurs associatifs engagés dans la recherche de vérité et de justice</w:t>
      </w:r>
      <w:r w:rsidR="33777F5D" w:rsidRPr="00AA67F2">
        <w:rPr>
          <w:rFonts w:ascii="Times New Roman" w:eastAsia="Times New Roman" w:hAnsi="Times New Roman" w:cs="Times New Roman"/>
          <w:color w:val="000000" w:themeColor="text1"/>
        </w:rPr>
        <w:t>.</w:t>
      </w:r>
    </w:p>
    <w:p w14:paraId="59ABD96F" w14:textId="0581FE0D" w:rsidR="00AE00F0" w:rsidRDefault="00AE00F0" w:rsidP="4992206A">
      <w:pPr>
        <w:spacing w:after="0"/>
        <w:jc w:val="both"/>
        <w:rPr>
          <w:rFonts w:ascii="Times New Roman" w:eastAsia="Times New Roman" w:hAnsi="Times New Roman" w:cs="Times New Roman"/>
          <w:color w:val="000000" w:themeColor="text1"/>
        </w:rPr>
      </w:pPr>
    </w:p>
    <w:p w14:paraId="7A51889F" w14:textId="01C8C009" w:rsidR="00AE00F0" w:rsidRDefault="0B50EB0F" w:rsidP="4992206A">
      <w:pPr>
        <w:spacing w:before="240" w:after="240"/>
        <w:jc w:val="both"/>
        <w:rPr>
          <w:rFonts w:ascii="Times New Roman" w:eastAsia="Times New Roman" w:hAnsi="Times New Roman" w:cs="Times New Roman"/>
          <w:b/>
          <w:bCs/>
          <w:color w:val="000000" w:themeColor="text1"/>
        </w:rPr>
      </w:pPr>
      <w:r w:rsidRPr="4992206A">
        <w:rPr>
          <w:rFonts w:ascii="Times New Roman" w:eastAsia="Times New Roman" w:hAnsi="Times New Roman" w:cs="Times New Roman"/>
          <w:b/>
          <w:bCs/>
          <w:color w:val="000000" w:themeColor="text1"/>
        </w:rPr>
        <w:t>C. Les attaques numériques</w:t>
      </w:r>
    </w:p>
    <w:p w14:paraId="1334E048" w14:textId="1E533681" w:rsidR="00AE00F0" w:rsidRPr="00AA67F2" w:rsidRDefault="5F52D397" w:rsidP="00AA67F2">
      <w:pPr>
        <w:spacing w:after="0"/>
        <w:jc w:val="both"/>
        <w:rPr>
          <w:rFonts w:ascii="Times New Roman" w:eastAsia="Times New Roman" w:hAnsi="Times New Roman" w:cs="Times New Roman"/>
          <w:color w:val="000000" w:themeColor="text1"/>
        </w:rPr>
      </w:pPr>
      <w:r w:rsidRPr="1622F273">
        <w:rPr>
          <w:rFonts w:ascii="Times New Roman" w:eastAsia="Times New Roman" w:hAnsi="Times New Roman" w:cs="Times New Roman"/>
          <w:color w:val="000000" w:themeColor="text1"/>
        </w:rPr>
        <w:t>Le paragraphe 11 du projet</w:t>
      </w:r>
      <w:r w:rsidR="4C341F9C" w:rsidRPr="1622F273">
        <w:rPr>
          <w:rFonts w:ascii="Times New Roman" w:eastAsia="Times New Roman" w:hAnsi="Times New Roman" w:cs="Times New Roman"/>
          <w:color w:val="000000" w:themeColor="text1"/>
        </w:rPr>
        <w:t xml:space="preserve"> d’Observation générale</w:t>
      </w:r>
      <w:r w:rsidRPr="1622F273">
        <w:rPr>
          <w:rFonts w:ascii="Times New Roman" w:eastAsia="Times New Roman" w:hAnsi="Times New Roman" w:cs="Times New Roman"/>
          <w:color w:val="000000" w:themeColor="text1"/>
        </w:rPr>
        <w:t xml:space="preserve"> reconnaît que la surveillance numérique et la surveillance restrictive des sites web ont un effet dissuasif sur l'exercice de la liberté d'association. Le CFDA documente plusieurs atteintes numériques directes : le piratage et la destruction du site du mémorial numérique des disparus algériens, base de données essentielle pour l'association ; le piratage du site de l'association, rendu inaccessible depuis le territoire algérien sans VPN ; ainsi que le piratage de sa radio associative, La Radio des Sans Voix. </w:t>
      </w:r>
    </w:p>
    <w:p w14:paraId="7E7726E1" w14:textId="2DF13D0D" w:rsidR="00AE00F0" w:rsidRDefault="00AE00F0" w:rsidP="4992206A">
      <w:pPr>
        <w:spacing w:after="0"/>
        <w:jc w:val="both"/>
        <w:rPr>
          <w:rFonts w:ascii="Times New Roman" w:eastAsia="Times New Roman" w:hAnsi="Times New Roman" w:cs="Times New Roman"/>
          <w:color w:val="000000" w:themeColor="text1"/>
        </w:rPr>
      </w:pPr>
    </w:p>
    <w:p w14:paraId="1C0B671B" w14:textId="2B8A8D4E" w:rsidR="00AE00F0" w:rsidRPr="00AA67F2" w:rsidRDefault="0B50EB0F"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Ces atteintes numériques forment avec les restrictions physiques et administratives le pattern cumulatif</w:t>
      </w:r>
      <w:r w:rsidR="4445088D" w:rsidRPr="00AA67F2">
        <w:rPr>
          <w:rFonts w:ascii="Times New Roman" w:eastAsia="Times New Roman" w:hAnsi="Times New Roman" w:cs="Times New Roman"/>
          <w:color w:val="000000" w:themeColor="text1"/>
        </w:rPr>
        <w:t xml:space="preserve"> visé au paragraphe 34 du projet</w:t>
      </w:r>
      <w:r w:rsidR="009D7A5D">
        <w:rPr>
          <w:rFonts w:ascii="Times New Roman" w:eastAsia="Times New Roman" w:hAnsi="Times New Roman" w:cs="Times New Roman"/>
          <w:color w:val="000000" w:themeColor="text1"/>
        </w:rPr>
        <w:t xml:space="preserve"> d’Observation générale</w:t>
      </w:r>
      <w:r w:rsidR="4445088D" w:rsidRPr="00AA67F2">
        <w:rPr>
          <w:rFonts w:ascii="Times New Roman" w:eastAsia="Times New Roman" w:hAnsi="Times New Roman" w:cs="Times New Roman"/>
          <w:color w:val="000000" w:themeColor="text1"/>
        </w:rPr>
        <w:t>, pattern que vivent de nombreuses associations.</w:t>
      </w:r>
      <w:r w:rsidRPr="00AA67F2">
        <w:rPr>
          <w:rFonts w:ascii="Times New Roman" w:eastAsia="Times New Roman" w:hAnsi="Times New Roman" w:cs="Times New Roman"/>
          <w:color w:val="000000" w:themeColor="text1"/>
        </w:rPr>
        <w:t xml:space="preserve"> </w:t>
      </w:r>
    </w:p>
    <w:p w14:paraId="2B152963" w14:textId="1E625CE7" w:rsidR="00AE00F0" w:rsidRDefault="00AE00F0" w:rsidP="4992206A">
      <w:pPr>
        <w:spacing w:after="0"/>
        <w:jc w:val="both"/>
        <w:rPr>
          <w:rFonts w:ascii="Times New Roman" w:eastAsia="Times New Roman" w:hAnsi="Times New Roman" w:cs="Times New Roman"/>
          <w:color w:val="000000" w:themeColor="text1"/>
        </w:rPr>
      </w:pPr>
    </w:p>
    <w:p w14:paraId="45F1F88D" w14:textId="7E0F5BFE" w:rsidR="00AE00F0" w:rsidRDefault="009D7A5D" w:rsidP="4992206A">
      <w:pPr>
        <w:spacing w:before="240" w:after="240"/>
        <w:jc w:val="both"/>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D</w:t>
      </w:r>
      <w:r w:rsidR="0B50EB0F" w:rsidRPr="4992206A">
        <w:rPr>
          <w:rFonts w:ascii="Times New Roman" w:eastAsia="Times New Roman" w:hAnsi="Times New Roman" w:cs="Times New Roman"/>
          <w:b/>
          <w:bCs/>
          <w:color w:val="000000" w:themeColor="text1"/>
        </w:rPr>
        <w:t xml:space="preserve">. La répression transnationale inverse </w:t>
      </w:r>
    </w:p>
    <w:p w14:paraId="19DF9D71" w14:textId="0439A8D1" w:rsidR="00AE00F0" w:rsidRPr="00AA67F2" w:rsidRDefault="0B50EB0F"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Le paragraphe 32 du projet interdit à un État partie de harceler des défenseurs des droits humains vivant à l'étranger. Le CFDA a</w:t>
      </w:r>
      <w:r w:rsidR="0AACF181" w:rsidRPr="00AA67F2">
        <w:rPr>
          <w:rFonts w:ascii="Times New Roman" w:eastAsia="Times New Roman" w:hAnsi="Times New Roman" w:cs="Times New Roman"/>
          <w:color w:val="000000" w:themeColor="text1"/>
        </w:rPr>
        <w:t>imerait</w:t>
      </w:r>
      <w:r w:rsidRPr="00AA67F2">
        <w:rPr>
          <w:rFonts w:ascii="Times New Roman" w:eastAsia="Times New Roman" w:hAnsi="Times New Roman" w:cs="Times New Roman"/>
          <w:color w:val="000000" w:themeColor="text1"/>
        </w:rPr>
        <w:t xml:space="preserve"> </w:t>
      </w:r>
      <w:r w:rsidR="0AACF181" w:rsidRPr="00AA67F2">
        <w:rPr>
          <w:rFonts w:ascii="Times New Roman" w:eastAsia="Times New Roman" w:hAnsi="Times New Roman" w:cs="Times New Roman"/>
          <w:color w:val="000000" w:themeColor="text1"/>
        </w:rPr>
        <w:t xml:space="preserve">attirer l’attention </w:t>
      </w:r>
      <w:r w:rsidRPr="00AA67F2">
        <w:rPr>
          <w:rFonts w:ascii="Times New Roman" w:eastAsia="Times New Roman" w:hAnsi="Times New Roman" w:cs="Times New Roman"/>
          <w:color w:val="000000" w:themeColor="text1"/>
        </w:rPr>
        <w:t>sur une forme symétrique : l'État qui empêche ses ressortissants établis à l'étranger de revenir exercer leurs droits sur le territoire national.</w:t>
      </w:r>
      <w:r w:rsidR="5F8667DA" w:rsidRPr="00AA67F2">
        <w:rPr>
          <w:rFonts w:ascii="Times New Roman" w:eastAsia="Times New Roman" w:hAnsi="Times New Roman" w:cs="Times New Roman"/>
          <w:color w:val="000000" w:themeColor="text1"/>
        </w:rPr>
        <w:t xml:space="preserve"> </w:t>
      </w:r>
    </w:p>
    <w:p w14:paraId="526F14A0" w14:textId="4C8450E7" w:rsidR="00AE00F0" w:rsidRDefault="00AE00F0" w:rsidP="4992206A">
      <w:pPr>
        <w:spacing w:after="0"/>
        <w:jc w:val="both"/>
        <w:rPr>
          <w:rFonts w:ascii="Times New Roman" w:eastAsia="Times New Roman" w:hAnsi="Times New Roman" w:cs="Times New Roman"/>
          <w:color w:val="000000" w:themeColor="text1"/>
        </w:rPr>
      </w:pPr>
    </w:p>
    <w:p w14:paraId="4BD86922" w14:textId="4D855A82" w:rsidR="00AE00F0" w:rsidRPr="00AA67F2" w:rsidRDefault="0B50EB0F"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 xml:space="preserve">Le 30 juillet 2025, Nassera Dutour, présidente du CFDA, a atterri à l'aéroport Houari Boumediene d'Alger à bord d'un vol Air France en provenance de Paris, avec ses deux passeports </w:t>
      </w:r>
      <w:r w:rsidR="383B6F32" w:rsidRPr="00AA67F2">
        <w:rPr>
          <w:rFonts w:ascii="Times New Roman" w:eastAsia="Times New Roman" w:hAnsi="Times New Roman" w:cs="Times New Roman"/>
          <w:color w:val="000000" w:themeColor="text1"/>
        </w:rPr>
        <w:t>(algérien</w:t>
      </w:r>
      <w:r w:rsidRPr="00AA67F2">
        <w:rPr>
          <w:rFonts w:ascii="Times New Roman" w:eastAsia="Times New Roman" w:hAnsi="Times New Roman" w:cs="Times New Roman"/>
          <w:color w:val="000000" w:themeColor="text1"/>
        </w:rPr>
        <w:t xml:space="preserve"> et </w:t>
      </w:r>
      <w:r w:rsidR="28BD23E5" w:rsidRPr="00AA67F2">
        <w:rPr>
          <w:rFonts w:ascii="Times New Roman" w:eastAsia="Times New Roman" w:hAnsi="Times New Roman" w:cs="Times New Roman"/>
          <w:color w:val="000000" w:themeColor="text1"/>
        </w:rPr>
        <w:t>français)</w:t>
      </w:r>
      <w:r w:rsidR="7C322428" w:rsidRPr="00AA67F2">
        <w:rPr>
          <w:rFonts w:ascii="Times New Roman" w:eastAsia="Times New Roman" w:hAnsi="Times New Roman" w:cs="Times New Roman"/>
          <w:color w:val="000000" w:themeColor="text1"/>
        </w:rPr>
        <w:t xml:space="preserve"> </w:t>
      </w:r>
      <w:r w:rsidRPr="00AA67F2">
        <w:rPr>
          <w:rFonts w:ascii="Times New Roman" w:eastAsia="Times New Roman" w:hAnsi="Times New Roman" w:cs="Times New Roman"/>
          <w:color w:val="000000" w:themeColor="text1"/>
        </w:rPr>
        <w:t>comme elle l'avait toujours fait</w:t>
      </w:r>
      <w:r w:rsidR="264B4098" w:rsidRPr="00AA67F2">
        <w:rPr>
          <w:rFonts w:ascii="Times New Roman" w:eastAsia="Times New Roman" w:hAnsi="Times New Roman" w:cs="Times New Roman"/>
          <w:color w:val="000000" w:themeColor="text1"/>
        </w:rPr>
        <w:t>.</w:t>
      </w:r>
      <w:r w:rsidRPr="00AA67F2">
        <w:rPr>
          <w:rFonts w:ascii="Times New Roman" w:eastAsia="Times New Roman" w:hAnsi="Times New Roman" w:cs="Times New Roman"/>
          <w:color w:val="000000" w:themeColor="text1"/>
        </w:rPr>
        <w:t xml:space="preserve"> Après une rétention d'environ </w:t>
      </w:r>
      <w:r w:rsidRPr="00AA67F2">
        <w:rPr>
          <w:rFonts w:ascii="Times New Roman" w:eastAsia="Times New Roman" w:hAnsi="Times New Roman" w:cs="Times New Roman"/>
          <w:color w:val="000000" w:themeColor="text1"/>
        </w:rPr>
        <w:lastRenderedPageBreak/>
        <w:t>trois heures au cours de laquelle plusieurs responsables de la police aux frontières se sont succédé pour lui poser des questions répétées sur son identité, son activité professionnelle et son parcours associatif, elle a été conduite en urgence vers un vol retour. Un agent lui a indiqué la raison : « vous êtes membre d'une ONG, Madame ». Aucune décision écrite ne lui a été remise pendant l'opération. Un procès-verbal de refoulement a été glissé dans son passeport à bord de l'avion, sans motivation juridique et sans indication de voie de recours. Ce cas révèle deux violations distinctes : la mesure ne repose sur aucune base légale claire au sens du paragraphe 43</w:t>
      </w:r>
      <w:r w:rsidR="009D7A5D">
        <w:rPr>
          <w:rFonts w:ascii="Times New Roman" w:eastAsia="Times New Roman" w:hAnsi="Times New Roman" w:cs="Times New Roman"/>
          <w:color w:val="000000" w:themeColor="text1"/>
        </w:rPr>
        <w:t xml:space="preserve"> de l’Observation générale</w:t>
      </w:r>
      <w:r w:rsidRPr="00AA67F2">
        <w:rPr>
          <w:rFonts w:ascii="Times New Roman" w:eastAsia="Times New Roman" w:hAnsi="Times New Roman" w:cs="Times New Roman"/>
          <w:color w:val="000000" w:themeColor="text1"/>
        </w:rPr>
        <w:t xml:space="preserve">, et l'appartenance à une organisation de défense des droits humains est invoquée comme motif, ce que le paragraphe 10 interdit expressément. Des membres du CFDA ressortissants algériens sont régulièrement empêchés par ce biais d'exercer leurs activités en Algérie </w:t>
      </w:r>
      <w:r w:rsidR="0A042D40" w:rsidRPr="00AA67F2">
        <w:rPr>
          <w:rFonts w:ascii="Times New Roman" w:eastAsia="Times New Roman" w:hAnsi="Times New Roman" w:cs="Times New Roman"/>
          <w:color w:val="000000" w:themeColor="text1"/>
        </w:rPr>
        <w:t>:</w:t>
      </w:r>
      <w:r w:rsidRPr="00AA67F2">
        <w:rPr>
          <w:rFonts w:ascii="Times New Roman" w:eastAsia="Times New Roman" w:hAnsi="Times New Roman" w:cs="Times New Roman"/>
          <w:color w:val="000000" w:themeColor="text1"/>
        </w:rPr>
        <w:t xml:space="preserve"> visites aux familles, collecte de témoignages, présence aux commémorations.</w:t>
      </w:r>
    </w:p>
    <w:p w14:paraId="7E0B40DF" w14:textId="5C75D993" w:rsidR="00AE00F0" w:rsidRDefault="00AE00F0" w:rsidP="4992206A">
      <w:pPr>
        <w:spacing w:after="0"/>
        <w:jc w:val="both"/>
        <w:rPr>
          <w:rFonts w:ascii="Times New Roman" w:eastAsia="Times New Roman" w:hAnsi="Times New Roman" w:cs="Times New Roman"/>
          <w:color w:val="000000" w:themeColor="text1"/>
        </w:rPr>
      </w:pPr>
    </w:p>
    <w:p w14:paraId="4F00FDD3" w14:textId="7E0ADBC1" w:rsidR="00AE00F0" w:rsidRDefault="009D7A5D" w:rsidP="4992206A">
      <w:pPr>
        <w:spacing w:before="240" w:after="240"/>
        <w:jc w:val="both"/>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E</w:t>
      </w:r>
      <w:r w:rsidR="0B50EB0F" w:rsidRPr="4992206A">
        <w:rPr>
          <w:rFonts w:ascii="Times New Roman" w:eastAsia="Times New Roman" w:hAnsi="Times New Roman" w:cs="Times New Roman"/>
          <w:b/>
          <w:bCs/>
          <w:color w:val="000000" w:themeColor="text1"/>
        </w:rPr>
        <w:t xml:space="preserve">. Le ciblage sectoriel des associations de droits humains </w:t>
      </w:r>
    </w:p>
    <w:p w14:paraId="5CE36B1B" w14:textId="07B9C850" w:rsidR="00AE00F0" w:rsidRPr="00AA67F2" w:rsidRDefault="5F52D397"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 xml:space="preserve">Les associations de défense des droits humains subissent en Algérie un traitement </w:t>
      </w:r>
      <w:r w:rsidR="7D38106A" w:rsidRPr="00AA67F2">
        <w:rPr>
          <w:rFonts w:ascii="Times New Roman" w:eastAsia="Times New Roman" w:hAnsi="Times New Roman" w:cs="Times New Roman"/>
          <w:color w:val="000000" w:themeColor="text1"/>
        </w:rPr>
        <w:t xml:space="preserve">différencié </w:t>
      </w:r>
      <w:r w:rsidRPr="00AA67F2">
        <w:rPr>
          <w:rFonts w:ascii="Times New Roman" w:eastAsia="Times New Roman" w:hAnsi="Times New Roman" w:cs="Times New Roman"/>
          <w:color w:val="000000" w:themeColor="text1"/>
        </w:rPr>
        <w:t>de celui réservé aux associations sportives, culturelles ou professionnelles. En 2015, parmi les 92 627 associations locales agréées recensées par le ministère de l'Intérieur, seules 7 opéraient dans le domaine des droits de l'homme</w:t>
      </w:r>
      <w:r w:rsidR="7B958E6D" w:rsidRPr="00AA67F2">
        <w:rPr>
          <w:rFonts w:ascii="Times New Roman" w:eastAsia="Times New Roman" w:hAnsi="Times New Roman" w:cs="Times New Roman"/>
          <w:color w:val="000000" w:themeColor="text1"/>
        </w:rPr>
        <w:t>,</w:t>
      </w:r>
      <w:r w:rsidRPr="00AA67F2">
        <w:rPr>
          <w:rFonts w:ascii="Times New Roman" w:eastAsia="Times New Roman" w:hAnsi="Times New Roman" w:cs="Times New Roman"/>
          <w:color w:val="000000" w:themeColor="text1"/>
        </w:rPr>
        <w:t xml:space="preserve"> chiffre éloquent illustrant l'effet d'éviction produit par ce ciblage.</w:t>
      </w:r>
      <w:r w:rsidR="00AE00F0" w:rsidRPr="4992206A">
        <w:rPr>
          <w:rStyle w:val="Appelnotedebasdep"/>
          <w:rFonts w:ascii="Times New Roman" w:eastAsia="Times New Roman" w:hAnsi="Times New Roman" w:cs="Times New Roman"/>
          <w:color w:val="000000" w:themeColor="text1"/>
        </w:rPr>
        <w:footnoteReference w:id="12"/>
      </w:r>
      <w:r w:rsidRPr="00AA67F2">
        <w:rPr>
          <w:rFonts w:ascii="Times New Roman" w:eastAsia="Times New Roman" w:hAnsi="Times New Roman" w:cs="Times New Roman"/>
          <w:color w:val="000000" w:themeColor="text1"/>
        </w:rPr>
        <w:t xml:space="preserve"> La loi n° 12-06 elle-même ne mentionne pas les droits de l'homme parmi les domaines d'activité possibles à son article 2.</w:t>
      </w:r>
    </w:p>
    <w:p w14:paraId="5A9DD91D" w14:textId="3AD461AD" w:rsidR="00AE00F0" w:rsidRDefault="00AE00F0" w:rsidP="4992206A">
      <w:pPr>
        <w:spacing w:after="0"/>
        <w:ind w:left="708"/>
        <w:jc w:val="both"/>
        <w:rPr>
          <w:rFonts w:ascii="Times New Roman" w:eastAsia="Times New Roman" w:hAnsi="Times New Roman" w:cs="Times New Roman"/>
          <w:color w:val="000000" w:themeColor="text1"/>
        </w:rPr>
      </w:pPr>
    </w:p>
    <w:p w14:paraId="35910751" w14:textId="1020EBEC" w:rsidR="00AE00F0" w:rsidRPr="00AA67F2" w:rsidRDefault="078C11B4"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Au-delà des entraves administratives, les autorités algériennes ont recours à la criminalisation des activités associatives pacifiques pour réprimer les organisations de défense des droits humains. L'article 87 bis du Code pénal algérien, qui définit le terrorisme en des termes extrêmement larges incluant tout acte « susceptible de porter atteinte à la sûreté de l'État » ou au « fonctionnement normal des institutions », est régulièrement instrumentalisé contre des défenseurs des droits humains et des membres d'associations.</w:t>
      </w:r>
      <w:r w:rsidR="00AE00F0" w:rsidRPr="4992206A">
        <w:rPr>
          <w:rStyle w:val="Appelnotedebasdep"/>
          <w:rFonts w:ascii="Times New Roman" w:eastAsia="Times New Roman" w:hAnsi="Times New Roman" w:cs="Times New Roman"/>
          <w:color w:val="000000" w:themeColor="text1"/>
        </w:rPr>
        <w:footnoteReference w:id="13"/>
      </w:r>
      <w:r w:rsidRPr="00AA67F2">
        <w:rPr>
          <w:rFonts w:ascii="Times New Roman" w:eastAsia="Times New Roman" w:hAnsi="Times New Roman" w:cs="Times New Roman"/>
          <w:color w:val="000000" w:themeColor="text1"/>
        </w:rPr>
        <w:t xml:space="preserve"> Des accusations telles que « diffusion de fausses informations », « incitation à la haine » ou « atteinte à l'unité nationale » ont ainsi été utilisées à l'encontre d'acteurs associatifs documentant des violations. Ces incriminations au libellé vague et extensif produisent un puissant effet dissuasif sur l'ensemble de la société civile indépendante. </w:t>
      </w:r>
    </w:p>
    <w:p w14:paraId="15350686" w14:textId="06678ACC" w:rsidR="00AE00F0" w:rsidRDefault="00AE00F0" w:rsidP="4992206A">
      <w:pPr>
        <w:spacing w:after="0"/>
        <w:jc w:val="both"/>
        <w:rPr>
          <w:rFonts w:ascii="Times New Roman" w:eastAsia="Times New Roman" w:hAnsi="Times New Roman" w:cs="Times New Roman"/>
          <w:color w:val="000000" w:themeColor="text1"/>
        </w:rPr>
      </w:pPr>
    </w:p>
    <w:p w14:paraId="7AB26D31" w14:textId="37AA661F" w:rsidR="00AE00F0" w:rsidRPr="00AA67F2" w:rsidRDefault="5F52D397" w:rsidP="00AA67F2">
      <w:pPr>
        <w:spacing w:after="0"/>
        <w:jc w:val="both"/>
        <w:rPr>
          <w:rFonts w:ascii="Times New Roman" w:eastAsia="Times New Roman" w:hAnsi="Times New Roman" w:cs="Times New Roman"/>
          <w:color w:val="000000" w:themeColor="text1"/>
        </w:rPr>
      </w:pPr>
      <w:r w:rsidRPr="1622F273">
        <w:rPr>
          <w:rFonts w:ascii="Times New Roman" w:eastAsia="Times New Roman" w:hAnsi="Times New Roman" w:cs="Times New Roman"/>
          <w:color w:val="000000" w:themeColor="text1"/>
        </w:rPr>
        <w:t>Le paragraphe 10 du projet</w:t>
      </w:r>
      <w:r w:rsidR="7DD2BDCB" w:rsidRPr="1622F273">
        <w:rPr>
          <w:rFonts w:ascii="Times New Roman" w:eastAsia="Times New Roman" w:hAnsi="Times New Roman" w:cs="Times New Roman"/>
          <w:color w:val="000000" w:themeColor="text1"/>
        </w:rPr>
        <w:t xml:space="preserve"> d’Observa</w:t>
      </w:r>
      <w:r w:rsidR="3A42FFBC" w:rsidRPr="1622F273">
        <w:rPr>
          <w:rFonts w:ascii="Times New Roman" w:eastAsia="Times New Roman" w:hAnsi="Times New Roman" w:cs="Times New Roman"/>
          <w:color w:val="000000" w:themeColor="text1"/>
        </w:rPr>
        <w:t>tion Générale</w:t>
      </w:r>
      <w:r w:rsidRPr="1622F273">
        <w:rPr>
          <w:rFonts w:ascii="Times New Roman" w:eastAsia="Times New Roman" w:hAnsi="Times New Roman" w:cs="Times New Roman"/>
          <w:color w:val="000000" w:themeColor="text1"/>
        </w:rPr>
        <w:t xml:space="preserve"> rappelle que la liberté d'association couvre les activités portant sur des questions politiquement sensibles, ce qui implique que le traitement différencié des associations selon leur domaine constitue une restriction discriminatoire</w:t>
      </w:r>
      <w:r w:rsidR="7FCA07C5" w:rsidRPr="1622F273">
        <w:rPr>
          <w:rFonts w:ascii="Times New Roman" w:eastAsia="Times New Roman" w:hAnsi="Times New Roman" w:cs="Times New Roman"/>
          <w:color w:val="000000" w:themeColor="text1"/>
        </w:rPr>
        <w:t>,</w:t>
      </w:r>
      <w:r w:rsidRPr="1622F273">
        <w:rPr>
          <w:rFonts w:ascii="Times New Roman" w:eastAsia="Times New Roman" w:hAnsi="Times New Roman" w:cs="Times New Roman"/>
          <w:color w:val="000000" w:themeColor="text1"/>
        </w:rPr>
        <w:t xml:space="preserve"> mais cela mériterait d'être énoncé plus clairement.</w:t>
      </w:r>
    </w:p>
    <w:p w14:paraId="2D05A124" w14:textId="2CB34AC1" w:rsidR="00AE00F0" w:rsidRDefault="00AE00F0" w:rsidP="4992206A">
      <w:pPr>
        <w:spacing w:after="0"/>
        <w:jc w:val="both"/>
        <w:rPr>
          <w:rFonts w:ascii="Times New Roman" w:eastAsia="Times New Roman" w:hAnsi="Times New Roman" w:cs="Times New Roman"/>
          <w:color w:val="000000" w:themeColor="text1"/>
        </w:rPr>
      </w:pPr>
    </w:p>
    <w:p w14:paraId="60FC9360" w14:textId="77777777" w:rsidR="009D7A5D" w:rsidRDefault="009D7A5D" w:rsidP="4992206A">
      <w:pPr>
        <w:spacing w:after="0"/>
        <w:jc w:val="both"/>
        <w:rPr>
          <w:rFonts w:ascii="Times New Roman" w:eastAsia="Times New Roman" w:hAnsi="Times New Roman" w:cs="Times New Roman"/>
          <w:color w:val="000000" w:themeColor="text1"/>
        </w:rPr>
      </w:pPr>
    </w:p>
    <w:p w14:paraId="0B988E2A" w14:textId="7D52ECED" w:rsidR="00AE00F0" w:rsidRDefault="009D7A5D" w:rsidP="4992206A">
      <w:pPr>
        <w:spacing w:before="240" w:after="240"/>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lastRenderedPageBreak/>
        <w:t>F</w:t>
      </w:r>
      <w:r w:rsidR="0B50EB0F" w:rsidRPr="4992206A">
        <w:rPr>
          <w:rFonts w:ascii="Times New Roman" w:eastAsia="Times New Roman" w:hAnsi="Times New Roman" w:cs="Times New Roman"/>
          <w:b/>
          <w:bCs/>
          <w:color w:val="000000" w:themeColor="text1"/>
        </w:rPr>
        <w:t xml:space="preserve">. L'accès au recours préalable </w:t>
      </w:r>
    </w:p>
    <w:p w14:paraId="044FB10E" w14:textId="66CE7BAC" w:rsidR="00AE00F0" w:rsidRPr="00AA67F2" w:rsidRDefault="534D1220"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 xml:space="preserve">Les paragraphes 39 et 40 du projet </w:t>
      </w:r>
      <w:r w:rsidR="5983E6E8" w:rsidRPr="00AA67F2">
        <w:rPr>
          <w:rFonts w:ascii="Times New Roman" w:eastAsia="Times New Roman" w:hAnsi="Times New Roman" w:cs="Times New Roman"/>
          <w:color w:val="000000" w:themeColor="text1"/>
        </w:rPr>
        <w:t xml:space="preserve">d’observation générale </w:t>
      </w:r>
      <w:r w:rsidRPr="00AA67F2">
        <w:rPr>
          <w:rFonts w:ascii="Times New Roman" w:eastAsia="Times New Roman" w:hAnsi="Times New Roman" w:cs="Times New Roman"/>
          <w:color w:val="000000" w:themeColor="text1"/>
        </w:rPr>
        <w:t xml:space="preserve">rappellent l'importance des recours effectifs. Le CFDA souhaite attirer l'attention du Comité sur une lacune fréquente dans les situations documentées : l'absence de recours effectif préalable à la mise en œuvre de la mesure restrictive. </w:t>
      </w:r>
    </w:p>
    <w:p w14:paraId="353DA73A" w14:textId="51CF7863" w:rsidR="00AE00F0" w:rsidRDefault="00AE00F0" w:rsidP="4992206A">
      <w:pPr>
        <w:spacing w:after="0"/>
        <w:jc w:val="both"/>
        <w:rPr>
          <w:rFonts w:ascii="Times New Roman" w:eastAsia="Times New Roman" w:hAnsi="Times New Roman" w:cs="Times New Roman"/>
          <w:color w:val="000000" w:themeColor="text1"/>
        </w:rPr>
      </w:pPr>
    </w:p>
    <w:p w14:paraId="4250E91B" w14:textId="44A2F60C" w:rsidR="00AE00F0" w:rsidRPr="00AA67F2" w:rsidRDefault="0B50EB0F"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 xml:space="preserve">Dans le cas du refoulement de Nassera Dutour, </w:t>
      </w:r>
      <w:r w:rsidR="453D814C" w:rsidRPr="00AA67F2">
        <w:rPr>
          <w:rFonts w:ascii="Times New Roman" w:eastAsia="Times New Roman" w:hAnsi="Times New Roman" w:cs="Times New Roman"/>
          <w:color w:val="000000" w:themeColor="text1"/>
        </w:rPr>
        <w:t>un procès</w:t>
      </w:r>
      <w:r w:rsidRPr="00AA67F2">
        <w:rPr>
          <w:rFonts w:ascii="Times New Roman" w:eastAsia="Times New Roman" w:hAnsi="Times New Roman" w:cs="Times New Roman"/>
          <w:color w:val="000000" w:themeColor="text1"/>
        </w:rPr>
        <w:t>-verbal a été remis à bord de l'avion au moment du décollage, rendant tout recours préalable matériellement impossible. Dans le cas de la mise sous scellés de SOS Disparus, l'accès aux archives a été interrompu sur-le-champ. Dans les deux cas, la mesure a produit des effets irréversibles avant tout contrôle juridictionnel possible.</w:t>
      </w:r>
    </w:p>
    <w:p w14:paraId="4C0A894F" w14:textId="6621AD45" w:rsidR="00AE00F0" w:rsidRDefault="00AE00F0" w:rsidP="4992206A">
      <w:pPr>
        <w:spacing w:after="0"/>
        <w:jc w:val="both"/>
        <w:rPr>
          <w:rFonts w:ascii="Times New Roman" w:eastAsia="Times New Roman" w:hAnsi="Times New Roman" w:cs="Times New Roman"/>
          <w:color w:val="000000" w:themeColor="text1"/>
        </w:rPr>
      </w:pPr>
    </w:p>
    <w:p w14:paraId="323242D1" w14:textId="0C2FC6DD" w:rsidR="00AE00F0" w:rsidRDefault="0B50EB0F" w:rsidP="4992206A">
      <w:pPr>
        <w:spacing w:before="240" w:after="240"/>
        <w:jc w:val="both"/>
        <w:rPr>
          <w:rFonts w:ascii="Times New Roman" w:eastAsia="Times New Roman" w:hAnsi="Times New Roman" w:cs="Times New Roman"/>
          <w:b/>
          <w:bCs/>
          <w:color w:val="000000" w:themeColor="text1"/>
        </w:rPr>
      </w:pPr>
      <w:r w:rsidRPr="4992206A">
        <w:rPr>
          <w:rFonts w:ascii="Times New Roman" w:eastAsia="Times New Roman" w:hAnsi="Times New Roman" w:cs="Times New Roman"/>
          <w:b/>
          <w:bCs/>
          <w:color w:val="000000" w:themeColor="text1"/>
        </w:rPr>
        <w:t>IV. RECOMMANDATIONS</w:t>
      </w:r>
    </w:p>
    <w:p w14:paraId="6D9050C6" w14:textId="657ADEB0" w:rsidR="00AE00F0" w:rsidRPr="00AA67F2" w:rsidRDefault="731101E5"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color w:val="000000" w:themeColor="text1"/>
        </w:rPr>
        <w:t>Sur la base des violations documentées ci-dessus, le CFDA adresse au Comité les recommandations suivantes pour la deuxième lecture du projet d'Observation générale n° 38.</w:t>
      </w:r>
    </w:p>
    <w:p w14:paraId="3AF4BE9F" w14:textId="47852F9E" w:rsidR="00AE00F0" w:rsidRDefault="00AE00F0" w:rsidP="4992206A">
      <w:pPr>
        <w:spacing w:after="0"/>
        <w:jc w:val="both"/>
        <w:rPr>
          <w:rFonts w:ascii="Times New Roman" w:eastAsia="Times New Roman" w:hAnsi="Times New Roman" w:cs="Times New Roman"/>
          <w:color w:val="000000" w:themeColor="text1"/>
        </w:rPr>
      </w:pPr>
    </w:p>
    <w:p w14:paraId="0A4E268E" w14:textId="26751637" w:rsidR="00AE00F0" w:rsidRPr="00AA67F2" w:rsidRDefault="4D6D59F8" w:rsidP="00AA67F2">
      <w:pPr>
        <w:spacing w:after="0"/>
        <w:jc w:val="both"/>
        <w:rPr>
          <w:rFonts w:ascii="Times New Roman" w:eastAsia="Times New Roman" w:hAnsi="Times New Roman" w:cs="Times New Roman"/>
          <w:color w:val="000000" w:themeColor="text1"/>
        </w:rPr>
      </w:pPr>
      <w:r w:rsidRPr="1622F273">
        <w:rPr>
          <w:rFonts w:ascii="Times New Roman" w:eastAsia="Times New Roman" w:hAnsi="Times New Roman" w:cs="Times New Roman"/>
          <w:i/>
          <w:iCs/>
          <w:color w:val="000000" w:themeColor="text1"/>
        </w:rPr>
        <w:t xml:space="preserve">Sur le régime </w:t>
      </w:r>
      <w:r w:rsidR="21EE0A14" w:rsidRPr="1622F273">
        <w:rPr>
          <w:rFonts w:ascii="Times New Roman" w:eastAsia="Times New Roman" w:hAnsi="Times New Roman" w:cs="Times New Roman"/>
          <w:i/>
          <w:iCs/>
          <w:color w:val="000000" w:themeColor="text1"/>
        </w:rPr>
        <w:t>d'agrément :</w:t>
      </w:r>
      <w:r w:rsidRPr="1622F273">
        <w:rPr>
          <w:rFonts w:ascii="Times New Roman" w:eastAsia="Times New Roman" w:hAnsi="Times New Roman" w:cs="Times New Roman"/>
          <w:color w:val="000000" w:themeColor="text1"/>
        </w:rPr>
        <w:t xml:space="preserve"> Le CFDA suggère que </w:t>
      </w:r>
      <w:r w:rsidR="7627F06D" w:rsidRPr="1622F273">
        <w:rPr>
          <w:rFonts w:ascii="Times New Roman" w:eastAsia="Times New Roman" w:hAnsi="Times New Roman" w:cs="Times New Roman"/>
          <w:color w:val="000000" w:themeColor="text1"/>
        </w:rPr>
        <w:t xml:space="preserve">l’Observation </w:t>
      </w:r>
      <w:r w:rsidR="366B8DB7" w:rsidRPr="1622F273">
        <w:rPr>
          <w:rFonts w:ascii="Times New Roman" w:eastAsia="Times New Roman" w:hAnsi="Times New Roman" w:cs="Times New Roman"/>
          <w:color w:val="000000" w:themeColor="text1"/>
        </w:rPr>
        <w:t>générale précise</w:t>
      </w:r>
      <w:r w:rsidRPr="1622F273">
        <w:rPr>
          <w:rFonts w:ascii="Times New Roman" w:eastAsia="Times New Roman" w:hAnsi="Times New Roman" w:cs="Times New Roman"/>
          <w:color w:val="000000" w:themeColor="text1"/>
        </w:rPr>
        <w:t xml:space="preserve"> explicitement que les régimes d'agrément préalable discrétionnaire, sans contrôle juridictionnel effectif et indépendant, constituent en eux-mêmes une restriction contraire à l'article 22, indépendamment de leur application dans chaque cas particulier. Une réforme législative ne saurait se limiter à modifier les délais de délivrance des récépissés si elle maintient les pouvoirs de suspension administrative et la subordination des associations à des « constantes nationales » non définies. Les États parties devraient être invités à remplacer ces régimes par des systèmes de simple déclaration assortis d'un contrôle juridictionnel effectif en cas de refus.</w:t>
      </w:r>
    </w:p>
    <w:p w14:paraId="5FEA331E" w14:textId="68967CB3" w:rsidR="00AE00F0" w:rsidRDefault="00AE00F0" w:rsidP="4992206A">
      <w:pPr>
        <w:spacing w:after="0"/>
        <w:jc w:val="both"/>
        <w:rPr>
          <w:rFonts w:ascii="Times New Roman" w:eastAsia="Times New Roman" w:hAnsi="Times New Roman" w:cs="Times New Roman"/>
          <w:color w:val="000000" w:themeColor="text1"/>
        </w:rPr>
      </w:pPr>
    </w:p>
    <w:p w14:paraId="010C4817" w14:textId="3E177122" w:rsidR="00AA67F2" w:rsidRPr="00AA67F2" w:rsidRDefault="4D6D59F8" w:rsidP="1622F273">
      <w:pPr>
        <w:spacing w:after="0"/>
        <w:jc w:val="both"/>
        <w:rPr>
          <w:rFonts w:ascii="Times New Roman" w:eastAsia="Times New Roman" w:hAnsi="Times New Roman" w:cs="Times New Roman"/>
          <w:b/>
          <w:bCs/>
          <w:color w:val="EE0000"/>
        </w:rPr>
      </w:pPr>
      <w:r w:rsidRPr="1622F273">
        <w:rPr>
          <w:rFonts w:ascii="Times New Roman" w:eastAsia="Times New Roman" w:hAnsi="Times New Roman" w:cs="Times New Roman"/>
          <w:i/>
          <w:iCs/>
          <w:color w:val="000000" w:themeColor="text1"/>
        </w:rPr>
        <w:t>Sur les fermetures administratives et l'accès aux archives  :</w:t>
      </w:r>
      <w:r w:rsidRPr="1622F273">
        <w:rPr>
          <w:rFonts w:ascii="Times New Roman" w:eastAsia="Times New Roman" w:hAnsi="Times New Roman" w:cs="Times New Roman"/>
          <w:color w:val="000000" w:themeColor="text1"/>
        </w:rPr>
        <w:t xml:space="preserve"> Le CFDA recommande que </w:t>
      </w:r>
      <w:r w:rsidR="7627F06D" w:rsidRPr="1622F273">
        <w:rPr>
          <w:rFonts w:ascii="Times New Roman" w:eastAsia="Times New Roman" w:hAnsi="Times New Roman" w:cs="Times New Roman"/>
          <w:color w:val="000000" w:themeColor="text1"/>
        </w:rPr>
        <w:t xml:space="preserve">l’Observation générale </w:t>
      </w:r>
      <w:r w:rsidRPr="1622F273">
        <w:rPr>
          <w:rFonts w:ascii="Times New Roman" w:eastAsia="Times New Roman" w:hAnsi="Times New Roman" w:cs="Times New Roman"/>
          <w:color w:val="000000" w:themeColor="text1"/>
        </w:rPr>
        <w:t xml:space="preserve"> précise que toute mesure équivalant de facto à une dissolution ou à une suspension d'association</w:t>
      </w:r>
      <w:r w:rsidR="3A5F4376" w:rsidRPr="1622F273">
        <w:rPr>
          <w:rFonts w:ascii="Times New Roman" w:eastAsia="Times New Roman" w:hAnsi="Times New Roman" w:cs="Times New Roman"/>
          <w:color w:val="000000" w:themeColor="text1"/>
        </w:rPr>
        <w:t>,</w:t>
      </w:r>
      <w:r w:rsidRPr="1622F273">
        <w:rPr>
          <w:rFonts w:ascii="Times New Roman" w:eastAsia="Times New Roman" w:hAnsi="Times New Roman" w:cs="Times New Roman"/>
          <w:color w:val="000000" w:themeColor="text1"/>
        </w:rPr>
        <w:t xml:space="preserve"> y compris la mise sous scellés des locaux, la confiscation du matériel et l'interruption de l'accès aux archives</w:t>
      </w:r>
      <w:r w:rsidR="785858F4" w:rsidRPr="1622F273">
        <w:rPr>
          <w:rFonts w:ascii="Times New Roman" w:eastAsia="Times New Roman" w:hAnsi="Times New Roman" w:cs="Times New Roman"/>
          <w:color w:val="000000" w:themeColor="text1"/>
        </w:rPr>
        <w:t>,</w:t>
      </w:r>
      <w:r w:rsidRPr="1622F273">
        <w:rPr>
          <w:rFonts w:ascii="Times New Roman" w:eastAsia="Times New Roman" w:hAnsi="Times New Roman" w:cs="Times New Roman"/>
          <w:color w:val="000000" w:themeColor="text1"/>
        </w:rPr>
        <w:t xml:space="preserve"> doit être soumise aux mêmes garanties procédurales qu'une dissolution formelle : décision judiciaire motivée, procédure contradictoire préalable et accès effectif à un recours suspensif.</w:t>
      </w:r>
      <w:r w:rsidR="174DA3C7" w:rsidRPr="1622F273">
        <w:rPr>
          <w:rFonts w:ascii="Times New Roman" w:eastAsia="Times New Roman" w:hAnsi="Times New Roman" w:cs="Times New Roman"/>
          <w:color w:val="000000" w:themeColor="text1"/>
        </w:rPr>
        <w:t xml:space="preserve"> </w:t>
      </w:r>
    </w:p>
    <w:p w14:paraId="6EC6FFFF" w14:textId="4F364464" w:rsidR="00AE00F0" w:rsidRPr="00AA67F2" w:rsidRDefault="00AE00F0" w:rsidP="00AA67F2">
      <w:pPr>
        <w:spacing w:after="0"/>
        <w:ind w:left="360"/>
        <w:jc w:val="both"/>
        <w:rPr>
          <w:rFonts w:ascii="Times New Roman" w:eastAsia="Times New Roman" w:hAnsi="Times New Roman" w:cs="Times New Roman"/>
          <w:color w:val="000000" w:themeColor="text1"/>
        </w:rPr>
      </w:pPr>
    </w:p>
    <w:p w14:paraId="18975D02" w14:textId="37FE86AC" w:rsidR="00AE00F0" w:rsidRPr="00AA67F2" w:rsidRDefault="731101E5"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i/>
          <w:iCs/>
          <w:color w:val="000000" w:themeColor="text1"/>
        </w:rPr>
        <w:t>Sur l'accès aux ressources et le financement  :</w:t>
      </w:r>
      <w:r w:rsidRPr="00AA67F2">
        <w:rPr>
          <w:rFonts w:ascii="Times New Roman" w:eastAsia="Times New Roman" w:hAnsi="Times New Roman" w:cs="Times New Roman"/>
          <w:color w:val="000000" w:themeColor="text1"/>
        </w:rPr>
        <w:t xml:space="preserve"> Le CFDA recommande que </w:t>
      </w:r>
      <w:r w:rsidR="00F4022B" w:rsidRPr="00AA67F2">
        <w:rPr>
          <w:rFonts w:ascii="Times New Roman" w:eastAsia="Times New Roman" w:hAnsi="Times New Roman" w:cs="Times New Roman"/>
          <w:color w:val="000000" w:themeColor="text1"/>
        </w:rPr>
        <w:t>l’Observation générale</w:t>
      </w:r>
      <w:r w:rsidRPr="00AA67F2">
        <w:rPr>
          <w:rFonts w:ascii="Times New Roman" w:eastAsia="Times New Roman" w:hAnsi="Times New Roman" w:cs="Times New Roman"/>
          <w:color w:val="000000" w:themeColor="text1"/>
        </w:rPr>
        <w:t xml:space="preserve"> affirme que les États parties doivent garantir la liberté de solliciter et recevoir des ressources domestiques et étrangères sans autorisation préalable systématique, que les refus doivent être exceptionnels, motivés judiciairement sur la base d'éléments objectifs et proportionnés, et que les campagnes officielles de stigmatisation des associations en raison de leurs sources de financement constituent une atteinte à l'article 22(1) engageant la responsabilité de l'État au titre de ses obligations positives découlant de l'article 2(1) du PIDCP.</w:t>
      </w:r>
    </w:p>
    <w:p w14:paraId="1B7F0679" w14:textId="4E26296A" w:rsidR="00AE00F0" w:rsidRDefault="00AE00F0" w:rsidP="4992206A">
      <w:pPr>
        <w:spacing w:after="0"/>
        <w:jc w:val="both"/>
        <w:rPr>
          <w:rFonts w:ascii="Times New Roman" w:eastAsia="Times New Roman" w:hAnsi="Times New Roman" w:cs="Times New Roman"/>
          <w:color w:val="000000" w:themeColor="text1"/>
        </w:rPr>
      </w:pPr>
    </w:p>
    <w:p w14:paraId="52ABD37A" w14:textId="3C4862B6" w:rsidR="00AE00F0" w:rsidRPr="00AA67F2" w:rsidRDefault="731101E5"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i/>
          <w:iCs/>
          <w:color w:val="000000" w:themeColor="text1"/>
        </w:rPr>
        <w:lastRenderedPageBreak/>
        <w:t xml:space="preserve">Sur le harcèlement des défenseures </w:t>
      </w:r>
      <w:r w:rsidR="55E40D3E" w:rsidRPr="00AA67F2">
        <w:rPr>
          <w:rFonts w:ascii="Times New Roman" w:eastAsia="Times New Roman" w:hAnsi="Times New Roman" w:cs="Times New Roman"/>
          <w:i/>
          <w:iCs/>
          <w:color w:val="000000" w:themeColor="text1"/>
        </w:rPr>
        <w:t>des droits de l’homme</w:t>
      </w:r>
      <w:r w:rsidRPr="00AA67F2">
        <w:rPr>
          <w:rFonts w:ascii="Times New Roman" w:eastAsia="Times New Roman" w:hAnsi="Times New Roman" w:cs="Times New Roman"/>
          <w:i/>
          <w:iCs/>
          <w:color w:val="000000" w:themeColor="text1"/>
        </w:rPr>
        <w:t xml:space="preserve"> :</w:t>
      </w:r>
      <w:r w:rsidRPr="00AA67F2">
        <w:rPr>
          <w:rFonts w:ascii="Times New Roman" w:eastAsia="Times New Roman" w:hAnsi="Times New Roman" w:cs="Times New Roman"/>
          <w:color w:val="000000" w:themeColor="text1"/>
        </w:rPr>
        <w:t xml:space="preserve"> Le CFDA suggère que le </w:t>
      </w:r>
      <w:r w:rsidR="00930803" w:rsidRPr="00AA67F2">
        <w:rPr>
          <w:rFonts w:ascii="Times New Roman" w:eastAsia="Times New Roman" w:hAnsi="Times New Roman" w:cs="Times New Roman"/>
          <w:color w:val="000000" w:themeColor="text1"/>
        </w:rPr>
        <w:t xml:space="preserve">l’Observation </w:t>
      </w:r>
      <w:r w:rsidRPr="00AA67F2">
        <w:rPr>
          <w:rFonts w:ascii="Times New Roman" w:eastAsia="Times New Roman" w:hAnsi="Times New Roman" w:cs="Times New Roman"/>
          <w:color w:val="000000" w:themeColor="text1"/>
        </w:rPr>
        <w:t>général</w:t>
      </w:r>
      <w:r w:rsidR="00930803" w:rsidRPr="00AA67F2">
        <w:rPr>
          <w:rFonts w:ascii="Times New Roman" w:eastAsia="Times New Roman" w:hAnsi="Times New Roman" w:cs="Times New Roman"/>
          <w:color w:val="000000" w:themeColor="text1"/>
        </w:rPr>
        <w:t>e</w:t>
      </w:r>
      <w:r w:rsidRPr="00AA67F2">
        <w:rPr>
          <w:rFonts w:ascii="Times New Roman" w:eastAsia="Times New Roman" w:hAnsi="Times New Roman" w:cs="Times New Roman"/>
          <w:color w:val="000000" w:themeColor="text1"/>
        </w:rPr>
        <w:t xml:space="preserve"> renforce la prise en compte de l'impact spécifique des restrictions à la liberté d'association sur les femmes défenseures des droits humains, en précisant que leur ciblage en raison de leurs activités pacifiques</w:t>
      </w:r>
      <w:r w:rsidR="5CEEE762" w:rsidRPr="00AA67F2">
        <w:rPr>
          <w:rFonts w:ascii="Times New Roman" w:eastAsia="Times New Roman" w:hAnsi="Times New Roman" w:cs="Times New Roman"/>
          <w:color w:val="000000" w:themeColor="text1"/>
        </w:rPr>
        <w:t xml:space="preserve">, </w:t>
      </w:r>
      <w:r w:rsidRPr="00AA67F2">
        <w:rPr>
          <w:rFonts w:ascii="Times New Roman" w:eastAsia="Times New Roman" w:hAnsi="Times New Roman" w:cs="Times New Roman"/>
          <w:color w:val="000000" w:themeColor="text1"/>
        </w:rPr>
        <w:t>y compris l'interdiction</w:t>
      </w:r>
      <w:r w:rsidR="00AA67F2" w:rsidRPr="00AA67F2">
        <w:rPr>
          <w:rFonts w:ascii="Times New Roman" w:eastAsia="Times New Roman" w:hAnsi="Times New Roman" w:cs="Times New Roman"/>
          <w:color w:val="000000" w:themeColor="text1"/>
        </w:rPr>
        <w:t xml:space="preserve">  </w:t>
      </w:r>
      <w:r w:rsidRPr="00AA67F2">
        <w:rPr>
          <w:rFonts w:ascii="Times New Roman" w:eastAsia="Times New Roman" w:hAnsi="Times New Roman" w:cs="Times New Roman"/>
          <w:color w:val="000000" w:themeColor="text1"/>
        </w:rPr>
        <w:t>de rassemblements sans base légale et les arrestations arbitraires</w:t>
      </w:r>
      <w:r w:rsidR="16B219BA" w:rsidRPr="00AA67F2">
        <w:rPr>
          <w:rFonts w:ascii="Times New Roman" w:eastAsia="Times New Roman" w:hAnsi="Times New Roman" w:cs="Times New Roman"/>
          <w:color w:val="000000" w:themeColor="text1"/>
        </w:rPr>
        <w:t>,</w:t>
      </w:r>
      <w:r w:rsidRPr="00AA67F2">
        <w:rPr>
          <w:rFonts w:ascii="Times New Roman" w:eastAsia="Times New Roman" w:hAnsi="Times New Roman" w:cs="Times New Roman"/>
          <w:color w:val="000000" w:themeColor="text1"/>
        </w:rPr>
        <w:t xml:space="preserve"> constitue une discrimination contraire à l'article 22 lu conjointement avec l'article 26 du Pacte, et une violation conjointe de l'article 21.</w:t>
      </w:r>
    </w:p>
    <w:p w14:paraId="077D642E" w14:textId="6FDEA82E" w:rsidR="00AE00F0" w:rsidRDefault="00AE00F0" w:rsidP="4992206A">
      <w:pPr>
        <w:spacing w:after="0"/>
        <w:jc w:val="both"/>
        <w:rPr>
          <w:rFonts w:ascii="Times New Roman" w:eastAsia="Times New Roman" w:hAnsi="Times New Roman" w:cs="Times New Roman"/>
          <w:color w:val="000000" w:themeColor="text1"/>
        </w:rPr>
      </w:pPr>
    </w:p>
    <w:p w14:paraId="122AC819" w14:textId="7AE1C596" w:rsidR="00AE00F0" w:rsidRPr="00AA67F2" w:rsidRDefault="731101E5"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i/>
          <w:iCs/>
          <w:color w:val="000000" w:themeColor="text1"/>
        </w:rPr>
        <w:t>Sur la répression numérique :</w:t>
      </w:r>
      <w:r w:rsidRPr="00AA67F2">
        <w:rPr>
          <w:rFonts w:ascii="Times New Roman" w:eastAsia="Times New Roman" w:hAnsi="Times New Roman" w:cs="Times New Roman"/>
          <w:color w:val="000000" w:themeColor="text1"/>
        </w:rPr>
        <w:t xml:space="preserve"> Le CFDA suggère que </w:t>
      </w:r>
      <w:r w:rsidR="00F4022B" w:rsidRPr="00AA67F2">
        <w:rPr>
          <w:rFonts w:ascii="Times New Roman" w:eastAsia="Times New Roman" w:hAnsi="Times New Roman" w:cs="Times New Roman"/>
          <w:color w:val="000000" w:themeColor="text1"/>
        </w:rPr>
        <w:t xml:space="preserve">l’Observation générale </w:t>
      </w:r>
      <w:r w:rsidRPr="00AA67F2">
        <w:rPr>
          <w:rFonts w:ascii="Times New Roman" w:eastAsia="Times New Roman" w:hAnsi="Times New Roman" w:cs="Times New Roman"/>
          <w:color w:val="000000" w:themeColor="text1"/>
        </w:rPr>
        <w:t xml:space="preserve"> précise que l'inaccessibilité géographiquement ciblée des ressources numériques d'une association</w:t>
      </w:r>
      <w:r w:rsidR="6B454FDD" w:rsidRPr="00AA67F2">
        <w:rPr>
          <w:rFonts w:ascii="Times New Roman" w:eastAsia="Times New Roman" w:hAnsi="Times New Roman" w:cs="Times New Roman"/>
          <w:color w:val="000000" w:themeColor="text1"/>
        </w:rPr>
        <w:t>,</w:t>
      </w:r>
      <w:r w:rsidRPr="00AA67F2">
        <w:rPr>
          <w:rFonts w:ascii="Times New Roman" w:eastAsia="Times New Roman" w:hAnsi="Times New Roman" w:cs="Times New Roman"/>
          <w:color w:val="000000" w:themeColor="text1"/>
        </w:rPr>
        <w:t xml:space="preserve"> qu'elle résulte d'une décision étatique directe, d'un piratage toléré par les autorités ou d'un blocage technique constitue une restriction à la liberté d'association au sens de l'article 22, soumise aux mêmes conditions de légalité, légitimité, nécessité et proportionnalité que toute autre restriction.</w:t>
      </w:r>
    </w:p>
    <w:p w14:paraId="62B2AB5A" w14:textId="33B1A4D2" w:rsidR="00AE00F0" w:rsidRDefault="00AE00F0" w:rsidP="4992206A">
      <w:pPr>
        <w:spacing w:after="0"/>
        <w:jc w:val="both"/>
        <w:rPr>
          <w:rFonts w:ascii="Times New Roman" w:eastAsia="Times New Roman" w:hAnsi="Times New Roman" w:cs="Times New Roman"/>
          <w:color w:val="000000" w:themeColor="text1"/>
        </w:rPr>
      </w:pPr>
    </w:p>
    <w:p w14:paraId="44CE7726" w14:textId="01FDE724" w:rsidR="00AE00F0" w:rsidRPr="00AA67F2" w:rsidRDefault="731101E5"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i/>
          <w:iCs/>
          <w:color w:val="000000" w:themeColor="text1"/>
        </w:rPr>
        <w:t>Sur le refoulement à la frontière et la répression transnationale inverse :</w:t>
      </w:r>
      <w:r w:rsidRPr="00AA67F2">
        <w:rPr>
          <w:rFonts w:ascii="Times New Roman" w:eastAsia="Times New Roman" w:hAnsi="Times New Roman" w:cs="Times New Roman"/>
          <w:color w:val="000000" w:themeColor="text1"/>
        </w:rPr>
        <w:t xml:space="preserve"> Le CFDA recommande que </w:t>
      </w:r>
      <w:r w:rsidR="00F4022B" w:rsidRPr="00AA67F2">
        <w:rPr>
          <w:rFonts w:ascii="Times New Roman" w:eastAsia="Times New Roman" w:hAnsi="Times New Roman" w:cs="Times New Roman"/>
          <w:color w:val="000000" w:themeColor="text1"/>
        </w:rPr>
        <w:t xml:space="preserve">l’Observation générale </w:t>
      </w:r>
      <w:r w:rsidRPr="00AA67F2">
        <w:rPr>
          <w:rFonts w:ascii="Times New Roman" w:eastAsia="Times New Roman" w:hAnsi="Times New Roman" w:cs="Times New Roman"/>
          <w:color w:val="000000" w:themeColor="text1"/>
        </w:rPr>
        <w:t xml:space="preserve"> précise explicitement que le refoulement d'un ressortissant à la frontière de son propre pays, fondé sur son appartenance à une association légalement constituée ou sur ses activités de défenseur des droits humains, constitue une violation de l'article 22</w:t>
      </w:r>
      <w:r w:rsidR="46EB5808" w:rsidRPr="00AA67F2">
        <w:rPr>
          <w:rFonts w:ascii="Times New Roman" w:eastAsia="Times New Roman" w:hAnsi="Times New Roman" w:cs="Times New Roman"/>
          <w:color w:val="000000" w:themeColor="text1"/>
        </w:rPr>
        <w:t xml:space="preserve">, </w:t>
      </w:r>
      <w:r w:rsidRPr="00AA67F2">
        <w:rPr>
          <w:rFonts w:ascii="Times New Roman" w:eastAsia="Times New Roman" w:hAnsi="Times New Roman" w:cs="Times New Roman"/>
          <w:color w:val="000000" w:themeColor="text1"/>
        </w:rPr>
        <w:t xml:space="preserve"> cette forme de restriction n'est pas encore explicitement visée par le texte actuel du paragraphe 30, bien que son effet soit identique à une interdiction de voyage. Le Commentaire devrait également préciser que les obligations des États parties couvrent les mesures qui empêchent des membres d'associations légalement constituées à l'étranger d'exercer leurs activités sur le territoire national.</w:t>
      </w:r>
    </w:p>
    <w:p w14:paraId="345BD070" w14:textId="5874C1D5" w:rsidR="00AE00F0" w:rsidRDefault="00AE00F0" w:rsidP="4992206A">
      <w:pPr>
        <w:spacing w:after="0"/>
        <w:jc w:val="both"/>
        <w:rPr>
          <w:rFonts w:ascii="Times New Roman" w:eastAsia="Times New Roman" w:hAnsi="Times New Roman" w:cs="Times New Roman"/>
          <w:color w:val="000000" w:themeColor="text1"/>
        </w:rPr>
      </w:pPr>
    </w:p>
    <w:p w14:paraId="00BBE507" w14:textId="33FB4C2A" w:rsidR="00AE00F0" w:rsidRDefault="731101E5"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i/>
          <w:iCs/>
          <w:color w:val="000000" w:themeColor="text1"/>
        </w:rPr>
        <w:t>Sur le ciblage sectoriel des associations de droits humains :</w:t>
      </w:r>
      <w:r w:rsidRPr="00AA67F2">
        <w:rPr>
          <w:rFonts w:ascii="Times New Roman" w:eastAsia="Times New Roman" w:hAnsi="Times New Roman" w:cs="Times New Roman"/>
          <w:color w:val="000000" w:themeColor="text1"/>
        </w:rPr>
        <w:t xml:space="preserve"> Le CFDA recommande que </w:t>
      </w:r>
      <w:r w:rsidR="00F4022B" w:rsidRPr="00AA67F2">
        <w:rPr>
          <w:rFonts w:ascii="Times New Roman" w:eastAsia="Times New Roman" w:hAnsi="Times New Roman" w:cs="Times New Roman"/>
          <w:color w:val="000000" w:themeColor="text1"/>
        </w:rPr>
        <w:t xml:space="preserve">l’Observation générale </w:t>
      </w:r>
      <w:r w:rsidRPr="00AA67F2">
        <w:rPr>
          <w:rFonts w:ascii="Times New Roman" w:eastAsia="Times New Roman" w:hAnsi="Times New Roman" w:cs="Times New Roman"/>
          <w:color w:val="000000" w:themeColor="text1"/>
        </w:rPr>
        <w:t xml:space="preserve"> précise explicitement que le traitement différencié des associations selon leur domaine d'activité constitue une restriction discriminatoire contraire à l'article 22 lu conjointement avec l'article 26 du Pacte. L</w:t>
      </w:r>
      <w:r w:rsidR="00F4022B" w:rsidRPr="00AA67F2">
        <w:rPr>
          <w:rFonts w:ascii="Times New Roman" w:eastAsia="Times New Roman" w:hAnsi="Times New Roman" w:cs="Times New Roman"/>
          <w:color w:val="000000" w:themeColor="text1"/>
        </w:rPr>
        <w:t>’Observation générale</w:t>
      </w:r>
      <w:r w:rsidRPr="00AA67F2">
        <w:rPr>
          <w:rFonts w:ascii="Times New Roman" w:eastAsia="Times New Roman" w:hAnsi="Times New Roman" w:cs="Times New Roman"/>
          <w:color w:val="000000" w:themeColor="text1"/>
        </w:rPr>
        <w:t xml:space="preserve"> devrait à cet égard rappeler que la liberté d'association couvre pleinement les activités portant sur des questions politiquement sensibles, et que l'absence des droits de l'homme parmi les objets associatifs reconnus par la législation nationale constitue en soi un signal d'incompatibilité avec l'article 22.</w:t>
      </w:r>
    </w:p>
    <w:p w14:paraId="1B054D51" w14:textId="77777777" w:rsidR="003336B4" w:rsidRDefault="003336B4" w:rsidP="00AA67F2">
      <w:pPr>
        <w:spacing w:after="0"/>
        <w:jc w:val="both"/>
        <w:rPr>
          <w:rFonts w:ascii="Times New Roman" w:eastAsia="Times New Roman" w:hAnsi="Times New Roman" w:cs="Times New Roman"/>
          <w:color w:val="000000" w:themeColor="text1"/>
        </w:rPr>
      </w:pPr>
    </w:p>
    <w:p w14:paraId="20752E03" w14:textId="70E736F3" w:rsidR="00AE00F0" w:rsidRPr="00AA67F2" w:rsidRDefault="731101E5"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i/>
          <w:iCs/>
          <w:color w:val="000000" w:themeColor="text1"/>
        </w:rPr>
        <w:t>Sur l'effet cumulatif des mesures restrictives :</w:t>
      </w:r>
      <w:r w:rsidRPr="00AA67F2">
        <w:rPr>
          <w:rFonts w:ascii="Times New Roman" w:eastAsia="Times New Roman" w:hAnsi="Times New Roman" w:cs="Times New Roman"/>
          <w:color w:val="000000" w:themeColor="text1"/>
        </w:rPr>
        <w:t xml:space="preserve"> Le CFDA recommande que </w:t>
      </w:r>
      <w:r w:rsidR="00F4022B" w:rsidRPr="00AA67F2">
        <w:rPr>
          <w:rFonts w:ascii="Times New Roman" w:eastAsia="Times New Roman" w:hAnsi="Times New Roman" w:cs="Times New Roman"/>
          <w:color w:val="000000" w:themeColor="text1"/>
        </w:rPr>
        <w:t xml:space="preserve">l’Observation générale </w:t>
      </w:r>
      <w:r w:rsidRPr="00AA67F2">
        <w:rPr>
          <w:rFonts w:ascii="Times New Roman" w:eastAsia="Times New Roman" w:hAnsi="Times New Roman" w:cs="Times New Roman"/>
          <w:color w:val="000000" w:themeColor="text1"/>
        </w:rPr>
        <w:t xml:space="preserve"> illustre le principe de l'évaluation globale et cumulative par des exemples concrets de combinaisons de mesures</w:t>
      </w:r>
      <w:r w:rsidR="620F1116" w:rsidRPr="00AA67F2">
        <w:rPr>
          <w:rFonts w:ascii="Times New Roman" w:eastAsia="Times New Roman" w:hAnsi="Times New Roman" w:cs="Times New Roman"/>
          <w:color w:val="000000" w:themeColor="text1"/>
        </w:rPr>
        <w:t xml:space="preserve"> </w:t>
      </w:r>
      <w:r w:rsidRPr="00AA67F2">
        <w:rPr>
          <w:rFonts w:ascii="Times New Roman" w:eastAsia="Times New Roman" w:hAnsi="Times New Roman" w:cs="Times New Roman"/>
          <w:color w:val="000000" w:themeColor="text1"/>
        </w:rPr>
        <w:t>administratives, financières, physiques et numériques susceptibles de constituer un schéma répressif systémique, même lorsque chaque mesure prise isolément ne paraît pas déterminante.</w:t>
      </w:r>
    </w:p>
    <w:p w14:paraId="60AA0791" w14:textId="0B8A9CD1" w:rsidR="00AE00F0" w:rsidRDefault="00AE00F0" w:rsidP="4992206A">
      <w:pPr>
        <w:spacing w:after="0"/>
        <w:jc w:val="both"/>
        <w:rPr>
          <w:rFonts w:ascii="Times New Roman" w:eastAsia="Times New Roman" w:hAnsi="Times New Roman" w:cs="Times New Roman"/>
          <w:color w:val="000000" w:themeColor="text1"/>
        </w:rPr>
      </w:pPr>
    </w:p>
    <w:p w14:paraId="3BFEFB25" w14:textId="703F7628" w:rsidR="00AE00F0" w:rsidRPr="00AA67F2" w:rsidRDefault="731101E5" w:rsidP="00AA67F2">
      <w:pPr>
        <w:spacing w:after="0"/>
        <w:jc w:val="both"/>
        <w:rPr>
          <w:rFonts w:ascii="Times New Roman" w:eastAsia="Times New Roman" w:hAnsi="Times New Roman" w:cs="Times New Roman"/>
          <w:color w:val="000000" w:themeColor="text1"/>
        </w:rPr>
      </w:pPr>
      <w:r w:rsidRPr="00AA67F2">
        <w:rPr>
          <w:rFonts w:ascii="Times New Roman" w:eastAsia="Times New Roman" w:hAnsi="Times New Roman" w:cs="Times New Roman"/>
          <w:i/>
          <w:iCs/>
          <w:color w:val="000000" w:themeColor="text1"/>
        </w:rPr>
        <w:t>Sur l'accès au recours préalable :</w:t>
      </w:r>
      <w:r w:rsidRPr="00AA67F2">
        <w:rPr>
          <w:rFonts w:ascii="Times New Roman" w:eastAsia="Times New Roman" w:hAnsi="Times New Roman" w:cs="Times New Roman"/>
          <w:color w:val="000000" w:themeColor="text1"/>
        </w:rPr>
        <w:t xml:space="preserve"> Le CFDA recommande que </w:t>
      </w:r>
      <w:r w:rsidR="00F4022B" w:rsidRPr="00AA67F2">
        <w:rPr>
          <w:rFonts w:ascii="Times New Roman" w:eastAsia="Times New Roman" w:hAnsi="Times New Roman" w:cs="Times New Roman"/>
          <w:color w:val="000000" w:themeColor="text1"/>
        </w:rPr>
        <w:t xml:space="preserve">l’Observation générale </w:t>
      </w:r>
      <w:r w:rsidRPr="00AA67F2">
        <w:rPr>
          <w:rFonts w:ascii="Times New Roman" w:eastAsia="Times New Roman" w:hAnsi="Times New Roman" w:cs="Times New Roman"/>
          <w:color w:val="000000" w:themeColor="text1"/>
        </w:rPr>
        <w:t xml:space="preserve"> précise que l'accès à un recours effectif, au sens de l'article 2(3) du Pacte, implique</w:t>
      </w:r>
      <w:r w:rsidR="5CA4B3F5" w:rsidRPr="00AA67F2">
        <w:rPr>
          <w:rFonts w:ascii="Times New Roman" w:eastAsia="Times New Roman" w:hAnsi="Times New Roman" w:cs="Times New Roman"/>
          <w:color w:val="000000" w:themeColor="text1"/>
        </w:rPr>
        <w:t xml:space="preserve">, </w:t>
      </w:r>
      <w:r w:rsidRPr="00AA67F2">
        <w:rPr>
          <w:rFonts w:ascii="Times New Roman" w:eastAsia="Times New Roman" w:hAnsi="Times New Roman" w:cs="Times New Roman"/>
          <w:color w:val="000000" w:themeColor="text1"/>
        </w:rPr>
        <w:t xml:space="preserve">pour les mesures restrictives susceptibles de produire des effets immédiats et irréversibles sur l'exercice de la liberté d'association la possibilité concrète de contester la mesure avant qu'elle ne produise ces </w:t>
      </w:r>
      <w:r w:rsidRPr="00AA67F2">
        <w:rPr>
          <w:rFonts w:ascii="Times New Roman" w:eastAsia="Times New Roman" w:hAnsi="Times New Roman" w:cs="Times New Roman"/>
          <w:color w:val="000000" w:themeColor="text1"/>
        </w:rPr>
        <w:lastRenderedPageBreak/>
        <w:t>effets, ou à tout le moins l'obligation pour l'État de prévoir un mécanisme de réparation intégrale et rapide.</w:t>
      </w:r>
    </w:p>
    <w:sectPr w:rsidR="00AE00F0" w:rsidRPr="00AA67F2">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4D9E3" w14:textId="77777777" w:rsidR="00442572" w:rsidRDefault="00442572">
      <w:pPr>
        <w:spacing w:after="0" w:line="240" w:lineRule="auto"/>
      </w:pPr>
      <w:r>
        <w:separator/>
      </w:r>
    </w:p>
  </w:endnote>
  <w:endnote w:type="continuationSeparator" w:id="0">
    <w:p w14:paraId="0707DEF1" w14:textId="77777777" w:rsidR="00442572" w:rsidRDefault="00442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992206A" w14:paraId="099DE80E" w14:textId="77777777" w:rsidTr="4992206A">
      <w:trPr>
        <w:trHeight w:val="300"/>
      </w:trPr>
      <w:tc>
        <w:tcPr>
          <w:tcW w:w="3005" w:type="dxa"/>
        </w:tcPr>
        <w:p w14:paraId="029D7088" w14:textId="44A9FA1B" w:rsidR="4992206A" w:rsidRDefault="4992206A" w:rsidP="4992206A">
          <w:pPr>
            <w:pStyle w:val="En-tte"/>
            <w:ind w:left="-115"/>
          </w:pPr>
        </w:p>
      </w:tc>
      <w:tc>
        <w:tcPr>
          <w:tcW w:w="3005" w:type="dxa"/>
        </w:tcPr>
        <w:p w14:paraId="1F665AF9" w14:textId="0CA53BE9" w:rsidR="4992206A" w:rsidRDefault="4992206A" w:rsidP="4992206A">
          <w:pPr>
            <w:pStyle w:val="En-tte"/>
            <w:jc w:val="center"/>
          </w:pPr>
        </w:p>
      </w:tc>
      <w:tc>
        <w:tcPr>
          <w:tcW w:w="3005" w:type="dxa"/>
        </w:tcPr>
        <w:p w14:paraId="56EE8A0A" w14:textId="4209EB28" w:rsidR="4992206A" w:rsidRDefault="4992206A" w:rsidP="4992206A">
          <w:pPr>
            <w:pStyle w:val="En-tte"/>
            <w:ind w:right="-115"/>
            <w:jc w:val="right"/>
          </w:pPr>
        </w:p>
      </w:tc>
    </w:tr>
  </w:tbl>
  <w:p w14:paraId="3204D793" w14:textId="7BEF04EE" w:rsidR="4992206A" w:rsidRDefault="4992206A" w:rsidP="4992206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311A1" w14:textId="77777777" w:rsidR="00442572" w:rsidRDefault="00442572">
      <w:pPr>
        <w:spacing w:after="0" w:line="240" w:lineRule="auto"/>
      </w:pPr>
      <w:r>
        <w:separator/>
      </w:r>
    </w:p>
  </w:footnote>
  <w:footnote w:type="continuationSeparator" w:id="0">
    <w:p w14:paraId="7D8A818A" w14:textId="77777777" w:rsidR="00442572" w:rsidRDefault="00442572">
      <w:pPr>
        <w:spacing w:after="0" w:line="240" w:lineRule="auto"/>
      </w:pPr>
      <w:r>
        <w:continuationSeparator/>
      </w:r>
    </w:p>
  </w:footnote>
  <w:footnote w:id="1">
    <w:p w14:paraId="07167381" w14:textId="2D382D1D" w:rsidR="4992206A" w:rsidRPr="00F4022B" w:rsidRDefault="4992206A" w:rsidP="7489F588">
      <w:pPr>
        <w:pStyle w:val="Notedebasdepage"/>
        <w:rPr>
          <w:rFonts w:ascii="Times New Roman" w:eastAsia="Times New Roman" w:hAnsi="Times New Roman" w:cs="Times New Roman"/>
          <w:color w:val="000000" w:themeColor="text1"/>
          <w:sz w:val="16"/>
          <w:szCs w:val="16"/>
        </w:rPr>
      </w:pPr>
      <w:r w:rsidRPr="00F4022B">
        <w:rPr>
          <w:rStyle w:val="Appelnotedebasdep"/>
          <w:rFonts w:ascii="Times New Roman" w:eastAsia="Times New Roman" w:hAnsi="Times New Roman" w:cs="Times New Roman"/>
          <w:sz w:val="16"/>
          <w:szCs w:val="16"/>
        </w:rPr>
        <w:footnoteRef/>
      </w:r>
      <w:r w:rsidR="7489F588" w:rsidRPr="00F4022B">
        <w:rPr>
          <w:rFonts w:ascii="Times New Roman" w:eastAsia="Times New Roman" w:hAnsi="Times New Roman" w:cs="Times New Roman"/>
          <w:sz w:val="16"/>
          <w:szCs w:val="16"/>
        </w:rPr>
        <w:t xml:space="preserve"> </w:t>
      </w:r>
      <w:r w:rsidR="7489F588" w:rsidRPr="00F4022B">
        <w:rPr>
          <w:rFonts w:ascii="Times New Roman" w:eastAsia="Times New Roman" w:hAnsi="Times New Roman" w:cs="Times New Roman"/>
          <w:color w:val="000000" w:themeColor="text1"/>
          <w:sz w:val="16"/>
          <w:szCs w:val="16"/>
        </w:rPr>
        <w:t xml:space="preserve">CFDA. (2015). </w:t>
      </w:r>
      <w:r w:rsidR="7489F588" w:rsidRPr="00F4022B">
        <w:rPr>
          <w:rFonts w:ascii="Times New Roman" w:eastAsia="Times New Roman" w:hAnsi="Times New Roman" w:cs="Times New Roman"/>
          <w:i/>
          <w:iCs/>
          <w:color w:val="000000" w:themeColor="text1"/>
          <w:sz w:val="16"/>
          <w:szCs w:val="16"/>
        </w:rPr>
        <w:t>Algérie : la lente asphyxie des associations — Étude sur l'application de la loi n° 12-06 du 12 janvier 2012 relative aux associations.</w:t>
      </w:r>
    </w:p>
  </w:footnote>
  <w:footnote w:id="2">
    <w:p w14:paraId="01087F15" w14:textId="0B774382" w:rsidR="4992206A" w:rsidRDefault="4992206A" w:rsidP="4992206A">
      <w:pPr>
        <w:pStyle w:val="Notedebasdepage"/>
        <w:rPr>
          <w:rFonts w:ascii="Times New Roman" w:eastAsia="Times New Roman" w:hAnsi="Times New Roman" w:cs="Times New Roman"/>
        </w:rPr>
      </w:pPr>
      <w:r w:rsidRPr="00F4022B">
        <w:rPr>
          <w:rStyle w:val="Appelnotedebasdep"/>
          <w:rFonts w:ascii="Times New Roman" w:eastAsia="Times New Roman" w:hAnsi="Times New Roman" w:cs="Times New Roman"/>
          <w:sz w:val="16"/>
          <w:szCs w:val="16"/>
        </w:rPr>
        <w:footnoteRef/>
      </w:r>
      <w:r w:rsidRPr="00F4022B">
        <w:rPr>
          <w:rFonts w:ascii="Times New Roman" w:eastAsia="Times New Roman" w:hAnsi="Times New Roman" w:cs="Times New Roman"/>
          <w:sz w:val="16"/>
          <w:szCs w:val="16"/>
        </w:rPr>
        <w:t xml:space="preserve"> Const</w:t>
      </w:r>
      <w:r w:rsidR="001E74BC">
        <w:rPr>
          <w:rFonts w:ascii="Times New Roman" w:eastAsia="Times New Roman" w:hAnsi="Times New Roman" w:cs="Times New Roman"/>
          <w:sz w:val="16"/>
          <w:szCs w:val="16"/>
        </w:rPr>
        <w:t>itution</w:t>
      </w:r>
      <w:r w:rsidRPr="00F4022B">
        <w:rPr>
          <w:rFonts w:ascii="Times New Roman" w:eastAsia="Times New Roman" w:hAnsi="Times New Roman" w:cs="Times New Roman"/>
          <w:sz w:val="16"/>
          <w:szCs w:val="16"/>
        </w:rPr>
        <w:t xml:space="preserve"> algérienne, art. 53 (2020).</w:t>
      </w:r>
    </w:p>
  </w:footnote>
  <w:footnote w:id="3">
    <w:p w14:paraId="2091D7BF" w14:textId="21090C1D" w:rsidR="4992206A" w:rsidRPr="00F4022B" w:rsidRDefault="4992206A" w:rsidP="4992206A">
      <w:pPr>
        <w:pStyle w:val="Notedebasdepage"/>
        <w:rPr>
          <w:rFonts w:ascii="Times New Roman" w:eastAsia="Times New Roman" w:hAnsi="Times New Roman" w:cs="Times New Roman"/>
          <w:color w:val="000000" w:themeColor="text1"/>
          <w:sz w:val="16"/>
          <w:szCs w:val="16"/>
        </w:rPr>
      </w:pPr>
      <w:r w:rsidRPr="00F4022B">
        <w:rPr>
          <w:rStyle w:val="Appelnotedebasdep"/>
          <w:rFonts w:ascii="Times New Roman" w:eastAsia="Times New Roman" w:hAnsi="Times New Roman" w:cs="Times New Roman"/>
          <w:sz w:val="16"/>
          <w:szCs w:val="16"/>
        </w:rPr>
        <w:footnoteRef/>
      </w:r>
      <w:r w:rsidRPr="00F4022B">
        <w:rPr>
          <w:rFonts w:ascii="Times New Roman" w:eastAsia="Times New Roman" w:hAnsi="Times New Roman" w:cs="Times New Roman"/>
          <w:sz w:val="16"/>
          <w:szCs w:val="16"/>
        </w:rPr>
        <w:t xml:space="preserve"> </w:t>
      </w:r>
      <w:proofErr w:type="gramStart"/>
      <w:r w:rsidRPr="00F4022B">
        <w:rPr>
          <w:rFonts w:ascii="Times New Roman" w:eastAsia="Times New Roman" w:hAnsi="Times New Roman" w:cs="Times New Roman"/>
          <w:color w:val="000000" w:themeColor="text1"/>
          <w:sz w:val="16"/>
          <w:szCs w:val="16"/>
        </w:rPr>
        <w:t>loi</w:t>
      </w:r>
      <w:proofErr w:type="gramEnd"/>
      <w:r w:rsidRPr="00F4022B">
        <w:rPr>
          <w:rFonts w:ascii="Times New Roman" w:eastAsia="Times New Roman" w:hAnsi="Times New Roman" w:cs="Times New Roman"/>
          <w:color w:val="000000" w:themeColor="text1"/>
          <w:sz w:val="16"/>
          <w:szCs w:val="16"/>
        </w:rPr>
        <w:t xml:space="preserve"> n° 12-06 du 12 janvier 2012 relative aux associations</w:t>
      </w:r>
    </w:p>
  </w:footnote>
  <w:footnote w:id="4">
    <w:p w14:paraId="319AAD76" w14:textId="58352F6E" w:rsidR="4992206A" w:rsidRPr="00F4022B" w:rsidRDefault="4992206A" w:rsidP="4992206A">
      <w:pPr>
        <w:pStyle w:val="Notedebasdepage"/>
        <w:rPr>
          <w:rFonts w:ascii="Times New Roman" w:eastAsia="Times New Roman" w:hAnsi="Times New Roman" w:cs="Times New Roman"/>
          <w:color w:val="141413"/>
          <w:sz w:val="16"/>
          <w:szCs w:val="16"/>
        </w:rPr>
      </w:pPr>
      <w:r w:rsidRPr="00F4022B">
        <w:rPr>
          <w:rStyle w:val="Appelnotedebasdep"/>
          <w:rFonts w:ascii="Times New Roman" w:eastAsia="Times New Roman" w:hAnsi="Times New Roman" w:cs="Times New Roman"/>
          <w:sz w:val="16"/>
          <w:szCs w:val="16"/>
        </w:rPr>
        <w:footnoteRef/>
      </w:r>
      <w:r w:rsidRPr="00F4022B">
        <w:rPr>
          <w:rFonts w:ascii="Times New Roman" w:eastAsia="Times New Roman" w:hAnsi="Times New Roman" w:cs="Times New Roman"/>
          <w:sz w:val="16"/>
          <w:szCs w:val="16"/>
        </w:rPr>
        <w:t xml:space="preserve"> A</w:t>
      </w:r>
      <w:r w:rsidRPr="00F4022B">
        <w:rPr>
          <w:rFonts w:ascii="Times New Roman" w:eastAsia="Times New Roman" w:hAnsi="Times New Roman" w:cs="Times New Roman"/>
          <w:color w:val="141413"/>
          <w:sz w:val="16"/>
          <w:szCs w:val="16"/>
        </w:rPr>
        <w:t>rticle 2 de la loi n° 12-06</w:t>
      </w:r>
    </w:p>
  </w:footnote>
  <w:footnote w:id="5">
    <w:p w14:paraId="53125691" w14:textId="2D89F86F" w:rsidR="4992206A" w:rsidRPr="00F4022B" w:rsidRDefault="4992206A" w:rsidP="4992206A">
      <w:pPr>
        <w:pStyle w:val="Notedebasdepage"/>
        <w:rPr>
          <w:rFonts w:ascii="Times New Roman" w:eastAsia="Times New Roman" w:hAnsi="Times New Roman" w:cs="Times New Roman"/>
          <w:color w:val="000000" w:themeColor="text1"/>
          <w:sz w:val="16"/>
          <w:szCs w:val="16"/>
        </w:rPr>
      </w:pPr>
      <w:r w:rsidRPr="00F4022B">
        <w:rPr>
          <w:rStyle w:val="Appelnotedebasdep"/>
          <w:rFonts w:ascii="Times New Roman" w:eastAsia="Times New Roman" w:hAnsi="Times New Roman" w:cs="Times New Roman"/>
          <w:sz w:val="16"/>
          <w:szCs w:val="16"/>
        </w:rPr>
        <w:footnoteRef/>
      </w:r>
      <w:r w:rsidRPr="00F4022B">
        <w:rPr>
          <w:rFonts w:ascii="Times New Roman" w:eastAsia="Times New Roman" w:hAnsi="Times New Roman" w:cs="Times New Roman"/>
          <w:sz w:val="16"/>
          <w:szCs w:val="16"/>
        </w:rPr>
        <w:t xml:space="preserve"> </w:t>
      </w:r>
      <w:r w:rsidRPr="00F4022B">
        <w:rPr>
          <w:rFonts w:ascii="Times New Roman" w:eastAsia="Times New Roman" w:hAnsi="Times New Roman" w:cs="Times New Roman"/>
          <w:color w:val="000000" w:themeColor="text1"/>
          <w:sz w:val="16"/>
          <w:szCs w:val="16"/>
        </w:rPr>
        <w:t xml:space="preserve">Comité des droits de l'homme, </w:t>
      </w:r>
      <w:r w:rsidRPr="00F4022B">
        <w:rPr>
          <w:rFonts w:ascii="Times New Roman" w:eastAsia="Times New Roman" w:hAnsi="Times New Roman" w:cs="Times New Roman"/>
          <w:i/>
          <w:iCs/>
          <w:color w:val="000000" w:themeColor="text1"/>
          <w:sz w:val="16"/>
          <w:szCs w:val="16"/>
        </w:rPr>
        <w:t>Observations finales concernant le quatrième rapport périodique de l'Algérie</w:t>
      </w:r>
      <w:r w:rsidRPr="00F4022B">
        <w:rPr>
          <w:rFonts w:ascii="Times New Roman" w:eastAsia="Times New Roman" w:hAnsi="Times New Roman" w:cs="Times New Roman"/>
          <w:color w:val="000000" w:themeColor="text1"/>
          <w:sz w:val="16"/>
          <w:szCs w:val="16"/>
        </w:rPr>
        <w:t>, CCPR/C/DZA/CO/4 (2018).</w:t>
      </w:r>
    </w:p>
  </w:footnote>
  <w:footnote w:id="6">
    <w:p w14:paraId="46309CBA" w14:textId="2E7D6179" w:rsidR="4992206A" w:rsidRDefault="4992206A" w:rsidP="4992206A">
      <w:pPr>
        <w:pStyle w:val="Notedebasdepage"/>
        <w:rPr>
          <w:rFonts w:ascii="Times New Roman" w:eastAsia="Times New Roman" w:hAnsi="Times New Roman" w:cs="Times New Roman"/>
        </w:rPr>
      </w:pPr>
      <w:r w:rsidRPr="00F4022B">
        <w:rPr>
          <w:rStyle w:val="Appelnotedebasdep"/>
          <w:rFonts w:ascii="Times New Roman" w:eastAsia="Times New Roman" w:hAnsi="Times New Roman" w:cs="Times New Roman"/>
          <w:sz w:val="16"/>
          <w:szCs w:val="16"/>
        </w:rPr>
        <w:footnoteRef/>
      </w:r>
      <w:r w:rsidRPr="00F4022B">
        <w:rPr>
          <w:rFonts w:ascii="Times New Roman" w:eastAsia="Times New Roman" w:hAnsi="Times New Roman" w:cs="Times New Roman"/>
          <w:sz w:val="16"/>
          <w:szCs w:val="16"/>
        </w:rPr>
        <w:t xml:space="preserve"> Lawlor, M. (Rapporteuse spéciale). (2025). </w:t>
      </w:r>
      <w:r w:rsidRPr="00F4022B">
        <w:rPr>
          <w:rFonts w:ascii="Times New Roman" w:eastAsia="Times New Roman" w:hAnsi="Times New Roman" w:cs="Times New Roman"/>
          <w:i/>
          <w:iCs/>
          <w:sz w:val="16"/>
          <w:szCs w:val="16"/>
        </w:rPr>
        <w:t>Visite en Algérie</w:t>
      </w:r>
      <w:r w:rsidRPr="00F4022B">
        <w:rPr>
          <w:rFonts w:ascii="Times New Roman" w:eastAsia="Times New Roman" w:hAnsi="Times New Roman" w:cs="Times New Roman"/>
          <w:sz w:val="16"/>
          <w:szCs w:val="16"/>
        </w:rPr>
        <w:t>. Conseil des droits de l'homme, A/HRC/58/53/Add.1.</w:t>
      </w:r>
    </w:p>
  </w:footnote>
  <w:footnote w:id="7">
    <w:p w14:paraId="04589BC6" w14:textId="794C1A6B" w:rsidR="1622F273" w:rsidRDefault="1622F273" w:rsidP="1622F273">
      <w:pPr>
        <w:pStyle w:val="Notedebasdepage"/>
        <w:rPr>
          <w:rFonts w:ascii="Times New Roman" w:eastAsia="Times New Roman" w:hAnsi="Times New Roman" w:cs="Times New Roman"/>
          <w:sz w:val="16"/>
          <w:szCs w:val="16"/>
        </w:rPr>
      </w:pPr>
      <w:r w:rsidRPr="1622F273">
        <w:rPr>
          <w:rStyle w:val="Appelnotedebasdep"/>
          <w:rFonts w:ascii="Times New Roman" w:eastAsia="Times New Roman" w:hAnsi="Times New Roman" w:cs="Times New Roman"/>
          <w:sz w:val="16"/>
          <w:szCs w:val="16"/>
        </w:rPr>
        <w:footnoteRef/>
      </w:r>
      <w:r w:rsidRPr="1622F273">
        <w:rPr>
          <w:rFonts w:ascii="Times New Roman" w:eastAsia="Times New Roman" w:hAnsi="Times New Roman" w:cs="Times New Roman"/>
          <w:sz w:val="16"/>
          <w:szCs w:val="16"/>
        </w:rPr>
        <w:t xml:space="preserve"> </w:t>
      </w:r>
      <w:r w:rsidRPr="1622F273">
        <w:rPr>
          <w:rFonts w:ascii="Times New Roman" w:eastAsia="Times New Roman" w:hAnsi="Times New Roman" w:cs="Times New Roman"/>
          <w:color w:val="000000" w:themeColor="text1"/>
          <w:sz w:val="16"/>
          <w:szCs w:val="16"/>
        </w:rPr>
        <w:t xml:space="preserve">MENA </w:t>
      </w:r>
      <w:proofErr w:type="spellStart"/>
      <w:r w:rsidRPr="1622F273">
        <w:rPr>
          <w:rFonts w:ascii="Times New Roman" w:eastAsia="Times New Roman" w:hAnsi="Times New Roman" w:cs="Times New Roman"/>
          <w:color w:val="000000" w:themeColor="text1"/>
          <w:sz w:val="16"/>
          <w:szCs w:val="16"/>
        </w:rPr>
        <w:t>Rights</w:t>
      </w:r>
      <w:proofErr w:type="spellEnd"/>
      <w:r w:rsidRPr="1622F273">
        <w:rPr>
          <w:rFonts w:ascii="Times New Roman" w:eastAsia="Times New Roman" w:hAnsi="Times New Roman" w:cs="Times New Roman"/>
          <w:color w:val="000000" w:themeColor="text1"/>
          <w:sz w:val="16"/>
          <w:szCs w:val="16"/>
        </w:rPr>
        <w:t xml:space="preserve"> Group. (2022). </w:t>
      </w:r>
      <w:r w:rsidRPr="1622F273">
        <w:rPr>
          <w:rFonts w:ascii="Times New Roman" w:eastAsia="Times New Roman" w:hAnsi="Times New Roman" w:cs="Times New Roman"/>
          <w:i/>
          <w:iCs/>
          <w:color w:val="000000" w:themeColor="text1"/>
          <w:sz w:val="16"/>
          <w:szCs w:val="16"/>
        </w:rPr>
        <w:t>Analyse du projet de loi sur les associations</w:t>
      </w:r>
      <w:r w:rsidRPr="1622F273">
        <w:rPr>
          <w:rFonts w:ascii="Times New Roman" w:eastAsia="Times New Roman" w:hAnsi="Times New Roman" w:cs="Times New Roman"/>
          <w:color w:val="000000" w:themeColor="text1"/>
          <w:sz w:val="16"/>
          <w:szCs w:val="16"/>
        </w:rPr>
        <w:t xml:space="preserve">. </w:t>
      </w:r>
      <w:hyperlink r:id="rId1">
        <w:r w:rsidRPr="1622F273">
          <w:rPr>
            <w:rStyle w:val="Lienhypertexte"/>
            <w:rFonts w:ascii="Times New Roman" w:eastAsia="Times New Roman" w:hAnsi="Times New Roman" w:cs="Times New Roman"/>
            <w:sz w:val="16"/>
            <w:szCs w:val="16"/>
          </w:rPr>
          <w:t>https://menarights.org/en/articles/analyse-du-projet-de-loi-sur-les-associations</w:t>
        </w:r>
      </w:hyperlink>
    </w:p>
  </w:footnote>
  <w:footnote w:id="8">
    <w:p w14:paraId="09C5B49F" w14:textId="0F88EA1E" w:rsidR="1622F273" w:rsidRDefault="1622F273" w:rsidP="1622F273">
      <w:pPr>
        <w:pStyle w:val="Notedebasdepage"/>
      </w:pPr>
      <w:r w:rsidRPr="1622F273">
        <w:rPr>
          <w:rStyle w:val="Appelnotedebasdep"/>
        </w:rPr>
        <w:footnoteRef/>
      </w:r>
      <w:r>
        <w:t xml:space="preserve"> </w:t>
      </w:r>
      <w:r w:rsidRPr="00E12C46">
        <w:rPr>
          <w:rFonts w:ascii="Times New Roman" w:eastAsia="Times New Roman" w:hAnsi="Times New Roman" w:cs="Times New Roman"/>
          <w:sz w:val="16"/>
          <w:szCs w:val="16"/>
        </w:rPr>
        <w:t>CCPR/C/DZA/CO/4, § 47</w:t>
      </w:r>
    </w:p>
  </w:footnote>
  <w:footnote w:id="9">
    <w:p w14:paraId="2BFC26CD" w14:textId="51C379A6" w:rsidR="4992206A" w:rsidRPr="00F4022B" w:rsidRDefault="4992206A" w:rsidP="4992206A">
      <w:pPr>
        <w:pStyle w:val="Notedebasdepage"/>
        <w:rPr>
          <w:rFonts w:ascii="Times New Roman" w:eastAsia="Times New Roman" w:hAnsi="Times New Roman" w:cs="Times New Roman"/>
          <w:sz w:val="16"/>
          <w:szCs w:val="16"/>
        </w:rPr>
      </w:pPr>
      <w:r w:rsidRPr="00F4022B">
        <w:rPr>
          <w:rStyle w:val="Appelnotedebasdep"/>
          <w:rFonts w:ascii="Times New Roman" w:eastAsia="Times New Roman" w:hAnsi="Times New Roman" w:cs="Times New Roman"/>
          <w:sz w:val="16"/>
          <w:szCs w:val="16"/>
        </w:rPr>
        <w:footnoteRef/>
      </w:r>
      <w:r w:rsidRPr="00F4022B">
        <w:rPr>
          <w:rFonts w:ascii="Times New Roman" w:eastAsia="Times New Roman" w:hAnsi="Times New Roman" w:cs="Times New Roman"/>
          <w:sz w:val="16"/>
          <w:szCs w:val="16"/>
        </w:rPr>
        <w:t xml:space="preserve"> Article 23, 30 de la loi 12-06.</w:t>
      </w:r>
    </w:p>
  </w:footnote>
  <w:footnote w:id="10">
    <w:p w14:paraId="1C9F3A1B" w14:textId="27C27470" w:rsidR="4992206A" w:rsidRDefault="4992206A" w:rsidP="4992206A">
      <w:pPr>
        <w:pStyle w:val="Notedebasdepage"/>
        <w:rPr>
          <w:rFonts w:ascii="Times New Roman" w:eastAsia="Times New Roman" w:hAnsi="Times New Roman" w:cs="Times New Roman"/>
          <w:color w:val="000000" w:themeColor="text1"/>
        </w:rPr>
      </w:pPr>
      <w:r w:rsidRPr="00F4022B">
        <w:rPr>
          <w:rStyle w:val="Appelnotedebasdep"/>
          <w:sz w:val="16"/>
          <w:szCs w:val="16"/>
        </w:rPr>
        <w:footnoteRef/>
      </w:r>
      <w:r w:rsidRPr="00F4022B">
        <w:rPr>
          <w:sz w:val="16"/>
          <w:szCs w:val="16"/>
        </w:rPr>
        <w:t xml:space="preserve"> </w:t>
      </w:r>
      <w:r w:rsidRPr="00F4022B">
        <w:rPr>
          <w:rFonts w:ascii="Times New Roman" w:eastAsia="Times New Roman" w:hAnsi="Times New Roman" w:cs="Times New Roman"/>
          <w:color w:val="000000" w:themeColor="text1"/>
          <w:sz w:val="16"/>
          <w:szCs w:val="16"/>
        </w:rPr>
        <w:t xml:space="preserve">Comité des droits de l'homme, </w:t>
      </w:r>
      <w:r w:rsidRPr="00F4022B">
        <w:rPr>
          <w:rFonts w:ascii="Times New Roman" w:eastAsia="Times New Roman" w:hAnsi="Times New Roman" w:cs="Times New Roman"/>
          <w:i/>
          <w:iCs/>
          <w:color w:val="000000" w:themeColor="text1"/>
          <w:sz w:val="16"/>
          <w:szCs w:val="16"/>
        </w:rPr>
        <w:t>Observations finales concernant le quatrième rapport périodique de l'Algérie</w:t>
      </w:r>
      <w:r w:rsidRPr="00F4022B">
        <w:rPr>
          <w:rFonts w:ascii="Times New Roman" w:eastAsia="Times New Roman" w:hAnsi="Times New Roman" w:cs="Times New Roman"/>
          <w:color w:val="000000" w:themeColor="text1"/>
          <w:sz w:val="16"/>
          <w:szCs w:val="16"/>
        </w:rPr>
        <w:t>, CCPR/C/DZA/CO/4 (2018).</w:t>
      </w:r>
    </w:p>
  </w:footnote>
  <w:footnote w:id="11">
    <w:p w14:paraId="5A52574D" w14:textId="60089FBA" w:rsidR="4992206A" w:rsidRPr="00F4022B" w:rsidRDefault="4992206A" w:rsidP="4992206A">
      <w:pPr>
        <w:pStyle w:val="Notedebasdepage"/>
        <w:rPr>
          <w:sz w:val="16"/>
          <w:szCs w:val="16"/>
        </w:rPr>
      </w:pPr>
      <w:r w:rsidRPr="00F4022B">
        <w:rPr>
          <w:rStyle w:val="Appelnotedebasdep"/>
          <w:sz w:val="16"/>
          <w:szCs w:val="16"/>
        </w:rPr>
        <w:footnoteRef/>
      </w:r>
      <w:r w:rsidRPr="00F4022B">
        <w:rPr>
          <w:sz w:val="16"/>
          <w:szCs w:val="16"/>
        </w:rPr>
        <w:t xml:space="preserve"> </w:t>
      </w:r>
      <w:r w:rsidRPr="00F4022B">
        <w:rPr>
          <w:rFonts w:ascii="Times New Roman" w:eastAsia="Times New Roman" w:hAnsi="Times New Roman" w:cs="Times New Roman"/>
          <w:sz w:val="16"/>
          <w:szCs w:val="16"/>
        </w:rPr>
        <w:t xml:space="preserve">OHCHR. (13 mai 2026). </w:t>
      </w:r>
      <w:r w:rsidRPr="00F4022B">
        <w:rPr>
          <w:rFonts w:ascii="Times New Roman" w:eastAsia="Times New Roman" w:hAnsi="Times New Roman" w:cs="Times New Roman"/>
          <w:i/>
          <w:iCs/>
          <w:sz w:val="16"/>
          <w:szCs w:val="16"/>
        </w:rPr>
        <w:t>Algérie : des experts de l'ONU alarmés par la répression visant les familles de disparus et la société civile</w:t>
      </w:r>
      <w:r w:rsidRPr="00F4022B">
        <w:rPr>
          <w:rFonts w:ascii="Times New Roman" w:eastAsia="Times New Roman" w:hAnsi="Times New Roman" w:cs="Times New Roman"/>
          <w:sz w:val="16"/>
          <w:szCs w:val="16"/>
        </w:rPr>
        <w:t xml:space="preserve">. </w:t>
      </w:r>
      <w:hyperlink r:id="rId2">
        <w:r w:rsidRPr="00F4022B">
          <w:rPr>
            <w:rStyle w:val="Lienhypertexte"/>
            <w:rFonts w:ascii="Times New Roman" w:eastAsia="Times New Roman" w:hAnsi="Times New Roman" w:cs="Times New Roman"/>
            <w:sz w:val="16"/>
            <w:szCs w:val="16"/>
          </w:rPr>
          <w:t>https://www.ohchr.org/fr/countries/algeria</w:t>
        </w:r>
      </w:hyperlink>
    </w:p>
  </w:footnote>
  <w:footnote w:id="12">
    <w:p w14:paraId="275E1EC5" w14:textId="0A7B60D2" w:rsidR="4992206A" w:rsidRPr="00F4022B" w:rsidRDefault="4992206A" w:rsidP="4992206A">
      <w:pPr>
        <w:pStyle w:val="Notedebasdepage"/>
        <w:rPr>
          <w:rFonts w:ascii="Times New Roman" w:eastAsia="Times New Roman" w:hAnsi="Times New Roman" w:cs="Times New Roman"/>
          <w:color w:val="000000" w:themeColor="text1"/>
          <w:sz w:val="16"/>
          <w:szCs w:val="16"/>
        </w:rPr>
      </w:pPr>
      <w:r w:rsidRPr="4992206A">
        <w:rPr>
          <w:rStyle w:val="Appelnotedebasdep"/>
        </w:rPr>
        <w:footnoteRef/>
      </w:r>
      <w:r>
        <w:t xml:space="preserve"> </w:t>
      </w:r>
      <w:r w:rsidRPr="00F4022B">
        <w:rPr>
          <w:rFonts w:ascii="Times New Roman" w:eastAsia="Times New Roman" w:hAnsi="Times New Roman" w:cs="Times New Roman"/>
          <w:color w:val="000000" w:themeColor="text1"/>
          <w:sz w:val="16"/>
          <w:szCs w:val="16"/>
        </w:rPr>
        <w:t xml:space="preserve">CFDA. (2015). </w:t>
      </w:r>
      <w:r w:rsidRPr="00F4022B">
        <w:rPr>
          <w:rFonts w:ascii="Times New Roman" w:eastAsia="Times New Roman" w:hAnsi="Times New Roman" w:cs="Times New Roman"/>
          <w:i/>
          <w:iCs/>
          <w:color w:val="000000" w:themeColor="text1"/>
          <w:sz w:val="16"/>
          <w:szCs w:val="16"/>
        </w:rPr>
        <w:t>Algérie : la lente asphyxie des associations — Étude sur l'application de la loi n° 12-06 du 12 janvier 2012 relative aux associations</w:t>
      </w:r>
      <w:r w:rsidRPr="00F4022B">
        <w:rPr>
          <w:rFonts w:ascii="Times New Roman" w:eastAsia="Times New Roman" w:hAnsi="Times New Roman" w:cs="Times New Roman"/>
          <w:color w:val="000000" w:themeColor="text1"/>
          <w:sz w:val="16"/>
          <w:szCs w:val="16"/>
        </w:rPr>
        <w:t>.</w:t>
      </w:r>
    </w:p>
  </w:footnote>
  <w:footnote w:id="13">
    <w:p w14:paraId="763E0D68" w14:textId="4DE04F7E" w:rsidR="4992206A" w:rsidRDefault="4992206A" w:rsidP="4992206A">
      <w:pPr>
        <w:pStyle w:val="Notedebasdepage"/>
        <w:rPr>
          <w:rFonts w:ascii="Times New Roman" w:eastAsia="Times New Roman" w:hAnsi="Times New Roman" w:cs="Times New Roman"/>
          <w:color w:val="000000" w:themeColor="text1"/>
        </w:rPr>
      </w:pPr>
      <w:r w:rsidRPr="00F4022B">
        <w:rPr>
          <w:rStyle w:val="Appelnotedebasdep"/>
          <w:rFonts w:ascii="Times New Roman" w:eastAsia="Times New Roman" w:hAnsi="Times New Roman" w:cs="Times New Roman"/>
          <w:sz w:val="16"/>
          <w:szCs w:val="16"/>
        </w:rPr>
        <w:footnoteRef/>
      </w:r>
      <w:r w:rsidRPr="00F4022B">
        <w:rPr>
          <w:rFonts w:ascii="Times New Roman" w:eastAsia="Times New Roman" w:hAnsi="Times New Roman" w:cs="Times New Roman"/>
          <w:sz w:val="16"/>
          <w:szCs w:val="16"/>
        </w:rPr>
        <w:t xml:space="preserve"> </w:t>
      </w:r>
      <w:r w:rsidRPr="00F4022B">
        <w:rPr>
          <w:rFonts w:ascii="Times New Roman" w:eastAsia="Times New Roman" w:hAnsi="Times New Roman" w:cs="Times New Roman"/>
          <w:color w:val="000000" w:themeColor="text1"/>
          <w:sz w:val="16"/>
          <w:szCs w:val="16"/>
        </w:rPr>
        <w:t xml:space="preserve">CFDA &amp; Riposte internationale. (2025). </w:t>
      </w:r>
      <w:r w:rsidRPr="00F4022B">
        <w:rPr>
          <w:rFonts w:ascii="Times New Roman" w:eastAsia="Times New Roman" w:hAnsi="Times New Roman" w:cs="Times New Roman"/>
          <w:i/>
          <w:iCs/>
          <w:color w:val="000000" w:themeColor="text1"/>
          <w:sz w:val="16"/>
          <w:szCs w:val="16"/>
        </w:rPr>
        <w:t>Algérie en répression et persécution : Rapport annuel 2025 sur la situation des droits humains en Algérie</w:t>
      </w:r>
      <w:r w:rsidRPr="00F4022B">
        <w:rPr>
          <w:rFonts w:ascii="Times New Roman" w:eastAsia="Times New Roman" w:hAnsi="Times New Roman" w:cs="Times New Roman"/>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992206A" w14:paraId="22453C1B" w14:textId="77777777" w:rsidTr="4992206A">
      <w:trPr>
        <w:trHeight w:val="300"/>
      </w:trPr>
      <w:tc>
        <w:tcPr>
          <w:tcW w:w="3005" w:type="dxa"/>
        </w:tcPr>
        <w:p w14:paraId="2A39CCFD" w14:textId="3922000A" w:rsidR="4992206A" w:rsidRDefault="4992206A" w:rsidP="4992206A">
          <w:pPr>
            <w:pStyle w:val="En-tte"/>
            <w:ind w:left="-115"/>
          </w:pPr>
        </w:p>
      </w:tc>
      <w:tc>
        <w:tcPr>
          <w:tcW w:w="3005" w:type="dxa"/>
        </w:tcPr>
        <w:p w14:paraId="3B7EE63E" w14:textId="752B2CC5" w:rsidR="4992206A" w:rsidRDefault="4992206A" w:rsidP="4992206A">
          <w:pPr>
            <w:pStyle w:val="En-tte"/>
            <w:jc w:val="center"/>
          </w:pPr>
        </w:p>
      </w:tc>
      <w:tc>
        <w:tcPr>
          <w:tcW w:w="3005" w:type="dxa"/>
        </w:tcPr>
        <w:p w14:paraId="31A84D7F" w14:textId="214DC6B4" w:rsidR="4992206A" w:rsidRDefault="4992206A" w:rsidP="4992206A">
          <w:pPr>
            <w:pStyle w:val="En-tte"/>
            <w:ind w:right="-115"/>
            <w:jc w:val="right"/>
          </w:pPr>
        </w:p>
      </w:tc>
    </w:tr>
  </w:tbl>
  <w:p w14:paraId="218BED81" w14:textId="10CF67F7" w:rsidR="4992206A" w:rsidRDefault="4992206A" w:rsidP="499220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F602"/>
    <w:multiLevelType w:val="hybridMultilevel"/>
    <w:tmpl w:val="D042EE78"/>
    <w:lvl w:ilvl="0" w:tplc="232A662E">
      <w:start w:val="18"/>
      <w:numFmt w:val="decimal"/>
      <w:lvlText w:val="%1."/>
      <w:lvlJc w:val="left"/>
      <w:pPr>
        <w:ind w:left="720" w:hanging="360"/>
      </w:pPr>
    </w:lvl>
    <w:lvl w:ilvl="1" w:tplc="850CB922">
      <w:start w:val="1"/>
      <w:numFmt w:val="lowerLetter"/>
      <w:lvlText w:val="%2."/>
      <w:lvlJc w:val="left"/>
      <w:pPr>
        <w:ind w:left="1440" w:hanging="360"/>
      </w:pPr>
    </w:lvl>
    <w:lvl w:ilvl="2" w:tplc="FE300D58">
      <w:start w:val="1"/>
      <w:numFmt w:val="lowerRoman"/>
      <w:lvlText w:val="%3."/>
      <w:lvlJc w:val="right"/>
      <w:pPr>
        <w:ind w:left="2160" w:hanging="180"/>
      </w:pPr>
    </w:lvl>
    <w:lvl w:ilvl="3" w:tplc="2E20E91E">
      <w:start w:val="1"/>
      <w:numFmt w:val="decimal"/>
      <w:lvlText w:val="%4."/>
      <w:lvlJc w:val="left"/>
      <w:pPr>
        <w:ind w:left="2880" w:hanging="360"/>
      </w:pPr>
    </w:lvl>
    <w:lvl w:ilvl="4" w:tplc="BA90AEBE">
      <w:start w:val="1"/>
      <w:numFmt w:val="lowerLetter"/>
      <w:lvlText w:val="%5."/>
      <w:lvlJc w:val="left"/>
      <w:pPr>
        <w:ind w:left="3600" w:hanging="360"/>
      </w:pPr>
    </w:lvl>
    <w:lvl w:ilvl="5" w:tplc="2EB2B8EC">
      <w:start w:val="1"/>
      <w:numFmt w:val="lowerRoman"/>
      <w:lvlText w:val="%6."/>
      <w:lvlJc w:val="right"/>
      <w:pPr>
        <w:ind w:left="4320" w:hanging="180"/>
      </w:pPr>
    </w:lvl>
    <w:lvl w:ilvl="6" w:tplc="AA7A7A7E">
      <w:start w:val="1"/>
      <w:numFmt w:val="decimal"/>
      <w:lvlText w:val="%7."/>
      <w:lvlJc w:val="left"/>
      <w:pPr>
        <w:ind w:left="5040" w:hanging="360"/>
      </w:pPr>
    </w:lvl>
    <w:lvl w:ilvl="7" w:tplc="9BD2307E">
      <w:start w:val="1"/>
      <w:numFmt w:val="lowerLetter"/>
      <w:lvlText w:val="%8."/>
      <w:lvlJc w:val="left"/>
      <w:pPr>
        <w:ind w:left="5760" w:hanging="360"/>
      </w:pPr>
    </w:lvl>
    <w:lvl w:ilvl="8" w:tplc="9EE68F20">
      <w:start w:val="1"/>
      <w:numFmt w:val="lowerRoman"/>
      <w:lvlText w:val="%9."/>
      <w:lvlJc w:val="right"/>
      <w:pPr>
        <w:ind w:left="6480" w:hanging="180"/>
      </w:pPr>
    </w:lvl>
  </w:abstractNum>
  <w:abstractNum w:abstractNumId="1" w15:restartNumberingAfterBreak="0">
    <w:nsid w:val="0B0B07A2"/>
    <w:multiLevelType w:val="hybridMultilevel"/>
    <w:tmpl w:val="2982ADDC"/>
    <w:lvl w:ilvl="0" w:tplc="5D760202">
      <w:start w:val="10"/>
      <w:numFmt w:val="decimal"/>
      <w:lvlText w:val="%1."/>
      <w:lvlJc w:val="left"/>
      <w:pPr>
        <w:ind w:left="720" w:hanging="360"/>
      </w:pPr>
    </w:lvl>
    <w:lvl w:ilvl="1" w:tplc="67CC7F20">
      <w:start w:val="1"/>
      <w:numFmt w:val="lowerLetter"/>
      <w:lvlText w:val="%2."/>
      <w:lvlJc w:val="left"/>
      <w:pPr>
        <w:ind w:left="1440" w:hanging="360"/>
      </w:pPr>
    </w:lvl>
    <w:lvl w:ilvl="2" w:tplc="6C22E4F8">
      <w:start w:val="1"/>
      <w:numFmt w:val="lowerRoman"/>
      <w:lvlText w:val="%3."/>
      <w:lvlJc w:val="right"/>
      <w:pPr>
        <w:ind w:left="2160" w:hanging="180"/>
      </w:pPr>
    </w:lvl>
    <w:lvl w:ilvl="3" w:tplc="8422A6C8">
      <w:start w:val="1"/>
      <w:numFmt w:val="decimal"/>
      <w:lvlText w:val="%4."/>
      <w:lvlJc w:val="left"/>
      <w:pPr>
        <w:ind w:left="2880" w:hanging="360"/>
      </w:pPr>
    </w:lvl>
    <w:lvl w:ilvl="4" w:tplc="C75473F0">
      <w:start w:val="1"/>
      <w:numFmt w:val="lowerLetter"/>
      <w:lvlText w:val="%5."/>
      <w:lvlJc w:val="left"/>
      <w:pPr>
        <w:ind w:left="3600" w:hanging="360"/>
      </w:pPr>
    </w:lvl>
    <w:lvl w:ilvl="5" w:tplc="43BE51FC">
      <w:start w:val="1"/>
      <w:numFmt w:val="lowerRoman"/>
      <w:lvlText w:val="%6."/>
      <w:lvlJc w:val="right"/>
      <w:pPr>
        <w:ind w:left="4320" w:hanging="180"/>
      </w:pPr>
    </w:lvl>
    <w:lvl w:ilvl="6" w:tplc="8604F00E">
      <w:start w:val="1"/>
      <w:numFmt w:val="decimal"/>
      <w:lvlText w:val="%7."/>
      <w:lvlJc w:val="left"/>
      <w:pPr>
        <w:ind w:left="5040" w:hanging="360"/>
      </w:pPr>
    </w:lvl>
    <w:lvl w:ilvl="7" w:tplc="08945260">
      <w:start w:val="1"/>
      <w:numFmt w:val="lowerLetter"/>
      <w:lvlText w:val="%8."/>
      <w:lvlJc w:val="left"/>
      <w:pPr>
        <w:ind w:left="5760" w:hanging="360"/>
      </w:pPr>
    </w:lvl>
    <w:lvl w:ilvl="8" w:tplc="88640ED0">
      <w:start w:val="1"/>
      <w:numFmt w:val="lowerRoman"/>
      <w:lvlText w:val="%9."/>
      <w:lvlJc w:val="right"/>
      <w:pPr>
        <w:ind w:left="6480" w:hanging="180"/>
      </w:pPr>
    </w:lvl>
  </w:abstractNum>
  <w:abstractNum w:abstractNumId="2" w15:restartNumberingAfterBreak="0">
    <w:nsid w:val="0E2F9378"/>
    <w:multiLevelType w:val="hybridMultilevel"/>
    <w:tmpl w:val="0A5CCD72"/>
    <w:lvl w:ilvl="0" w:tplc="30ACB9FE">
      <w:start w:val="2"/>
      <w:numFmt w:val="decimal"/>
      <w:lvlText w:val="%1."/>
      <w:lvlJc w:val="left"/>
      <w:pPr>
        <w:ind w:left="720" w:hanging="360"/>
      </w:pPr>
    </w:lvl>
    <w:lvl w:ilvl="1" w:tplc="FD321C4C">
      <w:start w:val="1"/>
      <w:numFmt w:val="lowerLetter"/>
      <w:lvlText w:val="%2."/>
      <w:lvlJc w:val="left"/>
      <w:pPr>
        <w:ind w:left="1440" w:hanging="360"/>
      </w:pPr>
    </w:lvl>
    <w:lvl w:ilvl="2" w:tplc="D0865282">
      <w:start w:val="1"/>
      <w:numFmt w:val="lowerRoman"/>
      <w:lvlText w:val="%3."/>
      <w:lvlJc w:val="right"/>
      <w:pPr>
        <w:ind w:left="2160" w:hanging="180"/>
      </w:pPr>
    </w:lvl>
    <w:lvl w:ilvl="3" w:tplc="D2EE951C">
      <w:start w:val="1"/>
      <w:numFmt w:val="decimal"/>
      <w:lvlText w:val="%4."/>
      <w:lvlJc w:val="left"/>
      <w:pPr>
        <w:ind w:left="2880" w:hanging="360"/>
      </w:pPr>
    </w:lvl>
    <w:lvl w:ilvl="4" w:tplc="F32C86BC">
      <w:start w:val="1"/>
      <w:numFmt w:val="lowerLetter"/>
      <w:lvlText w:val="%5."/>
      <w:lvlJc w:val="left"/>
      <w:pPr>
        <w:ind w:left="3600" w:hanging="360"/>
      </w:pPr>
    </w:lvl>
    <w:lvl w:ilvl="5" w:tplc="45506A14">
      <w:start w:val="1"/>
      <w:numFmt w:val="lowerRoman"/>
      <w:lvlText w:val="%6."/>
      <w:lvlJc w:val="right"/>
      <w:pPr>
        <w:ind w:left="4320" w:hanging="180"/>
      </w:pPr>
    </w:lvl>
    <w:lvl w:ilvl="6" w:tplc="E4E817E2">
      <w:start w:val="1"/>
      <w:numFmt w:val="decimal"/>
      <w:lvlText w:val="%7."/>
      <w:lvlJc w:val="left"/>
      <w:pPr>
        <w:ind w:left="5040" w:hanging="360"/>
      </w:pPr>
    </w:lvl>
    <w:lvl w:ilvl="7" w:tplc="B2EA54E4">
      <w:start w:val="1"/>
      <w:numFmt w:val="lowerLetter"/>
      <w:lvlText w:val="%8."/>
      <w:lvlJc w:val="left"/>
      <w:pPr>
        <w:ind w:left="5760" w:hanging="360"/>
      </w:pPr>
    </w:lvl>
    <w:lvl w:ilvl="8" w:tplc="18164782">
      <w:start w:val="1"/>
      <w:numFmt w:val="lowerRoman"/>
      <w:lvlText w:val="%9."/>
      <w:lvlJc w:val="right"/>
      <w:pPr>
        <w:ind w:left="6480" w:hanging="180"/>
      </w:pPr>
    </w:lvl>
  </w:abstractNum>
  <w:abstractNum w:abstractNumId="3" w15:restartNumberingAfterBreak="0">
    <w:nsid w:val="0E6E38B5"/>
    <w:multiLevelType w:val="hybridMultilevel"/>
    <w:tmpl w:val="8EC80596"/>
    <w:lvl w:ilvl="0" w:tplc="CAEE917E">
      <w:start w:val="27"/>
      <w:numFmt w:val="decimal"/>
      <w:lvlText w:val="%1."/>
      <w:lvlJc w:val="left"/>
      <w:pPr>
        <w:ind w:left="720" w:hanging="360"/>
      </w:pPr>
    </w:lvl>
    <w:lvl w:ilvl="1" w:tplc="31C0FA8A">
      <w:start w:val="1"/>
      <w:numFmt w:val="lowerLetter"/>
      <w:lvlText w:val="%2."/>
      <w:lvlJc w:val="left"/>
      <w:pPr>
        <w:ind w:left="1440" w:hanging="360"/>
      </w:pPr>
    </w:lvl>
    <w:lvl w:ilvl="2" w:tplc="47F04562">
      <w:start w:val="1"/>
      <w:numFmt w:val="lowerRoman"/>
      <w:lvlText w:val="%3."/>
      <w:lvlJc w:val="right"/>
      <w:pPr>
        <w:ind w:left="2160" w:hanging="180"/>
      </w:pPr>
    </w:lvl>
    <w:lvl w:ilvl="3" w:tplc="2BC0D80C">
      <w:start w:val="1"/>
      <w:numFmt w:val="decimal"/>
      <w:lvlText w:val="%4."/>
      <w:lvlJc w:val="left"/>
      <w:pPr>
        <w:ind w:left="2880" w:hanging="360"/>
      </w:pPr>
    </w:lvl>
    <w:lvl w:ilvl="4" w:tplc="BBE4D002">
      <w:start w:val="1"/>
      <w:numFmt w:val="lowerLetter"/>
      <w:lvlText w:val="%5."/>
      <w:lvlJc w:val="left"/>
      <w:pPr>
        <w:ind w:left="3600" w:hanging="360"/>
      </w:pPr>
    </w:lvl>
    <w:lvl w:ilvl="5" w:tplc="7DE8C242">
      <w:start w:val="1"/>
      <w:numFmt w:val="lowerRoman"/>
      <w:lvlText w:val="%6."/>
      <w:lvlJc w:val="right"/>
      <w:pPr>
        <w:ind w:left="4320" w:hanging="180"/>
      </w:pPr>
    </w:lvl>
    <w:lvl w:ilvl="6" w:tplc="0FBA8FE4">
      <w:start w:val="1"/>
      <w:numFmt w:val="decimal"/>
      <w:lvlText w:val="%7."/>
      <w:lvlJc w:val="left"/>
      <w:pPr>
        <w:ind w:left="5040" w:hanging="360"/>
      </w:pPr>
    </w:lvl>
    <w:lvl w:ilvl="7" w:tplc="C6CE860A">
      <w:start w:val="1"/>
      <w:numFmt w:val="lowerLetter"/>
      <w:lvlText w:val="%8."/>
      <w:lvlJc w:val="left"/>
      <w:pPr>
        <w:ind w:left="5760" w:hanging="360"/>
      </w:pPr>
    </w:lvl>
    <w:lvl w:ilvl="8" w:tplc="9D8A1DF4">
      <w:start w:val="1"/>
      <w:numFmt w:val="lowerRoman"/>
      <w:lvlText w:val="%9."/>
      <w:lvlJc w:val="right"/>
      <w:pPr>
        <w:ind w:left="6480" w:hanging="180"/>
      </w:pPr>
    </w:lvl>
  </w:abstractNum>
  <w:abstractNum w:abstractNumId="4" w15:restartNumberingAfterBreak="0">
    <w:nsid w:val="11E4EA0C"/>
    <w:multiLevelType w:val="hybridMultilevel"/>
    <w:tmpl w:val="E9E20180"/>
    <w:lvl w:ilvl="0" w:tplc="ED403E36">
      <w:start w:val="1"/>
      <w:numFmt w:val="decimal"/>
      <w:lvlText w:val="%1."/>
      <w:lvlJc w:val="left"/>
      <w:pPr>
        <w:ind w:left="720" w:hanging="360"/>
      </w:pPr>
    </w:lvl>
    <w:lvl w:ilvl="1" w:tplc="FA1CCA2E">
      <w:start w:val="1"/>
      <w:numFmt w:val="lowerLetter"/>
      <w:lvlText w:val="%2."/>
      <w:lvlJc w:val="left"/>
      <w:pPr>
        <w:ind w:left="1440" w:hanging="360"/>
      </w:pPr>
    </w:lvl>
    <w:lvl w:ilvl="2" w:tplc="E330596A">
      <w:start w:val="1"/>
      <w:numFmt w:val="lowerRoman"/>
      <w:lvlText w:val="%3."/>
      <w:lvlJc w:val="right"/>
      <w:pPr>
        <w:ind w:left="2160" w:hanging="180"/>
      </w:pPr>
    </w:lvl>
    <w:lvl w:ilvl="3" w:tplc="8CC277B0">
      <w:start w:val="1"/>
      <w:numFmt w:val="decimal"/>
      <w:lvlText w:val="%4."/>
      <w:lvlJc w:val="left"/>
      <w:pPr>
        <w:ind w:left="2880" w:hanging="360"/>
      </w:pPr>
    </w:lvl>
    <w:lvl w:ilvl="4" w:tplc="06BCAE72">
      <w:start w:val="1"/>
      <w:numFmt w:val="lowerLetter"/>
      <w:lvlText w:val="%5."/>
      <w:lvlJc w:val="left"/>
      <w:pPr>
        <w:ind w:left="3600" w:hanging="360"/>
      </w:pPr>
    </w:lvl>
    <w:lvl w:ilvl="5" w:tplc="EE864F4A">
      <w:start w:val="1"/>
      <w:numFmt w:val="lowerRoman"/>
      <w:lvlText w:val="%6."/>
      <w:lvlJc w:val="right"/>
      <w:pPr>
        <w:ind w:left="4320" w:hanging="180"/>
      </w:pPr>
    </w:lvl>
    <w:lvl w:ilvl="6" w:tplc="2D962310">
      <w:start w:val="1"/>
      <w:numFmt w:val="decimal"/>
      <w:lvlText w:val="%7."/>
      <w:lvlJc w:val="left"/>
      <w:pPr>
        <w:ind w:left="5040" w:hanging="360"/>
      </w:pPr>
    </w:lvl>
    <w:lvl w:ilvl="7" w:tplc="985A5894">
      <w:start w:val="1"/>
      <w:numFmt w:val="lowerLetter"/>
      <w:lvlText w:val="%8."/>
      <w:lvlJc w:val="left"/>
      <w:pPr>
        <w:ind w:left="5760" w:hanging="360"/>
      </w:pPr>
    </w:lvl>
    <w:lvl w:ilvl="8" w:tplc="9528C9B0">
      <w:start w:val="1"/>
      <w:numFmt w:val="lowerRoman"/>
      <w:lvlText w:val="%9."/>
      <w:lvlJc w:val="right"/>
      <w:pPr>
        <w:ind w:left="6480" w:hanging="180"/>
      </w:pPr>
    </w:lvl>
  </w:abstractNum>
  <w:abstractNum w:abstractNumId="5" w15:restartNumberingAfterBreak="0">
    <w:nsid w:val="14437837"/>
    <w:multiLevelType w:val="hybridMultilevel"/>
    <w:tmpl w:val="A7BC63DA"/>
    <w:lvl w:ilvl="0" w:tplc="2DBE5AB6">
      <w:start w:val="1"/>
      <w:numFmt w:val="decimal"/>
      <w:lvlText w:val="%1."/>
      <w:lvlJc w:val="left"/>
      <w:pPr>
        <w:ind w:left="720" w:hanging="360"/>
      </w:pPr>
    </w:lvl>
    <w:lvl w:ilvl="1" w:tplc="4E6259D6">
      <w:start w:val="1"/>
      <w:numFmt w:val="lowerLetter"/>
      <w:lvlText w:val="%2."/>
      <w:lvlJc w:val="left"/>
      <w:pPr>
        <w:ind w:left="1440" w:hanging="360"/>
      </w:pPr>
    </w:lvl>
    <w:lvl w:ilvl="2" w:tplc="CDBAE2FE">
      <w:start w:val="1"/>
      <w:numFmt w:val="lowerRoman"/>
      <w:lvlText w:val="%3."/>
      <w:lvlJc w:val="right"/>
      <w:pPr>
        <w:ind w:left="2160" w:hanging="180"/>
      </w:pPr>
    </w:lvl>
    <w:lvl w:ilvl="3" w:tplc="D660E05C">
      <w:start w:val="1"/>
      <w:numFmt w:val="decimal"/>
      <w:lvlText w:val="%4."/>
      <w:lvlJc w:val="left"/>
      <w:pPr>
        <w:ind w:left="2880" w:hanging="360"/>
      </w:pPr>
    </w:lvl>
    <w:lvl w:ilvl="4" w:tplc="BCB4BFB6">
      <w:start w:val="1"/>
      <w:numFmt w:val="lowerLetter"/>
      <w:lvlText w:val="%5."/>
      <w:lvlJc w:val="left"/>
      <w:pPr>
        <w:ind w:left="3600" w:hanging="360"/>
      </w:pPr>
    </w:lvl>
    <w:lvl w:ilvl="5" w:tplc="5C72D68E">
      <w:start w:val="1"/>
      <w:numFmt w:val="lowerRoman"/>
      <w:lvlText w:val="%6."/>
      <w:lvlJc w:val="right"/>
      <w:pPr>
        <w:ind w:left="4320" w:hanging="180"/>
      </w:pPr>
    </w:lvl>
    <w:lvl w:ilvl="6" w:tplc="B36835DE">
      <w:start w:val="1"/>
      <w:numFmt w:val="decimal"/>
      <w:lvlText w:val="%7."/>
      <w:lvlJc w:val="left"/>
      <w:pPr>
        <w:ind w:left="5040" w:hanging="360"/>
      </w:pPr>
    </w:lvl>
    <w:lvl w:ilvl="7" w:tplc="EA741CC6">
      <w:start w:val="1"/>
      <w:numFmt w:val="lowerLetter"/>
      <w:lvlText w:val="%8."/>
      <w:lvlJc w:val="left"/>
      <w:pPr>
        <w:ind w:left="5760" w:hanging="360"/>
      </w:pPr>
    </w:lvl>
    <w:lvl w:ilvl="8" w:tplc="4B846744">
      <w:start w:val="1"/>
      <w:numFmt w:val="lowerRoman"/>
      <w:lvlText w:val="%9."/>
      <w:lvlJc w:val="right"/>
      <w:pPr>
        <w:ind w:left="6480" w:hanging="180"/>
      </w:pPr>
    </w:lvl>
  </w:abstractNum>
  <w:abstractNum w:abstractNumId="6" w15:restartNumberingAfterBreak="0">
    <w:nsid w:val="15AF233A"/>
    <w:multiLevelType w:val="hybridMultilevel"/>
    <w:tmpl w:val="7A26834E"/>
    <w:lvl w:ilvl="0" w:tplc="E0E092DE">
      <w:start w:val="4"/>
      <w:numFmt w:val="decimal"/>
      <w:lvlText w:val="%1."/>
      <w:lvlJc w:val="left"/>
      <w:pPr>
        <w:ind w:left="720" w:hanging="360"/>
      </w:pPr>
    </w:lvl>
    <w:lvl w:ilvl="1" w:tplc="D968218A">
      <w:start w:val="1"/>
      <w:numFmt w:val="lowerLetter"/>
      <w:lvlText w:val="%2."/>
      <w:lvlJc w:val="left"/>
      <w:pPr>
        <w:ind w:left="1440" w:hanging="360"/>
      </w:pPr>
    </w:lvl>
    <w:lvl w:ilvl="2" w:tplc="212AD376">
      <w:start w:val="1"/>
      <w:numFmt w:val="lowerRoman"/>
      <w:lvlText w:val="%3."/>
      <w:lvlJc w:val="right"/>
      <w:pPr>
        <w:ind w:left="2160" w:hanging="180"/>
      </w:pPr>
    </w:lvl>
    <w:lvl w:ilvl="3" w:tplc="F5BCB722">
      <w:start w:val="1"/>
      <w:numFmt w:val="decimal"/>
      <w:lvlText w:val="%4."/>
      <w:lvlJc w:val="left"/>
      <w:pPr>
        <w:ind w:left="2880" w:hanging="360"/>
      </w:pPr>
    </w:lvl>
    <w:lvl w:ilvl="4" w:tplc="390AA506">
      <w:start w:val="1"/>
      <w:numFmt w:val="lowerLetter"/>
      <w:lvlText w:val="%5."/>
      <w:lvlJc w:val="left"/>
      <w:pPr>
        <w:ind w:left="3600" w:hanging="360"/>
      </w:pPr>
    </w:lvl>
    <w:lvl w:ilvl="5" w:tplc="532076A2">
      <w:start w:val="1"/>
      <w:numFmt w:val="lowerRoman"/>
      <w:lvlText w:val="%6."/>
      <w:lvlJc w:val="right"/>
      <w:pPr>
        <w:ind w:left="4320" w:hanging="180"/>
      </w:pPr>
    </w:lvl>
    <w:lvl w:ilvl="6" w:tplc="B7F009C8">
      <w:start w:val="1"/>
      <w:numFmt w:val="decimal"/>
      <w:lvlText w:val="%7."/>
      <w:lvlJc w:val="left"/>
      <w:pPr>
        <w:ind w:left="5040" w:hanging="360"/>
      </w:pPr>
    </w:lvl>
    <w:lvl w:ilvl="7" w:tplc="7D3A8FC8">
      <w:start w:val="1"/>
      <w:numFmt w:val="lowerLetter"/>
      <w:lvlText w:val="%8."/>
      <w:lvlJc w:val="left"/>
      <w:pPr>
        <w:ind w:left="5760" w:hanging="360"/>
      </w:pPr>
    </w:lvl>
    <w:lvl w:ilvl="8" w:tplc="96CA36F4">
      <w:start w:val="1"/>
      <w:numFmt w:val="lowerRoman"/>
      <w:lvlText w:val="%9."/>
      <w:lvlJc w:val="right"/>
      <w:pPr>
        <w:ind w:left="6480" w:hanging="180"/>
      </w:pPr>
    </w:lvl>
  </w:abstractNum>
  <w:abstractNum w:abstractNumId="7" w15:restartNumberingAfterBreak="0">
    <w:nsid w:val="268D1986"/>
    <w:multiLevelType w:val="hybridMultilevel"/>
    <w:tmpl w:val="3034B7FC"/>
    <w:lvl w:ilvl="0" w:tplc="C97C5354">
      <w:start w:val="3"/>
      <w:numFmt w:val="decimal"/>
      <w:lvlText w:val="%1."/>
      <w:lvlJc w:val="left"/>
      <w:pPr>
        <w:ind w:left="720" w:hanging="360"/>
      </w:pPr>
    </w:lvl>
    <w:lvl w:ilvl="1" w:tplc="0CD6DC14">
      <w:start w:val="1"/>
      <w:numFmt w:val="lowerLetter"/>
      <w:lvlText w:val="%2."/>
      <w:lvlJc w:val="left"/>
      <w:pPr>
        <w:ind w:left="1440" w:hanging="360"/>
      </w:pPr>
    </w:lvl>
    <w:lvl w:ilvl="2" w:tplc="AE209FD6">
      <w:start w:val="1"/>
      <w:numFmt w:val="lowerRoman"/>
      <w:lvlText w:val="%3."/>
      <w:lvlJc w:val="right"/>
      <w:pPr>
        <w:ind w:left="2160" w:hanging="180"/>
      </w:pPr>
    </w:lvl>
    <w:lvl w:ilvl="3" w:tplc="456A7114">
      <w:start w:val="1"/>
      <w:numFmt w:val="decimal"/>
      <w:lvlText w:val="%4."/>
      <w:lvlJc w:val="left"/>
      <w:pPr>
        <w:ind w:left="2880" w:hanging="360"/>
      </w:pPr>
    </w:lvl>
    <w:lvl w:ilvl="4" w:tplc="963ACA86">
      <w:start w:val="1"/>
      <w:numFmt w:val="lowerLetter"/>
      <w:lvlText w:val="%5."/>
      <w:lvlJc w:val="left"/>
      <w:pPr>
        <w:ind w:left="3600" w:hanging="360"/>
      </w:pPr>
    </w:lvl>
    <w:lvl w:ilvl="5" w:tplc="030639D8">
      <w:start w:val="1"/>
      <w:numFmt w:val="lowerRoman"/>
      <w:lvlText w:val="%6."/>
      <w:lvlJc w:val="right"/>
      <w:pPr>
        <w:ind w:left="4320" w:hanging="180"/>
      </w:pPr>
    </w:lvl>
    <w:lvl w:ilvl="6" w:tplc="75E690D0">
      <w:start w:val="1"/>
      <w:numFmt w:val="decimal"/>
      <w:lvlText w:val="%7."/>
      <w:lvlJc w:val="left"/>
      <w:pPr>
        <w:ind w:left="5040" w:hanging="360"/>
      </w:pPr>
    </w:lvl>
    <w:lvl w:ilvl="7" w:tplc="13A628D6">
      <w:start w:val="1"/>
      <w:numFmt w:val="lowerLetter"/>
      <w:lvlText w:val="%8."/>
      <w:lvlJc w:val="left"/>
      <w:pPr>
        <w:ind w:left="5760" w:hanging="360"/>
      </w:pPr>
    </w:lvl>
    <w:lvl w:ilvl="8" w:tplc="FC26D842">
      <w:start w:val="1"/>
      <w:numFmt w:val="lowerRoman"/>
      <w:lvlText w:val="%9."/>
      <w:lvlJc w:val="right"/>
      <w:pPr>
        <w:ind w:left="6480" w:hanging="180"/>
      </w:pPr>
    </w:lvl>
  </w:abstractNum>
  <w:abstractNum w:abstractNumId="8" w15:restartNumberingAfterBreak="0">
    <w:nsid w:val="275AB17E"/>
    <w:multiLevelType w:val="hybridMultilevel"/>
    <w:tmpl w:val="DAB85638"/>
    <w:lvl w:ilvl="0" w:tplc="FCBEADAE">
      <w:start w:val="23"/>
      <w:numFmt w:val="decimal"/>
      <w:lvlText w:val="%1."/>
      <w:lvlJc w:val="left"/>
      <w:pPr>
        <w:ind w:left="720" w:hanging="360"/>
      </w:pPr>
    </w:lvl>
    <w:lvl w:ilvl="1" w:tplc="73C01A16">
      <w:start w:val="1"/>
      <w:numFmt w:val="lowerLetter"/>
      <w:lvlText w:val="%2."/>
      <w:lvlJc w:val="left"/>
      <w:pPr>
        <w:ind w:left="1440" w:hanging="360"/>
      </w:pPr>
    </w:lvl>
    <w:lvl w:ilvl="2" w:tplc="10E21444">
      <w:start w:val="1"/>
      <w:numFmt w:val="lowerRoman"/>
      <w:lvlText w:val="%3."/>
      <w:lvlJc w:val="right"/>
      <w:pPr>
        <w:ind w:left="2160" w:hanging="180"/>
      </w:pPr>
    </w:lvl>
    <w:lvl w:ilvl="3" w:tplc="D04EDBC6">
      <w:start w:val="1"/>
      <w:numFmt w:val="decimal"/>
      <w:lvlText w:val="%4."/>
      <w:lvlJc w:val="left"/>
      <w:pPr>
        <w:ind w:left="2880" w:hanging="360"/>
      </w:pPr>
    </w:lvl>
    <w:lvl w:ilvl="4" w:tplc="E85E1436">
      <w:start w:val="1"/>
      <w:numFmt w:val="lowerLetter"/>
      <w:lvlText w:val="%5."/>
      <w:lvlJc w:val="left"/>
      <w:pPr>
        <w:ind w:left="3600" w:hanging="360"/>
      </w:pPr>
    </w:lvl>
    <w:lvl w:ilvl="5" w:tplc="D73A5FEE">
      <w:start w:val="1"/>
      <w:numFmt w:val="lowerRoman"/>
      <w:lvlText w:val="%6."/>
      <w:lvlJc w:val="right"/>
      <w:pPr>
        <w:ind w:left="4320" w:hanging="180"/>
      </w:pPr>
    </w:lvl>
    <w:lvl w:ilvl="6" w:tplc="B5E6DF1A">
      <w:start w:val="1"/>
      <w:numFmt w:val="decimal"/>
      <w:lvlText w:val="%7."/>
      <w:lvlJc w:val="left"/>
      <w:pPr>
        <w:ind w:left="5040" w:hanging="360"/>
      </w:pPr>
    </w:lvl>
    <w:lvl w:ilvl="7" w:tplc="83B42372">
      <w:start w:val="1"/>
      <w:numFmt w:val="lowerLetter"/>
      <w:lvlText w:val="%8."/>
      <w:lvlJc w:val="left"/>
      <w:pPr>
        <w:ind w:left="5760" w:hanging="360"/>
      </w:pPr>
    </w:lvl>
    <w:lvl w:ilvl="8" w:tplc="2F60CF5E">
      <w:start w:val="1"/>
      <w:numFmt w:val="lowerRoman"/>
      <w:lvlText w:val="%9."/>
      <w:lvlJc w:val="right"/>
      <w:pPr>
        <w:ind w:left="6480" w:hanging="180"/>
      </w:pPr>
    </w:lvl>
  </w:abstractNum>
  <w:abstractNum w:abstractNumId="9" w15:restartNumberingAfterBreak="0">
    <w:nsid w:val="33962D69"/>
    <w:multiLevelType w:val="hybridMultilevel"/>
    <w:tmpl w:val="64241182"/>
    <w:lvl w:ilvl="0" w:tplc="2D64A346">
      <w:start w:val="15"/>
      <w:numFmt w:val="decimal"/>
      <w:lvlText w:val="%1."/>
      <w:lvlJc w:val="left"/>
      <w:pPr>
        <w:ind w:left="720" w:hanging="360"/>
      </w:pPr>
    </w:lvl>
    <w:lvl w:ilvl="1" w:tplc="4120F906">
      <w:start w:val="1"/>
      <w:numFmt w:val="lowerLetter"/>
      <w:lvlText w:val="%2."/>
      <w:lvlJc w:val="left"/>
      <w:pPr>
        <w:ind w:left="1440" w:hanging="360"/>
      </w:pPr>
    </w:lvl>
    <w:lvl w:ilvl="2" w:tplc="063A5C60">
      <w:start w:val="1"/>
      <w:numFmt w:val="lowerRoman"/>
      <w:lvlText w:val="%3."/>
      <w:lvlJc w:val="right"/>
      <w:pPr>
        <w:ind w:left="2160" w:hanging="180"/>
      </w:pPr>
    </w:lvl>
    <w:lvl w:ilvl="3" w:tplc="62028074">
      <w:start w:val="1"/>
      <w:numFmt w:val="decimal"/>
      <w:lvlText w:val="%4."/>
      <w:lvlJc w:val="left"/>
      <w:pPr>
        <w:ind w:left="2880" w:hanging="360"/>
      </w:pPr>
    </w:lvl>
    <w:lvl w:ilvl="4" w:tplc="8646B77A">
      <w:start w:val="1"/>
      <w:numFmt w:val="lowerLetter"/>
      <w:lvlText w:val="%5."/>
      <w:lvlJc w:val="left"/>
      <w:pPr>
        <w:ind w:left="3600" w:hanging="360"/>
      </w:pPr>
    </w:lvl>
    <w:lvl w:ilvl="5" w:tplc="33D6E1F6">
      <w:start w:val="1"/>
      <w:numFmt w:val="lowerRoman"/>
      <w:lvlText w:val="%6."/>
      <w:lvlJc w:val="right"/>
      <w:pPr>
        <w:ind w:left="4320" w:hanging="180"/>
      </w:pPr>
    </w:lvl>
    <w:lvl w:ilvl="6" w:tplc="5042584E">
      <w:start w:val="1"/>
      <w:numFmt w:val="decimal"/>
      <w:lvlText w:val="%7."/>
      <w:lvlJc w:val="left"/>
      <w:pPr>
        <w:ind w:left="5040" w:hanging="360"/>
      </w:pPr>
    </w:lvl>
    <w:lvl w:ilvl="7" w:tplc="28B02F8C">
      <w:start w:val="1"/>
      <w:numFmt w:val="lowerLetter"/>
      <w:lvlText w:val="%8."/>
      <w:lvlJc w:val="left"/>
      <w:pPr>
        <w:ind w:left="5760" w:hanging="360"/>
      </w:pPr>
    </w:lvl>
    <w:lvl w:ilvl="8" w:tplc="8F7CF47C">
      <w:start w:val="1"/>
      <w:numFmt w:val="lowerRoman"/>
      <w:lvlText w:val="%9."/>
      <w:lvlJc w:val="right"/>
      <w:pPr>
        <w:ind w:left="6480" w:hanging="180"/>
      </w:pPr>
    </w:lvl>
  </w:abstractNum>
  <w:abstractNum w:abstractNumId="10" w15:restartNumberingAfterBreak="0">
    <w:nsid w:val="450A9BC1"/>
    <w:multiLevelType w:val="hybridMultilevel"/>
    <w:tmpl w:val="59D6E0B0"/>
    <w:lvl w:ilvl="0" w:tplc="77C64EFA">
      <w:start w:val="25"/>
      <w:numFmt w:val="decimal"/>
      <w:lvlText w:val="%1."/>
      <w:lvlJc w:val="left"/>
      <w:pPr>
        <w:ind w:left="720" w:hanging="360"/>
      </w:pPr>
    </w:lvl>
    <w:lvl w:ilvl="1" w:tplc="3B6E71E2">
      <w:start w:val="1"/>
      <w:numFmt w:val="lowerLetter"/>
      <w:lvlText w:val="%2."/>
      <w:lvlJc w:val="left"/>
      <w:pPr>
        <w:ind w:left="1440" w:hanging="360"/>
      </w:pPr>
    </w:lvl>
    <w:lvl w:ilvl="2" w:tplc="84982770">
      <w:start w:val="1"/>
      <w:numFmt w:val="lowerRoman"/>
      <w:lvlText w:val="%3."/>
      <w:lvlJc w:val="right"/>
      <w:pPr>
        <w:ind w:left="2160" w:hanging="180"/>
      </w:pPr>
    </w:lvl>
    <w:lvl w:ilvl="3" w:tplc="5C44201E">
      <w:start w:val="1"/>
      <w:numFmt w:val="decimal"/>
      <w:lvlText w:val="%4."/>
      <w:lvlJc w:val="left"/>
      <w:pPr>
        <w:ind w:left="2880" w:hanging="360"/>
      </w:pPr>
    </w:lvl>
    <w:lvl w:ilvl="4" w:tplc="6F4E7874">
      <w:start w:val="1"/>
      <w:numFmt w:val="lowerLetter"/>
      <w:lvlText w:val="%5."/>
      <w:lvlJc w:val="left"/>
      <w:pPr>
        <w:ind w:left="3600" w:hanging="360"/>
      </w:pPr>
    </w:lvl>
    <w:lvl w:ilvl="5" w:tplc="61A68336">
      <w:start w:val="1"/>
      <w:numFmt w:val="lowerRoman"/>
      <w:lvlText w:val="%6."/>
      <w:lvlJc w:val="right"/>
      <w:pPr>
        <w:ind w:left="4320" w:hanging="180"/>
      </w:pPr>
    </w:lvl>
    <w:lvl w:ilvl="6" w:tplc="2EFCC8B8">
      <w:start w:val="1"/>
      <w:numFmt w:val="decimal"/>
      <w:lvlText w:val="%7."/>
      <w:lvlJc w:val="left"/>
      <w:pPr>
        <w:ind w:left="5040" w:hanging="360"/>
      </w:pPr>
    </w:lvl>
    <w:lvl w:ilvl="7" w:tplc="C64612A2">
      <w:start w:val="1"/>
      <w:numFmt w:val="lowerLetter"/>
      <w:lvlText w:val="%8."/>
      <w:lvlJc w:val="left"/>
      <w:pPr>
        <w:ind w:left="5760" w:hanging="360"/>
      </w:pPr>
    </w:lvl>
    <w:lvl w:ilvl="8" w:tplc="49E688C6">
      <w:start w:val="1"/>
      <w:numFmt w:val="lowerRoman"/>
      <w:lvlText w:val="%9."/>
      <w:lvlJc w:val="right"/>
      <w:pPr>
        <w:ind w:left="6480" w:hanging="180"/>
      </w:pPr>
    </w:lvl>
  </w:abstractNum>
  <w:abstractNum w:abstractNumId="11" w15:restartNumberingAfterBreak="0">
    <w:nsid w:val="6984A2EA"/>
    <w:multiLevelType w:val="hybridMultilevel"/>
    <w:tmpl w:val="6B4491AC"/>
    <w:lvl w:ilvl="0" w:tplc="18FCD56C">
      <w:start w:val="9"/>
      <w:numFmt w:val="decimal"/>
      <w:lvlText w:val="%1."/>
      <w:lvlJc w:val="left"/>
      <w:pPr>
        <w:ind w:left="720" w:hanging="360"/>
      </w:pPr>
    </w:lvl>
    <w:lvl w:ilvl="1" w:tplc="106EC44C">
      <w:start w:val="1"/>
      <w:numFmt w:val="lowerLetter"/>
      <w:lvlText w:val="%2."/>
      <w:lvlJc w:val="left"/>
      <w:pPr>
        <w:ind w:left="1440" w:hanging="360"/>
      </w:pPr>
    </w:lvl>
    <w:lvl w:ilvl="2" w:tplc="4CEC6A5C">
      <w:start w:val="1"/>
      <w:numFmt w:val="lowerRoman"/>
      <w:lvlText w:val="%3."/>
      <w:lvlJc w:val="right"/>
      <w:pPr>
        <w:ind w:left="2160" w:hanging="180"/>
      </w:pPr>
    </w:lvl>
    <w:lvl w:ilvl="3" w:tplc="AAEA55E2">
      <w:start w:val="1"/>
      <w:numFmt w:val="decimal"/>
      <w:lvlText w:val="%4."/>
      <w:lvlJc w:val="left"/>
      <w:pPr>
        <w:ind w:left="2880" w:hanging="360"/>
      </w:pPr>
    </w:lvl>
    <w:lvl w:ilvl="4" w:tplc="3D208218">
      <w:start w:val="1"/>
      <w:numFmt w:val="lowerLetter"/>
      <w:lvlText w:val="%5."/>
      <w:lvlJc w:val="left"/>
      <w:pPr>
        <w:ind w:left="3600" w:hanging="360"/>
      </w:pPr>
    </w:lvl>
    <w:lvl w:ilvl="5" w:tplc="6972B44C">
      <w:start w:val="1"/>
      <w:numFmt w:val="lowerRoman"/>
      <w:lvlText w:val="%6."/>
      <w:lvlJc w:val="right"/>
      <w:pPr>
        <w:ind w:left="4320" w:hanging="180"/>
      </w:pPr>
    </w:lvl>
    <w:lvl w:ilvl="6" w:tplc="3F26EA00">
      <w:start w:val="1"/>
      <w:numFmt w:val="decimal"/>
      <w:lvlText w:val="%7."/>
      <w:lvlJc w:val="left"/>
      <w:pPr>
        <w:ind w:left="5040" w:hanging="360"/>
      </w:pPr>
    </w:lvl>
    <w:lvl w:ilvl="7" w:tplc="B2F614BE">
      <w:start w:val="1"/>
      <w:numFmt w:val="lowerLetter"/>
      <w:lvlText w:val="%8."/>
      <w:lvlJc w:val="left"/>
      <w:pPr>
        <w:ind w:left="5760" w:hanging="360"/>
      </w:pPr>
    </w:lvl>
    <w:lvl w:ilvl="8" w:tplc="418AE184">
      <w:start w:val="1"/>
      <w:numFmt w:val="lowerRoman"/>
      <w:lvlText w:val="%9."/>
      <w:lvlJc w:val="right"/>
      <w:pPr>
        <w:ind w:left="6480" w:hanging="180"/>
      </w:pPr>
    </w:lvl>
  </w:abstractNum>
  <w:abstractNum w:abstractNumId="12" w15:restartNumberingAfterBreak="0">
    <w:nsid w:val="6AE713F9"/>
    <w:multiLevelType w:val="hybridMultilevel"/>
    <w:tmpl w:val="614CFBC8"/>
    <w:lvl w:ilvl="0" w:tplc="D9C644F8">
      <w:start w:val="35"/>
      <w:numFmt w:val="decimal"/>
      <w:lvlText w:val="%1."/>
      <w:lvlJc w:val="left"/>
      <w:pPr>
        <w:ind w:left="720" w:hanging="360"/>
      </w:pPr>
    </w:lvl>
    <w:lvl w:ilvl="1" w:tplc="5EA66702">
      <w:start w:val="1"/>
      <w:numFmt w:val="lowerLetter"/>
      <w:lvlText w:val="%2."/>
      <w:lvlJc w:val="left"/>
      <w:pPr>
        <w:ind w:left="1440" w:hanging="360"/>
      </w:pPr>
    </w:lvl>
    <w:lvl w:ilvl="2" w:tplc="34563AA8">
      <w:start w:val="1"/>
      <w:numFmt w:val="lowerRoman"/>
      <w:lvlText w:val="%3."/>
      <w:lvlJc w:val="right"/>
      <w:pPr>
        <w:ind w:left="2160" w:hanging="180"/>
      </w:pPr>
    </w:lvl>
    <w:lvl w:ilvl="3" w:tplc="B8529A42">
      <w:start w:val="1"/>
      <w:numFmt w:val="decimal"/>
      <w:lvlText w:val="%4."/>
      <w:lvlJc w:val="left"/>
      <w:pPr>
        <w:ind w:left="2880" w:hanging="360"/>
      </w:pPr>
    </w:lvl>
    <w:lvl w:ilvl="4" w:tplc="5D68C13A">
      <w:start w:val="1"/>
      <w:numFmt w:val="lowerLetter"/>
      <w:lvlText w:val="%5."/>
      <w:lvlJc w:val="left"/>
      <w:pPr>
        <w:ind w:left="3600" w:hanging="360"/>
      </w:pPr>
    </w:lvl>
    <w:lvl w:ilvl="5" w:tplc="64601908">
      <w:start w:val="1"/>
      <w:numFmt w:val="lowerRoman"/>
      <w:lvlText w:val="%6."/>
      <w:lvlJc w:val="right"/>
      <w:pPr>
        <w:ind w:left="4320" w:hanging="180"/>
      </w:pPr>
    </w:lvl>
    <w:lvl w:ilvl="6" w:tplc="B4E41A84">
      <w:start w:val="1"/>
      <w:numFmt w:val="decimal"/>
      <w:lvlText w:val="%7."/>
      <w:lvlJc w:val="left"/>
      <w:pPr>
        <w:ind w:left="5040" w:hanging="360"/>
      </w:pPr>
    </w:lvl>
    <w:lvl w:ilvl="7" w:tplc="88A23DA6">
      <w:start w:val="1"/>
      <w:numFmt w:val="lowerLetter"/>
      <w:lvlText w:val="%8."/>
      <w:lvlJc w:val="left"/>
      <w:pPr>
        <w:ind w:left="5760" w:hanging="360"/>
      </w:pPr>
    </w:lvl>
    <w:lvl w:ilvl="8" w:tplc="96920C38">
      <w:start w:val="1"/>
      <w:numFmt w:val="lowerRoman"/>
      <w:lvlText w:val="%9."/>
      <w:lvlJc w:val="right"/>
      <w:pPr>
        <w:ind w:left="6480" w:hanging="180"/>
      </w:pPr>
    </w:lvl>
  </w:abstractNum>
  <w:abstractNum w:abstractNumId="13" w15:restartNumberingAfterBreak="0">
    <w:nsid w:val="6D0A6839"/>
    <w:multiLevelType w:val="multilevel"/>
    <w:tmpl w:val="1F3EE6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ACB8B46"/>
    <w:multiLevelType w:val="hybridMultilevel"/>
    <w:tmpl w:val="870E84B6"/>
    <w:lvl w:ilvl="0" w:tplc="DC1CE1AC">
      <w:start w:val="20"/>
      <w:numFmt w:val="decimal"/>
      <w:lvlText w:val="%1."/>
      <w:lvlJc w:val="left"/>
      <w:pPr>
        <w:ind w:left="720" w:hanging="360"/>
      </w:pPr>
    </w:lvl>
    <w:lvl w:ilvl="1" w:tplc="1E365EB2">
      <w:start w:val="1"/>
      <w:numFmt w:val="lowerLetter"/>
      <w:lvlText w:val="%2."/>
      <w:lvlJc w:val="left"/>
      <w:pPr>
        <w:ind w:left="1440" w:hanging="360"/>
      </w:pPr>
    </w:lvl>
    <w:lvl w:ilvl="2" w:tplc="6E8A0A0A">
      <w:start w:val="1"/>
      <w:numFmt w:val="lowerRoman"/>
      <w:lvlText w:val="%3."/>
      <w:lvlJc w:val="right"/>
      <w:pPr>
        <w:ind w:left="2160" w:hanging="180"/>
      </w:pPr>
    </w:lvl>
    <w:lvl w:ilvl="3" w:tplc="87681DDA">
      <w:start w:val="1"/>
      <w:numFmt w:val="decimal"/>
      <w:lvlText w:val="%4."/>
      <w:lvlJc w:val="left"/>
      <w:pPr>
        <w:ind w:left="2880" w:hanging="360"/>
      </w:pPr>
    </w:lvl>
    <w:lvl w:ilvl="4" w:tplc="868621EE">
      <w:start w:val="1"/>
      <w:numFmt w:val="lowerLetter"/>
      <w:lvlText w:val="%5."/>
      <w:lvlJc w:val="left"/>
      <w:pPr>
        <w:ind w:left="3600" w:hanging="360"/>
      </w:pPr>
    </w:lvl>
    <w:lvl w:ilvl="5" w:tplc="1A40738A">
      <w:start w:val="1"/>
      <w:numFmt w:val="lowerRoman"/>
      <w:lvlText w:val="%6."/>
      <w:lvlJc w:val="right"/>
      <w:pPr>
        <w:ind w:left="4320" w:hanging="180"/>
      </w:pPr>
    </w:lvl>
    <w:lvl w:ilvl="6" w:tplc="E73C9ABE">
      <w:start w:val="1"/>
      <w:numFmt w:val="decimal"/>
      <w:lvlText w:val="%7."/>
      <w:lvlJc w:val="left"/>
      <w:pPr>
        <w:ind w:left="5040" w:hanging="360"/>
      </w:pPr>
    </w:lvl>
    <w:lvl w:ilvl="7" w:tplc="DF18443A">
      <w:start w:val="1"/>
      <w:numFmt w:val="lowerLetter"/>
      <w:lvlText w:val="%8."/>
      <w:lvlJc w:val="left"/>
      <w:pPr>
        <w:ind w:left="5760" w:hanging="360"/>
      </w:pPr>
    </w:lvl>
    <w:lvl w:ilvl="8" w:tplc="D06ECD3E">
      <w:start w:val="1"/>
      <w:numFmt w:val="lowerRoman"/>
      <w:lvlText w:val="%9."/>
      <w:lvlJc w:val="right"/>
      <w:pPr>
        <w:ind w:left="6480" w:hanging="180"/>
      </w:pPr>
    </w:lvl>
  </w:abstractNum>
  <w:num w:numId="1" w16cid:durableId="2013024713">
    <w:abstractNumId w:val="12"/>
  </w:num>
  <w:num w:numId="2" w16cid:durableId="1558663899">
    <w:abstractNumId w:val="3"/>
  </w:num>
  <w:num w:numId="3" w16cid:durableId="733285208">
    <w:abstractNumId w:val="10"/>
  </w:num>
  <w:num w:numId="4" w16cid:durableId="544680280">
    <w:abstractNumId w:val="8"/>
  </w:num>
  <w:num w:numId="5" w16cid:durableId="748234694">
    <w:abstractNumId w:val="14"/>
  </w:num>
  <w:num w:numId="6" w16cid:durableId="1131899215">
    <w:abstractNumId w:val="0"/>
  </w:num>
  <w:num w:numId="7" w16cid:durableId="764152546">
    <w:abstractNumId w:val="9"/>
  </w:num>
  <w:num w:numId="8" w16cid:durableId="1684742687">
    <w:abstractNumId w:val="1"/>
  </w:num>
  <w:num w:numId="9" w16cid:durableId="1973052944">
    <w:abstractNumId w:val="11"/>
  </w:num>
  <w:num w:numId="10" w16cid:durableId="1304698387">
    <w:abstractNumId w:val="6"/>
  </w:num>
  <w:num w:numId="11" w16cid:durableId="2025747883">
    <w:abstractNumId w:val="7"/>
  </w:num>
  <w:num w:numId="12" w16cid:durableId="298265909">
    <w:abstractNumId w:val="2"/>
  </w:num>
  <w:num w:numId="13" w16cid:durableId="1724448864">
    <w:abstractNumId w:val="5"/>
  </w:num>
  <w:num w:numId="14" w16cid:durableId="2097938779">
    <w:abstractNumId w:val="4"/>
  </w:num>
  <w:num w:numId="15" w16cid:durableId="3365375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56CC3B"/>
    <w:rsid w:val="000761BD"/>
    <w:rsid w:val="0013356B"/>
    <w:rsid w:val="00141697"/>
    <w:rsid w:val="00192E88"/>
    <w:rsid w:val="001B5F4B"/>
    <w:rsid w:val="001C6DDF"/>
    <w:rsid w:val="001E0017"/>
    <w:rsid w:val="001E74BC"/>
    <w:rsid w:val="002047C1"/>
    <w:rsid w:val="00270C2C"/>
    <w:rsid w:val="0027222F"/>
    <w:rsid w:val="003336B4"/>
    <w:rsid w:val="003B1BE9"/>
    <w:rsid w:val="003D2AFC"/>
    <w:rsid w:val="003D82B1"/>
    <w:rsid w:val="00400A30"/>
    <w:rsid w:val="00400D2B"/>
    <w:rsid w:val="00442572"/>
    <w:rsid w:val="004811C7"/>
    <w:rsid w:val="00535677"/>
    <w:rsid w:val="00687A2B"/>
    <w:rsid w:val="00784EAE"/>
    <w:rsid w:val="008C1008"/>
    <w:rsid w:val="00930803"/>
    <w:rsid w:val="009D7677"/>
    <w:rsid w:val="009D7A5D"/>
    <w:rsid w:val="00A05804"/>
    <w:rsid w:val="00A50906"/>
    <w:rsid w:val="00A5421E"/>
    <w:rsid w:val="00AA1306"/>
    <w:rsid w:val="00AA67F2"/>
    <w:rsid w:val="00AE00F0"/>
    <w:rsid w:val="00B06DAD"/>
    <w:rsid w:val="00BC6174"/>
    <w:rsid w:val="00C300DE"/>
    <w:rsid w:val="00C3136A"/>
    <w:rsid w:val="00C31970"/>
    <w:rsid w:val="00C538E2"/>
    <w:rsid w:val="00E06639"/>
    <w:rsid w:val="00E12C46"/>
    <w:rsid w:val="00F10E88"/>
    <w:rsid w:val="00F4022B"/>
    <w:rsid w:val="00F72C7C"/>
    <w:rsid w:val="01493469"/>
    <w:rsid w:val="015CFE72"/>
    <w:rsid w:val="01740342"/>
    <w:rsid w:val="017AB7C9"/>
    <w:rsid w:val="02458C2E"/>
    <w:rsid w:val="0248EB49"/>
    <w:rsid w:val="026D351C"/>
    <w:rsid w:val="02B7A7E7"/>
    <w:rsid w:val="03EAC040"/>
    <w:rsid w:val="04E0E63B"/>
    <w:rsid w:val="058E988E"/>
    <w:rsid w:val="060D1AB5"/>
    <w:rsid w:val="0613E5C2"/>
    <w:rsid w:val="0633B55F"/>
    <w:rsid w:val="065229B9"/>
    <w:rsid w:val="069BFCD4"/>
    <w:rsid w:val="0719CAA9"/>
    <w:rsid w:val="078C11B4"/>
    <w:rsid w:val="07A92383"/>
    <w:rsid w:val="07A9240B"/>
    <w:rsid w:val="07F2BF52"/>
    <w:rsid w:val="0812CF26"/>
    <w:rsid w:val="087C9B8F"/>
    <w:rsid w:val="08A87985"/>
    <w:rsid w:val="08BADA68"/>
    <w:rsid w:val="08C93613"/>
    <w:rsid w:val="0901DCDD"/>
    <w:rsid w:val="09676BCE"/>
    <w:rsid w:val="096D0A66"/>
    <w:rsid w:val="0A042D40"/>
    <w:rsid w:val="0A0698AF"/>
    <w:rsid w:val="0A91A7DF"/>
    <w:rsid w:val="0AA7CA2D"/>
    <w:rsid w:val="0AACF181"/>
    <w:rsid w:val="0B0F2350"/>
    <w:rsid w:val="0B50EB0F"/>
    <w:rsid w:val="0B8A465B"/>
    <w:rsid w:val="0BDBCFFA"/>
    <w:rsid w:val="0C7ACC35"/>
    <w:rsid w:val="0CCD54A6"/>
    <w:rsid w:val="0DB52CEB"/>
    <w:rsid w:val="0EC48C36"/>
    <w:rsid w:val="0EE43EBB"/>
    <w:rsid w:val="0EF02157"/>
    <w:rsid w:val="0F3DB821"/>
    <w:rsid w:val="0FB4363A"/>
    <w:rsid w:val="101B5783"/>
    <w:rsid w:val="1060B353"/>
    <w:rsid w:val="10E4ABF0"/>
    <w:rsid w:val="110CECBC"/>
    <w:rsid w:val="1123E29B"/>
    <w:rsid w:val="1134BB31"/>
    <w:rsid w:val="11EB2DB2"/>
    <w:rsid w:val="12B99038"/>
    <w:rsid w:val="1318D93D"/>
    <w:rsid w:val="13AF3E1C"/>
    <w:rsid w:val="14012936"/>
    <w:rsid w:val="14DFABF5"/>
    <w:rsid w:val="15B14242"/>
    <w:rsid w:val="1622F273"/>
    <w:rsid w:val="1691FE8C"/>
    <w:rsid w:val="169B4250"/>
    <w:rsid w:val="16B219BA"/>
    <w:rsid w:val="16BF58F4"/>
    <w:rsid w:val="174DA3C7"/>
    <w:rsid w:val="17AEE9B8"/>
    <w:rsid w:val="17CCF57D"/>
    <w:rsid w:val="1863CF24"/>
    <w:rsid w:val="186DEB0B"/>
    <w:rsid w:val="189F5A77"/>
    <w:rsid w:val="19C40FED"/>
    <w:rsid w:val="1ABBC2D7"/>
    <w:rsid w:val="1B132589"/>
    <w:rsid w:val="1B6F5248"/>
    <w:rsid w:val="1B929EB5"/>
    <w:rsid w:val="1BB99BDA"/>
    <w:rsid w:val="1C38ED39"/>
    <w:rsid w:val="1C43F89E"/>
    <w:rsid w:val="1C959A95"/>
    <w:rsid w:val="1DADA334"/>
    <w:rsid w:val="1DDD79FD"/>
    <w:rsid w:val="1ECF2C16"/>
    <w:rsid w:val="1F58076B"/>
    <w:rsid w:val="1FF0D372"/>
    <w:rsid w:val="201AAE29"/>
    <w:rsid w:val="20362015"/>
    <w:rsid w:val="20403C4B"/>
    <w:rsid w:val="20CFA07B"/>
    <w:rsid w:val="20F29845"/>
    <w:rsid w:val="21656042"/>
    <w:rsid w:val="21AD7637"/>
    <w:rsid w:val="21EE0A14"/>
    <w:rsid w:val="21FE6C22"/>
    <w:rsid w:val="229805FC"/>
    <w:rsid w:val="22D65361"/>
    <w:rsid w:val="22E4B0F7"/>
    <w:rsid w:val="237CAFDE"/>
    <w:rsid w:val="23CEDB1F"/>
    <w:rsid w:val="24253D25"/>
    <w:rsid w:val="24B60AF6"/>
    <w:rsid w:val="24C92DCC"/>
    <w:rsid w:val="254B1A7F"/>
    <w:rsid w:val="261E6873"/>
    <w:rsid w:val="2640D210"/>
    <w:rsid w:val="264B4098"/>
    <w:rsid w:val="26B27F73"/>
    <w:rsid w:val="273D6A57"/>
    <w:rsid w:val="27900FA5"/>
    <w:rsid w:val="27AA79B9"/>
    <w:rsid w:val="285A8C44"/>
    <w:rsid w:val="285FFA62"/>
    <w:rsid w:val="28650F9B"/>
    <w:rsid w:val="289C1499"/>
    <w:rsid w:val="28BD23E5"/>
    <w:rsid w:val="29907A94"/>
    <w:rsid w:val="29C4A883"/>
    <w:rsid w:val="2A3D97C7"/>
    <w:rsid w:val="2A79BF66"/>
    <w:rsid w:val="2A835763"/>
    <w:rsid w:val="2A8B7FED"/>
    <w:rsid w:val="2B2D6C45"/>
    <w:rsid w:val="2C269499"/>
    <w:rsid w:val="2CB5DC00"/>
    <w:rsid w:val="2CE0B2F5"/>
    <w:rsid w:val="2CE37C8D"/>
    <w:rsid w:val="2CED1D0D"/>
    <w:rsid w:val="2D8B4765"/>
    <w:rsid w:val="2DE12051"/>
    <w:rsid w:val="2E37A1D4"/>
    <w:rsid w:val="2E87BD49"/>
    <w:rsid w:val="2EA2B2AC"/>
    <w:rsid w:val="2EA6EB53"/>
    <w:rsid w:val="2EB8DD4B"/>
    <w:rsid w:val="2F0374DE"/>
    <w:rsid w:val="2F04D917"/>
    <w:rsid w:val="2FC2A186"/>
    <w:rsid w:val="2FC35C90"/>
    <w:rsid w:val="2FC78EC8"/>
    <w:rsid w:val="305AFF2A"/>
    <w:rsid w:val="30E078DF"/>
    <w:rsid w:val="30F69168"/>
    <w:rsid w:val="31664B5C"/>
    <w:rsid w:val="32187196"/>
    <w:rsid w:val="32365013"/>
    <w:rsid w:val="3236F877"/>
    <w:rsid w:val="33777F5D"/>
    <w:rsid w:val="344E332A"/>
    <w:rsid w:val="34EA48D2"/>
    <w:rsid w:val="35170C32"/>
    <w:rsid w:val="353050DE"/>
    <w:rsid w:val="366B8DB7"/>
    <w:rsid w:val="36E68BAD"/>
    <w:rsid w:val="3829211C"/>
    <w:rsid w:val="383B6F32"/>
    <w:rsid w:val="386E45B3"/>
    <w:rsid w:val="3933D357"/>
    <w:rsid w:val="39580673"/>
    <w:rsid w:val="39612300"/>
    <w:rsid w:val="39770E73"/>
    <w:rsid w:val="39E8D6AB"/>
    <w:rsid w:val="3A2781BB"/>
    <w:rsid w:val="3A42FFBC"/>
    <w:rsid w:val="3A5F4376"/>
    <w:rsid w:val="3AED2FA8"/>
    <w:rsid w:val="3B01E0A2"/>
    <w:rsid w:val="3B619ABE"/>
    <w:rsid w:val="3C7C2FDC"/>
    <w:rsid w:val="3C7FA47C"/>
    <w:rsid w:val="3C96E946"/>
    <w:rsid w:val="3CF14455"/>
    <w:rsid w:val="3E223B05"/>
    <w:rsid w:val="3E7D5823"/>
    <w:rsid w:val="3EF1BD34"/>
    <w:rsid w:val="3EF3ABC4"/>
    <w:rsid w:val="3EFCAA6D"/>
    <w:rsid w:val="3F0981CF"/>
    <w:rsid w:val="3FE04B5B"/>
    <w:rsid w:val="40CBDA8A"/>
    <w:rsid w:val="40DD1F0C"/>
    <w:rsid w:val="413F9555"/>
    <w:rsid w:val="41760CA5"/>
    <w:rsid w:val="4176806A"/>
    <w:rsid w:val="41A14C36"/>
    <w:rsid w:val="41B6B5F8"/>
    <w:rsid w:val="420E186F"/>
    <w:rsid w:val="4233CECF"/>
    <w:rsid w:val="4236727D"/>
    <w:rsid w:val="436351DD"/>
    <w:rsid w:val="439E6762"/>
    <w:rsid w:val="4445088D"/>
    <w:rsid w:val="44FB4434"/>
    <w:rsid w:val="453D814C"/>
    <w:rsid w:val="46175EFD"/>
    <w:rsid w:val="4655CFD0"/>
    <w:rsid w:val="46BA36A9"/>
    <w:rsid w:val="46EB5808"/>
    <w:rsid w:val="46F93B32"/>
    <w:rsid w:val="47082B87"/>
    <w:rsid w:val="47D1ECAB"/>
    <w:rsid w:val="4870D7F7"/>
    <w:rsid w:val="487E8D7F"/>
    <w:rsid w:val="49066FC3"/>
    <w:rsid w:val="491D17A7"/>
    <w:rsid w:val="495BB839"/>
    <w:rsid w:val="4992206A"/>
    <w:rsid w:val="49BD4341"/>
    <w:rsid w:val="4A7A85A9"/>
    <w:rsid w:val="4AB60C18"/>
    <w:rsid w:val="4AD970C9"/>
    <w:rsid w:val="4B8AE680"/>
    <w:rsid w:val="4C341F9C"/>
    <w:rsid w:val="4CC9D155"/>
    <w:rsid w:val="4D0B50CB"/>
    <w:rsid w:val="4D25AF7A"/>
    <w:rsid w:val="4D6D59F8"/>
    <w:rsid w:val="4D856B2B"/>
    <w:rsid w:val="4DD69798"/>
    <w:rsid w:val="4E2AB75D"/>
    <w:rsid w:val="4E8DFE24"/>
    <w:rsid w:val="4F43E935"/>
    <w:rsid w:val="4F71FEA1"/>
    <w:rsid w:val="4F853D90"/>
    <w:rsid w:val="4F95CE4D"/>
    <w:rsid w:val="5020AD0C"/>
    <w:rsid w:val="50366C73"/>
    <w:rsid w:val="50897C53"/>
    <w:rsid w:val="509F6C02"/>
    <w:rsid w:val="50DCE566"/>
    <w:rsid w:val="511AEFC6"/>
    <w:rsid w:val="51B63B87"/>
    <w:rsid w:val="51F2B3FA"/>
    <w:rsid w:val="520E2283"/>
    <w:rsid w:val="5226D89C"/>
    <w:rsid w:val="52A5ADB2"/>
    <w:rsid w:val="52A893E4"/>
    <w:rsid w:val="5317AB00"/>
    <w:rsid w:val="534D1220"/>
    <w:rsid w:val="53644D12"/>
    <w:rsid w:val="5426C81D"/>
    <w:rsid w:val="543EE371"/>
    <w:rsid w:val="54523568"/>
    <w:rsid w:val="546214C9"/>
    <w:rsid w:val="556F84EB"/>
    <w:rsid w:val="55E40D3E"/>
    <w:rsid w:val="56EAB47B"/>
    <w:rsid w:val="57737D2D"/>
    <w:rsid w:val="57C63C64"/>
    <w:rsid w:val="5904A999"/>
    <w:rsid w:val="59401BD6"/>
    <w:rsid w:val="5983E6E8"/>
    <w:rsid w:val="59939669"/>
    <w:rsid w:val="5ABAD770"/>
    <w:rsid w:val="5B7A65CD"/>
    <w:rsid w:val="5BA39F4C"/>
    <w:rsid w:val="5BA965D4"/>
    <w:rsid w:val="5CA4B3F5"/>
    <w:rsid w:val="5CBA07E2"/>
    <w:rsid w:val="5CEEE762"/>
    <w:rsid w:val="5D23EBE8"/>
    <w:rsid w:val="5E8B286F"/>
    <w:rsid w:val="5EBA1E41"/>
    <w:rsid w:val="5EDE10D6"/>
    <w:rsid w:val="5F395891"/>
    <w:rsid w:val="5F3A5545"/>
    <w:rsid w:val="5F52D397"/>
    <w:rsid w:val="5F8667DA"/>
    <w:rsid w:val="5F8773EA"/>
    <w:rsid w:val="5FBA0A18"/>
    <w:rsid w:val="6006D43C"/>
    <w:rsid w:val="60123C65"/>
    <w:rsid w:val="6046595A"/>
    <w:rsid w:val="6055673F"/>
    <w:rsid w:val="620F1116"/>
    <w:rsid w:val="62F6641D"/>
    <w:rsid w:val="63520983"/>
    <w:rsid w:val="63970DDA"/>
    <w:rsid w:val="646DE685"/>
    <w:rsid w:val="668B51DD"/>
    <w:rsid w:val="67C64B13"/>
    <w:rsid w:val="68277134"/>
    <w:rsid w:val="68B50677"/>
    <w:rsid w:val="68D6BA95"/>
    <w:rsid w:val="694210E2"/>
    <w:rsid w:val="69961476"/>
    <w:rsid w:val="6AF21479"/>
    <w:rsid w:val="6B1077AD"/>
    <w:rsid w:val="6B220F7B"/>
    <w:rsid w:val="6B454FDD"/>
    <w:rsid w:val="6B51EC14"/>
    <w:rsid w:val="6B8A7010"/>
    <w:rsid w:val="6D64D5C0"/>
    <w:rsid w:val="6D75307E"/>
    <w:rsid w:val="6DA0C15F"/>
    <w:rsid w:val="6DAACA5B"/>
    <w:rsid w:val="6DB2BBDA"/>
    <w:rsid w:val="6E345CC9"/>
    <w:rsid w:val="6E3FC0F3"/>
    <w:rsid w:val="6E662E8E"/>
    <w:rsid w:val="6E69983D"/>
    <w:rsid w:val="6F8BDC01"/>
    <w:rsid w:val="6FC6CA58"/>
    <w:rsid w:val="6FC83474"/>
    <w:rsid w:val="6FE6A283"/>
    <w:rsid w:val="7096BCDB"/>
    <w:rsid w:val="72583B0C"/>
    <w:rsid w:val="726B4B00"/>
    <w:rsid w:val="72E22EE3"/>
    <w:rsid w:val="72E3EEFF"/>
    <w:rsid w:val="731101E5"/>
    <w:rsid w:val="73381511"/>
    <w:rsid w:val="7360FF7E"/>
    <w:rsid w:val="7489F588"/>
    <w:rsid w:val="74A79AC6"/>
    <w:rsid w:val="74B0452E"/>
    <w:rsid w:val="75825301"/>
    <w:rsid w:val="760E3809"/>
    <w:rsid w:val="7627F06D"/>
    <w:rsid w:val="76EA164C"/>
    <w:rsid w:val="78375505"/>
    <w:rsid w:val="785858F4"/>
    <w:rsid w:val="78707CCA"/>
    <w:rsid w:val="78B5A9CD"/>
    <w:rsid w:val="7953A5F3"/>
    <w:rsid w:val="7956CC3B"/>
    <w:rsid w:val="7996324B"/>
    <w:rsid w:val="7A05E85C"/>
    <w:rsid w:val="7A0752A9"/>
    <w:rsid w:val="7B1959B8"/>
    <w:rsid w:val="7B53D77D"/>
    <w:rsid w:val="7B82DAED"/>
    <w:rsid w:val="7B958E6D"/>
    <w:rsid w:val="7C322428"/>
    <w:rsid w:val="7C9ACAFF"/>
    <w:rsid w:val="7CB673B7"/>
    <w:rsid w:val="7CEBE4A3"/>
    <w:rsid w:val="7D089EB1"/>
    <w:rsid w:val="7D244082"/>
    <w:rsid w:val="7D38106A"/>
    <w:rsid w:val="7D77CA14"/>
    <w:rsid w:val="7DC5BA71"/>
    <w:rsid w:val="7DD2BDCB"/>
    <w:rsid w:val="7DE35B6F"/>
    <w:rsid w:val="7DF822FC"/>
    <w:rsid w:val="7F0B1C23"/>
    <w:rsid w:val="7F1F7661"/>
    <w:rsid w:val="7F778AF4"/>
    <w:rsid w:val="7FCA07C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82623"/>
  <w15:chartTrackingRefBased/>
  <w15:docId w15:val="{99E0A13F-5529-4B8A-BCCF-C36D0D9B9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uiPriority w:val="9"/>
    <w:unhideWhenUsed/>
    <w:qFormat/>
    <w:rsid w:val="49922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4992206A"/>
    <w:pPr>
      <w:ind w:left="720"/>
      <w:contextualSpacing/>
    </w:pPr>
  </w:style>
  <w:style w:type="paragraph" w:styleId="Notedebasdepage">
    <w:name w:val="footnote text"/>
    <w:basedOn w:val="Normal"/>
    <w:uiPriority w:val="99"/>
    <w:semiHidden/>
    <w:unhideWhenUsed/>
    <w:rsid w:val="4992206A"/>
    <w:pPr>
      <w:spacing w:after="0" w:line="240" w:lineRule="auto"/>
    </w:pPr>
    <w:rPr>
      <w:sz w:val="20"/>
      <w:szCs w:val="20"/>
    </w:rPr>
  </w:style>
  <w:style w:type="character" w:styleId="Appelnotedebasdep">
    <w:name w:val="footnote reference"/>
    <w:uiPriority w:val="99"/>
    <w:semiHidden/>
    <w:unhideWhenUsed/>
    <w:rsid w:val="1622F273"/>
    <w:rPr>
      <w:vertAlign w:val="superscript"/>
    </w:rPr>
  </w:style>
  <w:style w:type="paragraph" w:styleId="En-tte">
    <w:name w:val="header"/>
    <w:basedOn w:val="Normal"/>
    <w:uiPriority w:val="99"/>
    <w:unhideWhenUsed/>
    <w:rsid w:val="4992206A"/>
    <w:pPr>
      <w:tabs>
        <w:tab w:val="center" w:pos="4680"/>
        <w:tab w:val="right" w:pos="9360"/>
      </w:tabs>
      <w:spacing w:after="0" w:line="240" w:lineRule="auto"/>
    </w:pPr>
  </w:style>
  <w:style w:type="paragraph" w:styleId="Pieddepage">
    <w:name w:val="footer"/>
    <w:basedOn w:val="Normal"/>
    <w:uiPriority w:val="99"/>
    <w:unhideWhenUsed/>
    <w:rsid w:val="4992206A"/>
    <w:pPr>
      <w:tabs>
        <w:tab w:val="center" w:pos="4680"/>
        <w:tab w:val="right" w:pos="9360"/>
      </w:tabs>
      <w:spacing w:after="0" w:line="240" w:lineRule="auto"/>
    </w:pPr>
  </w:style>
  <w:style w:type="character" w:styleId="Lienhypertexte">
    <w:name w:val="Hyperlink"/>
    <w:uiPriority w:val="99"/>
    <w:unhideWhenUsed/>
    <w:rsid w:val="1622F273"/>
    <w:rPr>
      <w:color w:val="467886"/>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arquedecommentaire">
    <w:name w:val="annotation reference"/>
    <w:uiPriority w:val="99"/>
    <w:semiHidden/>
    <w:unhideWhenUsed/>
    <w:rsid w:val="1622F273"/>
    <w:rPr>
      <w:sz w:val="16"/>
      <w:szCs w:val="16"/>
    </w:rPr>
  </w:style>
  <w:style w:type="paragraph" w:styleId="Commentaire">
    <w:name w:val="annotation text"/>
    <w:basedOn w:val="Normal"/>
    <w:link w:val="CommentaireCar"/>
    <w:uiPriority w:val="99"/>
    <w:unhideWhenUsed/>
    <w:rsid w:val="00687A2B"/>
    <w:pPr>
      <w:spacing w:line="240" w:lineRule="auto"/>
    </w:pPr>
    <w:rPr>
      <w:sz w:val="20"/>
      <w:szCs w:val="20"/>
    </w:rPr>
  </w:style>
  <w:style w:type="character" w:customStyle="1" w:styleId="CommentaireCar">
    <w:name w:val="Commentaire Car"/>
    <w:link w:val="Commentaire"/>
    <w:uiPriority w:val="99"/>
    <w:rsid w:val="1622F273"/>
    <w:rPr>
      <w:sz w:val="20"/>
      <w:szCs w:val="20"/>
    </w:rPr>
  </w:style>
  <w:style w:type="paragraph" w:styleId="Objetducommentaire">
    <w:name w:val="annotation subject"/>
    <w:basedOn w:val="Commentaire"/>
    <w:next w:val="Commentaire"/>
    <w:link w:val="ObjetducommentaireCar"/>
    <w:uiPriority w:val="99"/>
    <w:semiHidden/>
    <w:unhideWhenUsed/>
    <w:rsid w:val="00687A2B"/>
    <w:rPr>
      <w:b/>
      <w:bCs/>
    </w:rPr>
  </w:style>
  <w:style w:type="character" w:customStyle="1" w:styleId="ObjetducommentaireCar">
    <w:name w:val="Objet du commentaire Car"/>
    <w:basedOn w:val="CommentaireCar"/>
    <w:link w:val="Objetducommentaire"/>
    <w:uiPriority w:val="99"/>
    <w:semiHidden/>
    <w:rsid w:val="00687A2B"/>
    <w:rPr>
      <w:b/>
      <w:bCs/>
      <w:sz w:val="20"/>
      <w:szCs w:val="20"/>
    </w:rPr>
  </w:style>
  <w:style w:type="paragraph" w:styleId="NormalWeb">
    <w:name w:val="Normal (Web)"/>
    <w:basedOn w:val="Normal"/>
    <w:uiPriority w:val="99"/>
    <w:semiHidden/>
    <w:unhideWhenUsed/>
    <w:rsid w:val="00AA67F2"/>
    <w:rPr>
      <w:rFonts w:ascii="Times New Roman" w:hAnsi="Times New Roman" w:cs="Times New Roman"/>
    </w:rPr>
  </w:style>
  <w:style w:type="character" w:styleId="Mentionnonrsolue">
    <w:name w:val="Unresolved Mention"/>
    <w:uiPriority w:val="99"/>
    <w:semiHidden/>
    <w:unhideWhenUsed/>
    <w:rsid w:val="1622F273"/>
    <w:rPr>
      <w:color w:val="605E5C"/>
    </w:rPr>
  </w:style>
  <w:style w:type="paragraph" w:styleId="Notedefin">
    <w:name w:val="endnote text"/>
    <w:basedOn w:val="Normal"/>
    <w:uiPriority w:val="99"/>
    <w:semiHidden/>
    <w:unhideWhenUsed/>
    <w:rsid w:val="1622F273"/>
    <w:pPr>
      <w:spacing w:after="0" w:line="240" w:lineRule="auto"/>
    </w:pPr>
    <w:rPr>
      <w:sz w:val="20"/>
      <w:szCs w:val="20"/>
    </w:rPr>
  </w:style>
  <w:style w:type="character" w:styleId="Appeldenotedefin">
    <w:name w:val="endnote reference"/>
    <w:uiPriority w:val="99"/>
    <w:semiHidden/>
    <w:unhideWhenUsed/>
    <w:rsid w:val="1622F2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ohchr.org/fr/countries/algeria" TargetMode="External"/><Relationship Id="rId1" Type="http://schemas.openxmlformats.org/officeDocument/2006/relationships/hyperlink" Target="https://menarights.org/en/articles/analyse-du-projet-de-loi-sur-les-associ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Collectif des familles de Disparu(e)s en Algérie (CFDA)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CC5B0BD7-F7C9-49DD-9AD2-52439D3D1381}"/>
</file>

<file path=customXml/itemProps2.xml><?xml version="1.0" encoding="utf-8"?>
<ds:datastoreItem xmlns:ds="http://schemas.openxmlformats.org/officeDocument/2006/customXml" ds:itemID="{7259CD37-2B7D-490F-91B1-6E5FCD5FB9AC}"/>
</file>

<file path=customXml/itemProps3.xml><?xml version="1.0" encoding="utf-8"?>
<ds:datastoreItem xmlns:ds="http://schemas.openxmlformats.org/officeDocument/2006/customXml" ds:itemID="{1EC762BC-C224-44C4-9F26-0DED434B0702}"/>
</file>

<file path=docProps/app.xml><?xml version="1.0" encoding="utf-8"?>
<Properties xmlns="http://schemas.openxmlformats.org/officeDocument/2006/extended-properties" xmlns:vt="http://schemas.openxmlformats.org/officeDocument/2006/docPropsVTypes">
  <Template>Normal</Template>
  <TotalTime>9</TotalTime>
  <Pages>10</Pages>
  <Words>3695</Words>
  <Characters>20323</Characters>
  <Application>Microsoft Office Word</Application>
  <DocSecurity>0</DocSecurity>
  <Lines>169</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Noeline Bourhis</dc:creator>
  <cp:keywords/>
  <dc:description/>
  <cp:lastModifiedBy>cfda femed</cp:lastModifiedBy>
  <cp:revision>2</cp:revision>
  <dcterms:created xsi:type="dcterms:W3CDTF">2026-07-15T15:01:00Z</dcterms:created>
  <dcterms:modified xsi:type="dcterms:W3CDTF">2026-07-15T15:01:00Z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c20be7-c3a5-46e3-9158-fa8a02ce2395_Enabled">
    <vt:lpwstr>true</vt:lpwstr>
  </property>
  <property fmtid="{D5CDD505-2E9C-101B-9397-08002B2CF9AE}" pid="3" name="MSIP_Label_d5c20be7-c3a5-46e3-9158-fa8a02ce2395_SetDate">
    <vt:lpwstr>2026-06-25T09:22:00Z</vt:lpwstr>
  </property>
  <property fmtid="{D5CDD505-2E9C-101B-9397-08002B2CF9AE}" pid="4" name="MSIP_Label_d5c20be7-c3a5-46e3-9158-fa8a02ce2395_Method">
    <vt:lpwstr>Standard</vt:lpwstr>
  </property>
  <property fmtid="{D5CDD505-2E9C-101B-9397-08002B2CF9AE}" pid="5" name="MSIP_Label_d5c20be7-c3a5-46e3-9158-fa8a02ce2395_Name">
    <vt:lpwstr>defa4170-0d19-0005-0004-bc88714345d2</vt:lpwstr>
  </property>
  <property fmtid="{D5CDD505-2E9C-101B-9397-08002B2CF9AE}" pid="6" name="MSIP_Label_d5c20be7-c3a5-46e3-9158-fa8a02ce2395_SiteId">
    <vt:lpwstr>8c6f9078-037e-4261-a583-52a944e55f7f</vt:lpwstr>
  </property>
  <property fmtid="{D5CDD505-2E9C-101B-9397-08002B2CF9AE}" pid="7" name="MSIP_Label_d5c20be7-c3a5-46e3-9158-fa8a02ce2395_ActionId">
    <vt:lpwstr>91c32afb-0552-4258-a1d9-f9a13be3b35d</vt:lpwstr>
  </property>
  <property fmtid="{D5CDD505-2E9C-101B-9397-08002B2CF9AE}" pid="8" name="MSIP_Label_d5c20be7-c3a5-46e3-9158-fa8a02ce2395_ContentBits">
    <vt:lpwstr>0</vt:lpwstr>
  </property>
  <property fmtid="{D5CDD505-2E9C-101B-9397-08002B2CF9AE}" pid="9" name="MSIP_Label_d5c20be7-c3a5-46e3-9158-fa8a02ce2395_Tag">
    <vt:lpwstr>10, 3, 0, 2</vt:lpwstr>
  </property>
  <property fmtid="{D5CDD505-2E9C-101B-9397-08002B2CF9AE}" pid="10" name="ContentTypeId">
    <vt:lpwstr>0x0101009D953D6983EF5F4EB0B6A5354F975E96</vt:lpwstr>
  </property>
  <property fmtid="{D5CDD505-2E9C-101B-9397-08002B2CF9AE}" pid="11" name="MediaServiceImageTags">
    <vt:lpwstr/>
  </property>
</Properties>
</file>