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uppressAutoHyphens w:val="true"/>
        <w:spacing w:lineRule="auto" w:line="360" w:before="0" w:after="0"/>
        <w:contextualSpacing/>
        <w:rPr>
          <w:rFonts w:ascii="Arial" w:hAnsi="Arial" w:cs="Arial"/>
          <w:b/>
          <w:bCs/>
          <w:sz w:val="52"/>
          <w:szCs w:val="52"/>
        </w:rPr>
      </w:pPr>
      <w:r>
        <w:rPr>
          <w:rFonts w:cs="Arial" w:ascii="Arial" w:hAnsi="Arial"/>
          <w:b/>
          <w:bCs/>
          <w:sz w:val="52"/>
          <w:szCs w:val="52"/>
        </w:rPr>
        <w:drawing>
          <wp:anchor distT="0" distB="0" distL="0" distR="0" simplePos="0" relativeHeight="3" behindDoc="0" locked="0" layoutInCell="0" allowOverlap="1">
            <wp:simplePos x="0" y="0"/>
            <wp:positionH relativeFrom="column">
              <wp:posOffset>3924935</wp:posOffset>
            </wp:positionH>
            <wp:positionV relativeFrom="paragraph">
              <wp:posOffset>408940</wp:posOffset>
            </wp:positionV>
            <wp:extent cx="1384935" cy="770255"/>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384935" cy="770255"/>
                    </a:xfrm>
                    <a:prstGeom prst="rect">
                      <a:avLst/>
                    </a:prstGeom>
                    <a:noFill/>
                  </pic:spPr>
                </pic:pic>
              </a:graphicData>
            </a:graphic>
          </wp:anchor>
        </w:drawing>
      </w:r>
    </w:p>
    <w:p>
      <w:pPr>
        <w:pStyle w:val="Title"/>
        <w:suppressAutoHyphens w:val="true"/>
        <w:spacing w:lineRule="auto" w:line="360" w:before="0" w:after="0"/>
        <w:contextualSpacing/>
        <w:rPr>
          <w:rFonts w:ascii="Arial" w:hAnsi="Arial" w:cs="Arial"/>
          <w:b/>
          <w:bCs/>
          <w:sz w:val="52"/>
          <w:szCs w:val="52"/>
        </w:rPr>
      </w:pPr>
      <w:r>
        <w:rPr>
          <w:rFonts w:cs="Arial" w:ascii="Arial" w:hAnsi="Arial"/>
          <w:b/>
          <w:bCs/>
          <w:sz w:val="52"/>
          <w:szCs w:val="52"/>
        </w:rPr>
      </w:r>
    </w:p>
    <w:p>
      <w:pPr>
        <w:pStyle w:val="Title"/>
        <w:suppressAutoHyphens w:val="true"/>
        <w:spacing w:lineRule="auto" w:line="360" w:before="0" w:after="0"/>
        <w:contextualSpacing/>
        <w:rPr>
          <w:rFonts w:ascii="Arial" w:hAnsi="Arial" w:cs="Arial"/>
          <w:b/>
          <w:bCs/>
          <w:sz w:val="52"/>
          <w:szCs w:val="52"/>
        </w:rPr>
      </w:pPr>
      <w:r>
        <w:rPr>
          <w:rFonts w:cs="Arial" w:ascii="Arial" w:hAnsi="Arial"/>
          <w:b/>
          <w:bCs/>
          <w:sz w:val="52"/>
          <w:szCs w:val="52"/>
        </w:rPr>
      </w:r>
    </w:p>
    <w:p>
      <w:pPr>
        <w:pStyle w:val="Title"/>
        <w:suppressAutoHyphens w:val="true"/>
        <w:spacing w:lineRule="auto" w:line="276" w:before="0" w:after="0"/>
        <w:contextualSpacing/>
        <w:rPr>
          <w:rFonts w:ascii="Arial" w:hAnsi="Arial" w:cs="Arial"/>
          <w:b/>
          <w:bCs/>
          <w:sz w:val="44"/>
          <w:szCs w:val="44"/>
        </w:rPr>
      </w:pPr>
      <w:r>
        <w:rPr>
          <w:rFonts w:cs="Arial" w:ascii="Arial" w:hAnsi="Arial"/>
          <w:b/>
          <w:bCs/>
          <w:sz w:val="44"/>
          <w:szCs w:val="44"/>
        </w:rPr>
      </w:r>
    </w:p>
    <w:p>
      <w:pPr>
        <w:pStyle w:val="Title"/>
        <w:suppressAutoHyphens w:val="true"/>
        <w:spacing w:lineRule="auto" w:line="276" w:before="0" w:after="0"/>
        <w:contextualSpacing/>
        <w:rPr>
          <w:rFonts w:ascii="Arial" w:hAnsi="Arial" w:cs="Arial"/>
          <w:b/>
          <w:bCs/>
          <w:sz w:val="44"/>
          <w:szCs w:val="44"/>
        </w:rPr>
      </w:pPr>
      <w:r>
        <w:rPr>
          <w:rFonts w:cs="Arial" w:ascii="Arial" w:hAnsi="Arial"/>
          <w:b/>
          <w:bCs/>
          <w:sz w:val="44"/>
          <w:szCs w:val="44"/>
        </w:rPr>
        <w:t xml:space="preserve">APC submission on the Draft General Comment no. 38 on Article 22 of the </w:t>
        <w:br/>
        <w:t xml:space="preserve">International Covenant on Civil and </w:t>
        <w:br/>
        <w:t xml:space="preserve">Political rights </w:t>
      </w:r>
    </w:p>
    <w:p>
      <w:pPr>
        <w:pStyle w:val="Normal"/>
        <w:suppressAutoHyphens w:val="true"/>
        <w:spacing w:before="0" w:after="0"/>
        <w:rPr/>
      </w:pPr>
      <w:r>
        <w:rPr/>
      </w:r>
    </w:p>
    <w:p>
      <w:pPr>
        <w:pStyle w:val="Heading2"/>
        <w:suppressAutoHyphens w:val="true"/>
        <w:spacing w:before="0" w:after="0"/>
        <w:rPr/>
      </w:pPr>
      <w:r>
        <w:rPr/>
        <mc:AlternateContent>
          <mc:Choice Requires="wps">
            <w:drawing>
              <wp:anchor distT="5715" distB="5080" distL="5715" distR="5080" simplePos="0" relativeHeight="2" behindDoc="0" locked="0" layoutInCell="1" allowOverlap="1" wp14:anchorId="21355B42">
                <wp:simplePos x="0" y="0"/>
                <wp:positionH relativeFrom="column">
                  <wp:posOffset>-4445</wp:posOffset>
                </wp:positionH>
                <wp:positionV relativeFrom="paragraph">
                  <wp:posOffset>-3810</wp:posOffset>
                </wp:positionV>
                <wp:extent cx="3681095" cy="22225"/>
                <wp:effectExtent l="5715" t="5715" r="5080" b="5080"/>
                <wp:wrapNone/>
                <wp:docPr id="2" name="Straight Arrow Connector 1"/>
                <a:graphic xmlns:a="http://schemas.openxmlformats.org/drawingml/2006/main">
                  <a:graphicData uri="http://schemas.microsoft.com/office/word/2010/wordprocessingShape">
                    <wps:wsp>
                      <wps:cNvSpPr/>
                      <wps:spPr>
                        <a:xfrm>
                          <a:off x="0" y="0"/>
                          <a:ext cx="3681000" cy="22320"/>
                        </a:xfrm>
                        <a:prstGeom prst="straightConnector1">
                          <a:avLst/>
                        </a:prstGeom>
                        <a:noFill/>
                        <a:ln w="9525">
                          <a:solidFill>
                            <a:srgbClr val="6C6C6C"/>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0.35pt;margin-top:-0.3pt;width:289.8pt;height:1.7pt;mso-wrap-style:none;v-text-anchor:middle" wp14:anchorId="21355B42" type="_x0000_t32" path="m0,0l-2147483648,-2147483647e">
                <v:fill o:detectmouseclick="t" on="false"/>
                <v:stroke color="#6c6c6c" weight="9360" joinstyle="round" endcap="flat"/>
                <w10:wrap type="none"/>
              </v:shape>
            </w:pict>
          </mc:Fallback>
        </mc:AlternateContent>
      </w:r>
    </w:p>
    <w:p>
      <w:pPr>
        <w:pStyle w:val="Normal"/>
        <w:suppressAutoHyphens w:val="true"/>
        <w:spacing w:lineRule="auto" w:line="276" w:before="0" w:after="0"/>
        <w:jc w:val="both"/>
        <w:rPr>
          <w:rFonts w:ascii="Arial" w:hAnsi="Arial" w:cs="Arial"/>
          <w:i/>
          <w:iCs/>
          <w:color w:val="000000"/>
          <w:sz w:val="20"/>
          <w:szCs w:val="20"/>
        </w:rPr>
      </w:pPr>
      <w:r>
        <w:rPr>
          <w:rFonts w:cs="Arial" w:ascii="Arial" w:hAnsi="Arial"/>
          <w:i/>
          <w:iCs/>
          <w:color w:val="000000"/>
          <w:sz w:val="20"/>
          <w:szCs w:val="20"/>
        </w:rPr>
        <w:t xml:space="preserve">Submitted to:  </w:t>
      </w:r>
    </w:p>
    <w:p>
      <w:pPr>
        <w:pStyle w:val="Normal"/>
        <w:suppressAutoHyphens w:val="true"/>
        <w:spacing w:lineRule="auto" w:line="276" w:before="0" w:after="0"/>
        <w:jc w:val="both"/>
        <w:rPr>
          <w:rFonts w:ascii="Arial" w:hAnsi="Arial" w:cs="Arial"/>
          <w:b/>
          <w:bCs/>
          <w:color w:val="000000"/>
          <w:sz w:val="20"/>
          <w:szCs w:val="20"/>
        </w:rPr>
      </w:pPr>
      <w:r>
        <w:rPr>
          <w:rFonts w:cs="Arial" w:ascii="Arial" w:hAnsi="Arial"/>
          <w:b/>
          <w:bCs/>
          <w:color w:val="000000"/>
          <w:sz w:val="20"/>
          <w:szCs w:val="20"/>
        </w:rPr>
        <w:t>The United Nations Human Rights Committee</w:t>
      </w:r>
    </w:p>
    <w:p>
      <w:pPr>
        <w:pStyle w:val="Normal"/>
        <w:suppressAutoHyphens w:val="true"/>
        <w:spacing w:lineRule="auto" w:line="276" w:before="0" w:after="0"/>
        <w:jc w:val="both"/>
        <w:rPr>
          <w:rFonts w:ascii="Arial" w:hAnsi="Arial" w:cs="Arial"/>
          <w:color w:val="000000"/>
          <w:sz w:val="20"/>
          <w:szCs w:val="20"/>
        </w:rPr>
      </w:pPr>
      <w:r>
        <w:rPr>
          <w:rFonts w:cs="Arial" w:ascii="Arial" w:hAnsi="Arial"/>
          <w:color w:val="000000"/>
          <w:sz w:val="20"/>
          <w:szCs w:val="20"/>
        </w:rPr>
        <w:t>By email to: cherry.balmaceda@un.org</w:t>
      </w:r>
    </w:p>
    <w:p>
      <w:pPr>
        <w:pStyle w:val="Normal"/>
        <w:suppressAutoHyphens w:val="true"/>
        <w:spacing w:lineRule="auto" w:line="276" w:before="0" w:after="0"/>
        <w:jc w:val="both"/>
        <w:rPr>
          <w:rFonts w:ascii="Arial" w:hAnsi="Arial" w:cs="Arial"/>
          <w:color w:val="000000"/>
          <w:sz w:val="20"/>
          <w:szCs w:val="20"/>
        </w:rPr>
      </w:pPr>
      <w:r>
        <w:rPr>
          <w:rFonts w:cs="Arial" w:ascii="Arial" w:hAnsi="Arial"/>
          <w:color w:val="000000"/>
          <w:sz w:val="20"/>
          <w:szCs w:val="20"/>
        </w:rPr>
        <w:t>With copy to: ohchr-ccpr@un.org</w:t>
      </w:r>
    </w:p>
    <w:p>
      <w:pPr>
        <w:pStyle w:val="Normal"/>
        <w:suppressAutoHyphens w:val="true"/>
        <w:spacing w:lineRule="auto" w:line="276" w:before="0" w:after="0"/>
        <w:jc w:val="both"/>
        <w:rPr>
          <w:rFonts w:ascii="Arial" w:hAnsi="Arial" w:cs="Arial"/>
          <w:color w:val="000000"/>
          <w:sz w:val="20"/>
          <w:szCs w:val="20"/>
        </w:rPr>
      </w:pPr>
      <w:r>
        <w:rPr>
          <w:rFonts w:cs="Arial" w:ascii="Arial" w:hAnsi="Arial"/>
          <w:color w:val="000000"/>
          <w:sz w:val="20"/>
          <w:szCs w:val="20"/>
        </w:rPr>
      </w:r>
    </w:p>
    <w:p>
      <w:pPr>
        <w:pStyle w:val="Normal"/>
        <w:suppressAutoHyphens w:val="true"/>
        <w:spacing w:lineRule="auto" w:line="276" w:before="0" w:after="0"/>
        <w:jc w:val="both"/>
        <w:rPr>
          <w:rFonts w:ascii="Arial" w:hAnsi="Arial" w:cs="Arial"/>
          <w:i/>
          <w:iCs/>
          <w:color w:val="000000"/>
          <w:sz w:val="20"/>
          <w:szCs w:val="20"/>
        </w:rPr>
      </w:pPr>
      <w:r>
        <w:rPr>
          <w:rFonts w:cs="Arial" w:ascii="Arial" w:hAnsi="Arial"/>
          <w:i/>
          <w:iCs/>
          <w:color w:val="000000"/>
          <w:sz w:val="20"/>
          <w:szCs w:val="20"/>
        </w:rPr>
        <w:t xml:space="preserve">Submitted by:  </w:t>
      </w:r>
    </w:p>
    <w:p>
      <w:pPr>
        <w:pStyle w:val="Normal"/>
        <w:suppressAutoHyphens w:val="true"/>
        <w:spacing w:lineRule="auto" w:line="276" w:before="0" w:after="0"/>
        <w:jc w:val="both"/>
        <w:rPr>
          <w:rFonts w:ascii="Arial" w:hAnsi="Arial" w:cs="Arial"/>
          <w:b/>
          <w:bCs/>
          <w:color w:val="000000"/>
          <w:sz w:val="20"/>
          <w:szCs w:val="20"/>
        </w:rPr>
      </w:pPr>
      <w:r>
        <w:rPr>
          <w:rFonts w:cs="Arial" w:ascii="Arial" w:hAnsi="Arial"/>
          <w:b/>
          <w:bCs/>
          <w:color w:val="000000"/>
          <w:sz w:val="20"/>
          <w:szCs w:val="20"/>
        </w:rPr>
        <w:t>Association for Progressive Communications (APC)</w:t>
      </w:r>
    </w:p>
    <w:p>
      <w:pPr>
        <w:pStyle w:val="Normal"/>
        <w:suppressAutoHyphens w:val="true"/>
        <w:spacing w:lineRule="auto" w:line="276" w:before="0" w:after="0"/>
        <w:jc w:val="both"/>
        <w:rPr>
          <w:rFonts w:ascii="Arial" w:hAnsi="Arial" w:cs="Arial"/>
          <w:color w:val="000000"/>
          <w:sz w:val="20"/>
          <w:szCs w:val="20"/>
        </w:rPr>
      </w:pPr>
      <w:r>
        <w:rPr>
          <w:rFonts w:cs="Arial" w:ascii="Arial" w:hAnsi="Arial"/>
          <w:color w:val="000000"/>
          <w:sz w:val="20"/>
          <w:szCs w:val="20"/>
        </w:rPr>
        <w:t>Verónica Ferrari, Global Policy Advocacy Lead</w:t>
      </w:r>
    </w:p>
    <w:p>
      <w:pPr>
        <w:pStyle w:val="Normal"/>
        <w:suppressAutoHyphens w:val="true"/>
        <w:spacing w:lineRule="auto" w:line="276" w:before="0" w:after="0"/>
        <w:jc w:val="both"/>
        <w:rPr>
          <w:rFonts w:ascii="Arial" w:hAnsi="Arial" w:cs="Arial"/>
          <w:color w:val="000000"/>
          <w:sz w:val="20"/>
          <w:szCs w:val="20"/>
        </w:rPr>
      </w:pPr>
      <w:r>
        <w:rPr>
          <w:rFonts w:cs="Arial" w:ascii="Arial" w:hAnsi="Arial"/>
          <w:color w:val="000000"/>
          <w:sz w:val="20"/>
          <w:szCs w:val="20"/>
        </w:rPr>
        <w:t>E-mail: veronica@apc.org</w:t>
      </w:r>
    </w:p>
    <w:p>
      <w:pPr>
        <w:pStyle w:val="Normal"/>
        <w:suppressAutoHyphens w:val="true"/>
        <w:spacing w:lineRule="auto" w:line="360" w:before="0" w:after="0"/>
        <w:jc w:val="center"/>
        <w:rPr>
          <w:rFonts w:ascii="Arial" w:hAnsi="Arial" w:eastAsia="Arial" w:cs="Arial" w:eastAsiaTheme="majorEastAsia"/>
          <w:color w:val="000000"/>
        </w:rPr>
      </w:pPr>
      <w:r>
        <w:rPr>
          <w:rFonts w:eastAsia="Arial" w:cs="Arial" w:eastAsiaTheme="majorEastAsia" w:ascii="Arial" w:hAnsi="Arial"/>
          <w:color w:val="000000"/>
        </w:rPr>
      </w:r>
    </w:p>
    <w:p>
      <w:pPr>
        <w:pStyle w:val="Normal"/>
        <w:suppressAutoHyphens w:val="true"/>
        <w:spacing w:lineRule="auto" w:line="360" w:before="0" w:after="0"/>
        <w:jc w:val="center"/>
        <w:rPr>
          <w:rFonts w:ascii="Arial" w:hAnsi="Arial" w:eastAsia="Arial" w:cs="Arial" w:eastAsiaTheme="majorEastAsia"/>
          <w:color w:val="000000"/>
        </w:rPr>
      </w:pPr>
      <w:r>
        <w:rPr>
          <w:rFonts w:eastAsia="Arial" w:cs="Arial" w:eastAsiaTheme="majorEastAsia" w:ascii="Arial" w:hAnsi="Arial"/>
          <w:color w:val="000000"/>
        </w:rPr>
      </w:r>
    </w:p>
    <w:p>
      <w:pPr>
        <w:pStyle w:val="Normal"/>
        <w:suppressAutoHyphens w:val="true"/>
        <w:spacing w:lineRule="auto" w:line="360" w:before="0" w:after="0"/>
        <w:jc w:val="center"/>
        <w:rPr>
          <w:rFonts w:ascii="Arial" w:hAnsi="Arial" w:eastAsia="Arial" w:cs="Arial" w:eastAsiaTheme="majorEastAsia"/>
          <w:color w:val="000000"/>
        </w:rPr>
      </w:pPr>
      <w:r>
        <w:rPr>
          <w:rFonts w:eastAsia="Arial" w:cs="Arial" w:eastAsiaTheme="majorEastAsia" w:ascii="Arial" w:hAnsi="Arial"/>
          <w:color w:val="000000"/>
        </w:rPr>
      </w:r>
    </w:p>
    <w:p>
      <w:pPr>
        <w:pStyle w:val="Normal"/>
        <w:suppressAutoHyphens w:val="true"/>
        <w:spacing w:lineRule="auto" w:line="360" w:before="0" w:after="0"/>
        <w:jc w:val="center"/>
        <w:rPr>
          <w:rFonts w:ascii="Arial" w:hAnsi="Arial" w:eastAsia="Arial" w:cs="Arial" w:eastAsiaTheme="majorEastAsia"/>
          <w:color w:val="000000"/>
        </w:rPr>
      </w:pPr>
      <w:r>
        <w:rPr>
          <w:rFonts w:eastAsia="Arial" w:cs="Arial" w:eastAsiaTheme="majorEastAsia" w:ascii="Arial" w:hAnsi="Arial"/>
          <w:color w:val="000000"/>
        </w:rPr>
      </w:r>
    </w:p>
    <w:p>
      <w:pPr>
        <w:pStyle w:val="Normal"/>
        <w:suppressAutoHyphens w:val="true"/>
        <w:spacing w:lineRule="auto" w:line="360" w:before="0" w:after="0"/>
        <w:jc w:val="center"/>
        <w:rPr>
          <w:rFonts w:ascii="Arial" w:hAnsi="Arial" w:eastAsia="Arial" w:cs="Arial" w:eastAsiaTheme="majorEastAsia"/>
          <w:color w:val="000000"/>
        </w:rPr>
      </w:pPr>
      <w:r>
        <w:rPr>
          <w:rFonts w:eastAsia="Arial" w:cs="Arial" w:eastAsiaTheme="majorEastAsia" w:ascii="Arial" w:hAnsi="Arial"/>
          <w:color w:val="000000"/>
        </w:rPr>
      </w:r>
    </w:p>
    <w:p>
      <w:pPr>
        <w:pStyle w:val="Normal"/>
        <w:suppressAutoHyphens w:val="true"/>
        <w:spacing w:lineRule="auto" w:line="276" w:before="0" w:after="0"/>
        <w:jc w:val="center"/>
        <w:rPr>
          <w:rFonts w:ascii="Arial" w:hAnsi="Arial" w:cs="Arial"/>
          <w:caps/>
          <w:color w:val="DF5B30"/>
          <w:spacing w:val="6"/>
        </w:rPr>
      </w:pPr>
      <w:r>
        <w:rPr>
          <w:rFonts w:cs="Arial" w:ascii="Arial" w:hAnsi="Arial"/>
          <w:caps/>
          <w:color w:val="DF5B30"/>
          <w:spacing w:val="6"/>
        </w:rPr>
      </w:r>
    </w:p>
    <w:p>
      <w:pPr>
        <w:pStyle w:val="Normal"/>
        <w:suppressAutoHyphens w:val="true"/>
        <w:spacing w:lineRule="auto" w:line="276" w:before="0" w:after="0"/>
        <w:jc w:val="center"/>
        <w:rPr>
          <w:rFonts w:ascii="Arial" w:hAnsi="Arial" w:cs="Arial"/>
          <w:caps/>
          <w:color w:val="DF5B30"/>
          <w:spacing w:val="6"/>
        </w:rPr>
      </w:pPr>
      <w:r>
        <w:rPr>
          <w:rFonts w:cs="Arial" w:ascii="Arial" w:hAnsi="Arial"/>
          <w:caps/>
          <w:color w:val="DF5B30"/>
          <w:spacing w:val="6"/>
        </w:rPr>
      </w:r>
    </w:p>
    <w:p>
      <w:pPr>
        <w:pStyle w:val="Normal"/>
        <w:suppressAutoHyphens w:val="true"/>
        <w:spacing w:lineRule="auto" w:line="276" w:before="0" w:after="0"/>
        <w:jc w:val="center"/>
        <w:rPr>
          <w:rFonts w:ascii="Arial" w:hAnsi="Arial" w:cs="Arial"/>
          <w:caps/>
          <w:color w:val="DF5B30"/>
          <w:spacing w:val="6"/>
        </w:rPr>
      </w:pPr>
      <w:r>
        <w:rPr>
          <w:rFonts w:cs="Arial" w:ascii="Arial" w:hAnsi="Arial"/>
          <w:caps/>
          <w:color w:val="DF5B30"/>
          <w:spacing w:val="6"/>
        </w:rPr>
      </w:r>
    </w:p>
    <w:p>
      <w:pPr>
        <w:pStyle w:val="Normal"/>
        <w:suppressAutoHyphens w:val="true"/>
        <w:spacing w:lineRule="auto" w:line="276" w:before="0" w:after="0"/>
        <w:jc w:val="center"/>
        <w:rPr>
          <w:rFonts w:ascii="Arial" w:hAnsi="Arial" w:cs="Arial"/>
          <w:caps/>
          <w:color w:val="DF5B30"/>
          <w:spacing w:val="6"/>
        </w:rPr>
      </w:pPr>
      <w:r>
        <w:rPr>
          <w:rFonts w:cs="Arial" w:ascii="Arial" w:hAnsi="Arial"/>
          <w:caps/>
          <w:color w:val="DF5B30"/>
          <w:spacing w:val="6"/>
        </w:rPr>
        <w:t xml:space="preserve">Submission </w:t>
      </w:r>
    </w:p>
    <w:p>
      <w:pPr>
        <w:pStyle w:val="Normal"/>
        <w:suppressAutoHyphens w:val="true"/>
        <w:spacing w:lineRule="auto" w:line="276" w:before="0" w:after="0"/>
        <w:jc w:val="center"/>
        <w:rPr>
          <w:rFonts w:ascii="Arial" w:hAnsi="Arial" w:eastAsia="Arial" w:cs="Arial" w:eastAsiaTheme="majorEastAsia"/>
          <w:color w:val="000000"/>
        </w:rPr>
      </w:pPr>
      <w:r>
        <w:rPr>
          <w:rFonts w:cs="Arial" w:ascii="Arial" w:hAnsi="Arial"/>
          <w:caps/>
          <w:color w:val="1C1C1C"/>
          <w:spacing w:val="6"/>
        </w:rPr>
        <w:t>1</w:t>
      </w:r>
      <w:r>
        <w:rPr>
          <w:rFonts w:cs="Arial" w:ascii="Arial" w:hAnsi="Arial"/>
          <w:caps/>
          <w:color w:val="1C1C1C"/>
          <w:spacing w:val="6"/>
        </w:rPr>
        <w:t>5</w:t>
      </w:r>
      <w:r>
        <w:rPr>
          <w:rFonts w:cs="Arial" w:ascii="Arial" w:hAnsi="Arial"/>
          <w:caps/>
          <w:color w:val="1C1C1C"/>
          <w:spacing w:val="6"/>
        </w:rPr>
        <w:t xml:space="preserve"> July 202</w:t>
      </w:r>
      <w:r>
        <w:rPr>
          <w:rFonts w:cs="Arial" w:ascii="Arial" w:hAnsi="Arial"/>
          <w:caps/>
          <w:color w:val="1C1C1C"/>
          <w:spacing w:val="6"/>
        </w:rPr>
        <w:t>6</w:t>
      </w:r>
      <w:r>
        <w:br w:type="page"/>
      </w:r>
    </w:p>
    <w:p>
      <w:pPr>
        <w:pStyle w:val="Heading2"/>
        <w:suppressAutoHyphens w:val="true"/>
        <w:spacing w:before="0" w:after="0"/>
        <w:rPr/>
      </w:pPr>
      <w:r>
        <w:rPr/>
        <w:t xml:space="preserve">Section 1: Introduction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The Association for Progressive Communications (APC) hereby submits its written comments on the Draft General Comment No. 38 on Article 22 of the International Covenant on Civil and Political Rights (Draft General Comment) to the United </w:t>
        <w:br/>
        <w:t>Nations Human Rights Committee (Committee). This submission responds to the Committee’s invitation to civil society and other stakeholders to comment on the Draft General Comment.</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APC is an international civil society organisation and a network of members </w:t>
        <w:br/>
        <w:t xml:space="preserve">dedicated to empowering and supporting people working for peace, human rights, development and protection of the environment, through the strategic use of </w:t>
        <w:br/>
        <w:t>information and communications technologies (ICTs), including the internet. APC currently has 74 organisational members and 44 associates active in 74 countries, primarily in the Global South.</w:t>
      </w:r>
      <w:r>
        <w:rPr>
          <w:rStyle w:val="FootnoteReference"/>
          <w:rFonts w:cs="Arial" w:ascii="Arial" w:hAnsi="Arial"/>
          <w:color w:val="000000"/>
        </w:rPr>
        <w:footnoteReference w:id="2"/>
      </w:r>
      <w:r>
        <w:rPr>
          <w:rFonts w:cs="Arial" w:ascii="Arial" w:hAnsi="Arial"/>
          <w:color w:val="000000"/>
        </w:rPr>
        <w:t xml:space="preserve">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APC welcomes the Draft General Comment and its recognition of the growing </w:t>
        <w:br/>
        <w:t xml:space="preserve">importance of digital technologies to the exercise of freedom of association. This submission focuses on strengthening the Draft General Comment’s treatment of the online and technology mediated dimensions of Article 22 and its consideration of </w:t>
        <w:br/>
        <w:t xml:space="preserve">the gendered and intersectional impacts of digital technologies on freedom of </w:t>
        <w:br/>
        <w:t xml:space="preserve">association. It first sets out general observations and then proposes specific </w:t>
        <w:br/>
        <w:t>changes to relevant paragraphs.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Heading2"/>
        <w:suppressAutoHyphens w:val="true"/>
        <w:rPr/>
      </w:pPr>
      <w:r>
        <w:rPr/>
      </w:r>
    </w:p>
    <w:p>
      <w:pPr>
        <w:pStyle w:val="Heading2"/>
        <w:suppressAutoHyphens w:val="true"/>
        <w:rPr/>
      </w:pPr>
      <w:r>
        <w:rPr/>
        <w:t xml:space="preserve">Section 2: General observations, comments and suggested changes </w:t>
      </w:r>
    </w:p>
    <w:p>
      <w:pPr>
        <w:pStyle w:val="Heading3"/>
        <w:suppressAutoHyphens w:val="true"/>
        <w:spacing w:before="160" w:after="0"/>
        <w:rPr/>
      </w:pPr>
      <w:r>
        <w:rPr/>
        <w:t xml:space="preserve">Cross-cutting: A gender-responsive and intersectional </w:t>
        <w:br/>
        <w:t xml:space="preserve">approach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Digital technologies can enable women, girls, gender-diverse and other structurally marginalised communities to organise, particularly where civic space is restricted. However, it can also reproduce or amplify inequality and violence. Unequal access to connectivity, devices and digital skills, surveillance, technology-facilitated gender based violence,</w:t>
      </w:r>
      <w:r>
        <w:rPr>
          <w:rStyle w:val="FootnoteReference"/>
          <w:rFonts w:cs="Arial" w:ascii="Arial" w:hAnsi="Arial"/>
          <w:color w:val="000000"/>
        </w:rPr>
        <w:footnoteReference w:id="3"/>
      </w:r>
      <w:r>
        <w:rPr>
          <w:rFonts w:cs="Arial" w:ascii="Arial" w:hAnsi="Arial"/>
          <w:color w:val="000000"/>
        </w:rPr>
        <w:t xml:space="preserve"> and disinformation restrict the ability to form, join, lead and sustain associations. Impacts are compounded by disability, sexual orientation and gender identity, race, ethnicity, religion, migration status, poverty and geographic location. Addressing this and ensuring equal enjoyment of the right to freedom of association therefore requires a gender-responsive and intersectional approach.</w:t>
      </w:r>
      <w:r>
        <w:rPr>
          <w:rStyle w:val="FootnoteReference"/>
          <w:rFonts w:cs="Arial" w:ascii="Arial" w:hAnsi="Arial"/>
          <w:color w:val="000000"/>
        </w:rPr>
        <w:footnoteReference w:id="4"/>
      </w:r>
      <w:r>
        <w:rPr>
          <w:rStyle w:val="FootnoteReference"/>
          <w:rFonts w:cs="Arial" w:ascii="Arial" w:hAnsi="Arial"/>
          <w:color w:val="000000"/>
        </w:rPr>
        <w:footnoteReference w:id="5"/>
      </w:r>
    </w:p>
    <w:p>
      <w:pPr>
        <w:pStyle w:val="Heading3"/>
        <w:suppressAutoHyphens w:val="true"/>
        <w:spacing w:before="160" w:after="0"/>
        <w:rPr/>
      </w:pPr>
      <w:r>
        <w:rPr/>
      </w:r>
    </w:p>
    <w:p>
      <w:pPr>
        <w:pStyle w:val="Heading3"/>
        <w:suppressAutoHyphens w:val="true"/>
        <w:spacing w:before="160" w:after="0"/>
        <w:rPr/>
      </w:pPr>
      <w:r>
        <w:rPr/>
        <w:t xml:space="preserve">1. Digital technologies are integral to, and enable, the </w:t>
        <w:br/>
        <w:t>exercise of freedom of association (paragraphs 9, 11, and 12)</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Digital technologies play a facilitatory and enabling role in freedom of association. Online and offline activities are interconnected: associations may form, organise, communicate, mobilise and sustain participation across a continuum of spaces. </w:t>
        <w:br/>
        <w:t xml:space="preserve">Article 22 should therefore afford equal and adequate protection irrespective of the technologies or organisational forms used.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Heading4"/>
        <w:suppressAutoHyphens w:val="true"/>
        <w:spacing w:before="80" w:after="0"/>
        <w:rPr/>
      </w:pPr>
      <w:r>
        <w:rPr/>
        <w:t>Paragraph 9</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APC recommends expanding the list of those differentially impacted by adding </w:t>
        <w:br/>
        <w:t xml:space="preserve">reference to ethnic, racial, and religious minorities.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The revised text would read: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w:t>
      </w:r>
      <w:r>
        <w:rPr>
          <w:rFonts w:cs="Arial" w:ascii="Arial" w:hAnsi="Arial"/>
          <w:color w:val="000000"/>
        </w:rPr>
        <w:t xml:space="preserve">Particularly affected individuals include women, especially women human rights defenders, women journalists and women trade unions members and representatives, Indigenous Peoples, people living in rural or remote areas, people living in overseas territories, environmental and land rights defenders, children and young people, trade union members and representatives, LGBTQI+ persons, persons with disabilities, persons who use drugs, </w:t>
      </w:r>
      <w:r>
        <w:rPr>
          <w:rFonts w:cs="Arial" w:ascii="Arial" w:hAnsi="Arial"/>
          <w:b/>
          <w:bCs/>
          <w:color w:val="000000"/>
        </w:rPr>
        <w:t xml:space="preserve">sex workers, </w:t>
      </w:r>
      <w:r>
        <w:rPr>
          <w:rFonts w:cs="Arial" w:ascii="Arial" w:hAnsi="Arial"/>
          <w:color w:val="000000"/>
        </w:rPr>
        <w:t>migrants and asylum-seekers, convicted persons, in particular when they are deprived of their voting rights</w:t>
      </w:r>
      <w:r>
        <w:rPr>
          <w:rFonts w:cs="Arial" w:ascii="Arial" w:hAnsi="Arial"/>
          <w:b/>
          <w:bCs/>
          <w:color w:val="000000"/>
        </w:rPr>
        <w:t xml:space="preserve">, ethnic, racial and religious </w:t>
        <w:br/>
        <w:t>minorities,</w:t>
      </w:r>
      <w:r>
        <w:rPr>
          <w:rFonts w:cs="Arial" w:ascii="Arial" w:hAnsi="Arial"/>
          <w:color w:val="000000"/>
        </w:rPr>
        <w:t xml:space="preserve"> and members of political parties, especially when they are in </w:t>
        <w:br/>
        <w:t>opposition to the Government.”</w:t>
      </w:r>
    </w:p>
    <w:p>
      <w:pPr>
        <w:pStyle w:val="Heading4"/>
        <w:suppressAutoHyphens w:val="true"/>
        <w:spacing w:before="80" w:after="0"/>
        <w:rPr/>
      </w:pPr>
      <w:r>
        <w:rPr/>
      </w:r>
    </w:p>
    <w:p>
      <w:pPr>
        <w:pStyle w:val="Heading4"/>
        <w:suppressAutoHyphens w:val="true"/>
        <w:spacing w:before="80" w:after="0"/>
        <w:rPr/>
      </w:pPr>
      <w:r>
        <w:rPr/>
        <w:t xml:space="preserve">Paragraph 11 </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Normal"/>
        <w:suppressAutoHyphens w:val="true"/>
        <w:spacing w:lineRule="auto" w:line="276" w:before="0" w:after="0"/>
        <w:rPr>
          <w:rFonts w:ascii="Arial" w:hAnsi="Arial" w:cs="Arial"/>
          <w:color w:val="000000"/>
        </w:rPr>
      </w:pPr>
      <w:r>
        <w:rPr>
          <w:rFonts w:cs="Arial" w:ascii="Arial" w:hAnsi="Arial"/>
          <w:iCs/>
          <w:color w:val="000000"/>
        </w:rPr>
        <w:t xml:space="preserve">APC welcomes the recognition of online associations and recommends strengthening the paragraph to reflect the continuum between online and offline activities in the exercise of freedom of association, as well as digital threats and their chilling effects. </w:t>
      </w:r>
    </w:p>
    <w:p>
      <w:pPr>
        <w:pStyle w:val="Normal"/>
        <w:suppressAutoHyphens w:val="true"/>
        <w:spacing w:lineRule="auto" w:line="276" w:before="0" w:after="0"/>
        <w:rPr>
          <w:rFonts w:ascii="Arial" w:hAnsi="Arial" w:cs="Arial"/>
          <w:iCs/>
          <w:color w:val="000000"/>
        </w:rPr>
      </w:pPr>
      <w:r>
        <w:rPr>
          <w:rFonts w:cs="Arial" w:ascii="Arial" w:hAnsi="Arial"/>
          <w:iCs/>
          <w:color w:val="000000"/>
        </w:rPr>
      </w:r>
      <w:r>
        <w:br w:type="page"/>
      </w:r>
    </w:p>
    <w:p>
      <w:pPr>
        <w:pStyle w:val="Normal"/>
        <w:suppressAutoHyphens w:val="true"/>
        <w:spacing w:lineRule="auto" w:line="240" w:before="0" w:after="0"/>
        <w:rPr>
          <w:rFonts w:ascii="Arial" w:hAnsi="Arial" w:cs="Arial"/>
          <w:iCs/>
          <w:color w:val="000000"/>
        </w:rPr>
      </w:pPr>
      <w:r>
        <w:rPr>
          <w:rFonts w:cs="Arial" w:ascii="Arial" w:hAnsi="Arial"/>
          <w:iCs/>
          <w:color w:val="000000"/>
        </w:rPr>
        <w:t xml:space="preserve">APC recommends the following revision: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iCs/>
          <w:color w:val="000000"/>
        </w:rPr>
        <w:t>“</w:t>
      </w:r>
      <w:r>
        <w:rPr>
          <w:rFonts w:cs="Arial" w:ascii="Arial" w:hAnsi="Arial"/>
          <w:iCs/>
          <w:color w:val="000000"/>
        </w:rPr>
        <w:t xml:space="preserve">Given the development of digital technologies that have significantly affected the ways in which associations are formed and pursue their collective activities, online and offline dimensions of associational life are interconnected, and article </w:t>
      </w:r>
      <w:r>
        <w:rPr>
          <w:rFonts w:cs="Arial" w:ascii="Arial" w:hAnsi="Arial"/>
          <w:b/>
          <w:bCs/>
          <w:iCs/>
          <w:color w:val="000000"/>
        </w:rPr>
        <w:t>22 affords equal and adequate protection to associations and associational activities, whether online or offline. This includes online groups, decentralised networks, digitally mediated social movements and other forms of digital civil society. Digital surveillance, including the use of spyware and government hacking; biometric surveillance;</w:t>
      </w:r>
      <w:r>
        <w:rPr>
          <w:rStyle w:val="FootnoteReference"/>
          <w:rFonts w:cs="Arial" w:ascii="Arial" w:hAnsi="Arial"/>
          <w:b/>
          <w:bCs/>
          <w:iCs/>
          <w:color w:val="000000"/>
        </w:rPr>
        <w:footnoteReference w:id="6"/>
      </w:r>
      <w:r>
        <w:rPr>
          <w:rFonts w:cs="Arial" w:ascii="Arial" w:hAnsi="Arial"/>
          <w:b/>
          <w:bCs/>
          <w:iCs/>
          <w:color w:val="000000"/>
        </w:rPr>
        <w:t xml:space="preserve"> internet shutdowns and network disruptions; online transnational repression; algorithmic monitoring and profiling; arbitrary blocking or takedowns of websites, accounts or content; restrictions on encryption and anonymous communications; and other restrictive content moderation practices have a chilling effect on the exercise of freedom of association</w:t>
      </w:r>
      <w:r>
        <w:rPr>
          <w:rStyle w:val="FootnoteReference"/>
          <w:rFonts w:cs="Arial" w:ascii="Arial" w:hAnsi="Arial"/>
          <w:b/>
          <w:bCs/>
          <w:iCs/>
          <w:color w:val="000000"/>
        </w:rPr>
        <w:footnoteReference w:id="7"/>
      </w:r>
      <w:r>
        <w:rPr>
          <w:rFonts w:cs="Arial" w:ascii="Arial" w:hAnsi="Arial"/>
          <w:b/>
          <w:bCs/>
          <w:iCs/>
          <w:color w:val="000000"/>
        </w:rPr>
        <w:t>. The actual or perceived risk of such measures may itself have a chilling effect, deterring individuals from joining associations, communicating with members or organising collectively. These practices and measures have differentiated and intersectional impacts and States Parties should therefore address the gendered and intersectional chilling effects of technology-facilitated violence and repression.”</w:t>
      </w:r>
      <w:r>
        <w:rPr>
          <w:rStyle w:val="FootnoteReference"/>
          <w:rFonts w:cs="Arial" w:ascii="Arial" w:hAnsi="Arial"/>
          <w:b/>
          <w:bCs/>
          <w:iCs/>
          <w:color w:val="000000"/>
        </w:rPr>
        <w:footnoteReference w:id="8"/>
      </w:r>
      <w:r>
        <w:rPr>
          <w:rFonts w:cs="Arial" w:ascii="Arial" w:hAnsi="Arial"/>
          <w:b/>
          <w:bCs/>
          <w:iCs/>
          <w:color w:val="000000"/>
        </w:rPr>
        <w:t xml:space="preserve"> </w:t>
      </w:r>
    </w:p>
    <w:p>
      <w:pPr>
        <w:pStyle w:val="Normal"/>
        <w:suppressAutoHyphens w:val="true"/>
        <w:spacing w:lineRule="auto" w:line="276" w:before="0" w:after="0"/>
        <w:rPr>
          <w:rFonts w:ascii="Arial" w:hAnsi="Arial" w:cs="Arial"/>
          <w:b/>
          <w:bCs/>
          <w:iCs/>
          <w:color w:val="000000"/>
        </w:rPr>
      </w:pPr>
      <w:r>
        <w:rPr>
          <w:rFonts w:cs="Arial" w:ascii="Arial" w:hAnsi="Arial"/>
          <w:b/>
          <w:bCs/>
          <w:iCs/>
          <w:color w:val="000000"/>
        </w:rPr>
      </w:r>
    </w:p>
    <w:p>
      <w:pPr>
        <w:pStyle w:val="Heading4"/>
        <w:suppressAutoHyphens w:val="true"/>
        <w:spacing w:before="80" w:after="0"/>
        <w:rPr/>
      </w:pPr>
      <w:r>
        <w:rPr/>
        <w:t xml:space="preserve">Paragraph 12 </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Normal"/>
        <w:suppressAutoHyphens w:val="true"/>
        <w:spacing w:lineRule="auto" w:line="276" w:before="0" w:after="0"/>
        <w:rPr>
          <w:rFonts w:ascii="Arial" w:hAnsi="Arial" w:cs="Arial"/>
          <w:color w:val="000000"/>
        </w:rPr>
      </w:pPr>
      <w:r>
        <w:rPr>
          <w:rFonts w:cs="Arial" w:ascii="Arial" w:hAnsi="Arial"/>
          <w:iCs/>
          <w:color w:val="000000"/>
        </w:rPr>
        <w:t xml:space="preserve">The illustrative definition of associations should reflect contemporary forms of </w:t>
        <w:br/>
        <w:t xml:space="preserve">digitally mediated collective organisation, including formations that may lack conventional leadership, registration or organisational structures. Attention should be paid to informal and deliberately unregistered collectives, including feminist and queer networks, online support communities, digital campaigns and sex worker collectives. Some groups choose informal, online-only or pseudonymous forms of association precisely because registration or public visibility would expose members to surveillance, stigma, violence or other harm. </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Normal"/>
        <w:suppressAutoHyphens w:val="true"/>
        <w:spacing w:lineRule="auto" w:line="240" w:before="0" w:after="0"/>
        <w:rPr>
          <w:rFonts w:ascii="Arial" w:hAnsi="Arial" w:cs="Arial"/>
          <w:iCs/>
          <w:color w:val="000000"/>
        </w:rPr>
      </w:pPr>
      <w:r>
        <w:rPr>
          <w:rFonts w:cs="Arial" w:ascii="Arial" w:hAnsi="Arial"/>
          <w:iCs/>
          <w:color w:val="000000"/>
        </w:rPr>
      </w:r>
      <w:r>
        <w:br w:type="page"/>
      </w:r>
    </w:p>
    <w:p>
      <w:pPr>
        <w:pStyle w:val="Normal"/>
        <w:suppressAutoHyphens w:val="true"/>
        <w:spacing w:lineRule="auto" w:line="276" w:before="0" w:after="0"/>
        <w:rPr>
          <w:rFonts w:ascii="Arial" w:hAnsi="Arial" w:cs="Arial"/>
          <w:iCs/>
          <w:color w:val="000000"/>
        </w:rPr>
      </w:pPr>
      <w:r>
        <w:rPr>
          <w:rFonts w:cs="Arial" w:ascii="Arial" w:hAnsi="Arial"/>
          <w:iCs/>
          <w:color w:val="000000"/>
        </w:rPr>
        <w:t xml:space="preserve">We therefore recommend adding language along the following lines: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b/>
          <w:bCs/>
          <w:iCs/>
          <w:color w:val="000000"/>
        </w:rPr>
        <w:t>“</w:t>
      </w:r>
      <w:r>
        <w:rPr>
          <w:rFonts w:cs="Arial" w:ascii="Arial" w:hAnsi="Arial"/>
          <w:b/>
          <w:bCs/>
          <w:iCs/>
          <w:color w:val="000000"/>
        </w:rPr>
        <w:t xml:space="preserve">Associations protected by article 22 include online and hybrid associations, informal digital groups, decentralised networks, digital campaigns and other digitally mediated collective formations, including those without formal leadership or conventional organisational structures. Protection under article 22 does not depend on formal registration, legal personality, public visibility or the use of members’ legal identities, especially where informal, online-only or pseudonymous forms of association are adopted for safety.” </w:t>
      </w:r>
    </w:p>
    <w:p>
      <w:pPr>
        <w:pStyle w:val="Heading3"/>
        <w:suppressAutoHyphens w:val="true"/>
        <w:spacing w:before="160" w:after="0"/>
        <w:rPr/>
      </w:pPr>
      <w:r>
        <w:rPr/>
      </w:r>
    </w:p>
    <w:p>
      <w:pPr>
        <w:pStyle w:val="Heading3"/>
        <w:suppressAutoHyphens w:val="true"/>
        <w:spacing w:before="160" w:after="0"/>
        <w:rPr/>
      </w:pPr>
      <w:r>
        <w:rPr/>
        <w:t xml:space="preserve">2. An enabling environment for freedom of association </w:t>
        <w:br/>
        <w:t>requires an enabling digital environment (paragraphs 14, 33, 53 and 56)</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An enabling environment for freedom of association increasingly requires affordable and meaningful connectivity, accessible and secure digital infrastructure, digital skills, community-centred connectivity,</w:t>
      </w:r>
      <w:r>
        <w:rPr>
          <w:rStyle w:val="FootnoteReference"/>
          <w:rFonts w:cs="Arial" w:ascii="Arial" w:hAnsi="Arial"/>
          <w:color w:val="000000"/>
        </w:rPr>
        <w:footnoteReference w:id="9"/>
      </w:r>
      <w:r>
        <w:rPr>
          <w:rFonts w:cs="Arial" w:ascii="Arial" w:hAnsi="Arial"/>
          <w:color w:val="000000"/>
        </w:rPr>
        <w:t xml:space="preserve"> and digital security tools. In order to ensure this enabling environment, States Parties should address the digital divide, which can act as a barrier to the exercise of freedom of association, including disparities related to meaningful internet access resulting from factors such as age, disabilities, sexualities, gender identities and expressions, among others.</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Heading4"/>
        <w:suppressAutoHyphens w:val="true"/>
        <w:spacing w:before="80" w:after="0"/>
        <w:rPr/>
      </w:pPr>
      <w:r>
        <w:rPr/>
        <w:t xml:space="preserve">Paragraph 14 </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Normal"/>
        <w:suppressAutoHyphens w:val="true"/>
        <w:spacing w:lineRule="auto" w:line="276" w:before="0" w:after="0"/>
        <w:rPr>
          <w:rFonts w:ascii="Arial" w:hAnsi="Arial" w:cs="Arial"/>
          <w:color w:val="000000"/>
        </w:rPr>
      </w:pPr>
      <w:r>
        <w:rPr>
          <w:rFonts w:cs="Arial" w:ascii="Arial" w:hAnsi="Arial"/>
          <w:iCs/>
          <w:color w:val="000000"/>
        </w:rPr>
        <w:t xml:space="preserve">The right to access resources should expressly encompass the digital resources and infrastructure increasingly necessary for associations to operate and the ability to cooperate across borders through digital means. </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Normal"/>
        <w:suppressAutoHyphens w:val="true"/>
        <w:spacing w:lineRule="auto" w:line="276" w:before="0" w:after="0"/>
        <w:rPr>
          <w:rFonts w:ascii="Arial" w:hAnsi="Arial" w:cs="Arial"/>
          <w:iCs/>
          <w:color w:val="000000"/>
        </w:rPr>
      </w:pPr>
      <w:r>
        <w:rPr>
          <w:rFonts w:cs="Arial" w:ascii="Arial" w:hAnsi="Arial"/>
          <w:iCs/>
          <w:color w:val="000000"/>
        </w:rPr>
        <w:t xml:space="preserve">APC recommends adding the following text to the end of the paragraph: </w:t>
      </w:r>
    </w:p>
    <w:p>
      <w:pPr>
        <w:pStyle w:val="Normal"/>
        <w:suppressAutoHyphens w:val="true"/>
        <w:spacing w:lineRule="auto" w:line="276" w:before="0" w:after="0"/>
        <w:rPr>
          <w:rFonts w:ascii="Arial" w:hAnsi="Arial" w:cs="Arial"/>
          <w:iCs/>
          <w:color w:val="000000"/>
        </w:rPr>
      </w:pPr>
      <w:r>
        <w:rPr>
          <w:rFonts w:cs="Arial" w:ascii="Arial" w:hAnsi="Arial"/>
          <w:iCs/>
          <w:color w:val="000000"/>
        </w:rPr>
      </w:r>
    </w:p>
    <w:p>
      <w:pPr>
        <w:pStyle w:val="indent"/>
        <w:suppressAutoHyphens w:val="true"/>
        <w:rPr/>
      </w:pPr>
      <w:r>
        <w:rPr/>
        <w:t>“</w:t>
      </w:r>
      <w:r>
        <w:rPr/>
        <w:t xml:space="preserve">The resources necessary for associations to pursue their activities may include digital infrastructure, which requires affordable Internet connectivity, secure communications and encryption tools, digital platforms, digital fundraising and payment mechanisms, technical assistance and other digital resources. The right to freedom of association also protects the ability of associations and their members to cooperate and collaborate across borders, including through </w:t>
        <w:br/>
        <w:t>digital means.”</w:t>
      </w:r>
    </w:p>
    <w:p>
      <w:pPr>
        <w:pStyle w:val="Heading4"/>
        <w:suppressAutoHyphens w:val="true"/>
        <w:spacing w:before="80" w:after="0"/>
        <w:rPr/>
      </w:pPr>
      <w:r>
        <w:rPr/>
        <w:t>Paragraph 33</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The positive obligation to create an enabling environment should expressly extend to the digital environment and require measures addressing structural inequalities.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 to the end of the paragraph:</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indent"/>
        <w:suppressAutoHyphens w:val="true"/>
        <w:rPr/>
      </w:pPr>
      <w:r>
        <w:rPr/>
        <w:t>“</w:t>
      </w:r>
      <w:r>
        <w:rPr/>
        <w:t>The obligation to create and maintain an enabling environment for freedom of association extends to the digital environment. States Parties should take appropriate measures to promote affordable and meaningful connectivity; address the digital divide, including its gendered dimensions; ensure accessibility for persons with disabilities; support community networks and other community-centred connectivity initiatives; promote secure and resilient digital infrastructure; and protect access to encryption, anonymity-enhancing technologies and other digital security tools. States Parties should adopt targeted, gender-responsive and intersectional measures to ensure that women and girls in all their diversity can participate equally. States Parties should further ensure that digital public services and other online systems relevant to the formation and operation of associations are accessible and available on a non-discriminatory basis, and should provide reasonable alternatives where digital-only processes would exclude or disproportionately burden particular persons or associations.”</w:t>
      </w:r>
    </w:p>
    <w:p>
      <w:pPr>
        <w:pStyle w:val="Normal"/>
        <w:suppressAutoHyphens w:val="true"/>
        <w:spacing w:lineRule="auto" w:line="276" w:before="0" w:after="0"/>
        <w:ind w:start="396"/>
        <w:rPr>
          <w:rFonts w:ascii="Arial" w:hAnsi="Arial" w:cs="Arial"/>
          <w:color w:val="000000"/>
        </w:rPr>
      </w:pPr>
      <w:r>
        <w:rPr>
          <w:rFonts w:cs="Arial" w:ascii="Arial" w:hAnsi="Arial"/>
          <w:color w:val="000000"/>
        </w:rPr>
      </w:r>
    </w:p>
    <w:p>
      <w:pPr>
        <w:pStyle w:val="Heading4"/>
        <w:suppressAutoHyphens w:val="true"/>
        <w:spacing w:before="80" w:after="0"/>
        <w:rPr/>
      </w:pPr>
      <w:r>
        <w:rPr/>
        <w:t>Paragraph 53</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Preserving civic space during emergencies, armed conflict and occupation increasingly requires maintaining digital connectivity.</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b/>
          <w:bCs/>
          <w:iCs/>
          <w:color w:val="000000"/>
        </w:rPr>
        <w:t>“</w:t>
      </w:r>
      <w:r>
        <w:rPr>
          <w:rFonts w:cs="Arial" w:ascii="Arial" w:hAnsi="Arial"/>
          <w:b/>
          <w:bCs/>
          <w:iCs/>
          <w:color w:val="000000"/>
        </w:rPr>
        <w:t>States Parties should recognise the importance of maintaining access to digital connectivity and communications infrastructure for the exercise of freedom of association during states of emergency, armed conflict and occupation. Internet shutdowns and other connectivity disruptions may seriously impair the ability of humanitarian non-governmental organisations, other associations and people to communicate, organise, document violations and access and disseminate information. States Parties should not impose network shutdowns as they are in clear violation of international law and cannot be justified in any circumstances. Shutdowns fail to meet the established test for restrictions on the right to freedom of association found in article 22.”</w:t>
      </w:r>
      <w:r>
        <w:rPr>
          <w:rStyle w:val="FootnoteReference"/>
          <w:rFonts w:cs="Arial" w:ascii="Arial" w:hAnsi="Arial"/>
          <w:b/>
          <w:bCs/>
          <w:iCs/>
          <w:color w:val="000000"/>
        </w:rPr>
        <w:footnoteReference w:id="10"/>
      </w:r>
      <w:r>
        <w:rPr>
          <w:rStyle w:val="FootnoteReference"/>
          <w:rFonts w:cs="Arial" w:ascii="Arial" w:hAnsi="Arial"/>
          <w:b/>
          <w:bCs/>
          <w:iCs/>
          <w:color w:val="000000"/>
        </w:rPr>
        <w:footnoteReference w:id="11"/>
      </w:r>
    </w:p>
    <w:p>
      <w:pPr>
        <w:pStyle w:val="Heading4"/>
        <w:suppressAutoHyphens w:val="true"/>
        <w:spacing w:before="80" w:after="0"/>
        <w:rPr/>
      </w:pPr>
      <w:r>
        <w:rPr/>
      </w:r>
    </w:p>
    <w:p>
      <w:pPr>
        <w:pStyle w:val="Heading4"/>
        <w:suppressAutoHyphens w:val="true"/>
        <w:spacing w:before="80" w:after="0"/>
        <w:rPr/>
      </w:pPr>
      <w:r>
        <w:rPr/>
        <w:t>Paragraph 56</w:t>
      </w:r>
    </w:p>
    <w:p>
      <w:pPr>
        <w:pStyle w:val="Normal"/>
        <w:suppressAutoHyphens w:val="true"/>
        <w:spacing w:before="0" w:after="0"/>
        <w:rPr/>
      </w:pPr>
      <w:r>
        <w:rPr/>
      </w:r>
    </w:p>
    <w:p>
      <w:pPr>
        <w:pStyle w:val="Normal"/>
        <w:suppressAutoHyphens w:val="true"/>
        <w:spacing w:lineRule="auto" w:line="276" w:before="0" w:after="0"/>
        <w:rPr>
          <w:rFonts w:ascii="Arial" w:hAnsi="Arial" w:cs="Arial"/>
          <w:color w:val="000000"/>
        </w:rPr>
      </w:pPr>
      <w:r>
        <w:rPr>
          <w:rFonts w:cs="Arial" w:ascii="Arial" w:hAnsi="Arial"/>
          <w:color w:val="000000"/>
        </w:rPr>
        <w:t>Connectivity is critical to humanitarian and civil society organisations operating during armed conflict and other emergencies.</w:t>
      </w:r>
      <w:r>
        <w:rPr>
          <w:rStyle w:val="FootnoteReference"/>
          <w:rFonts w:cs="Arial" w:ascii="Arial" w:hAnsi="Arial"/>
          <w:color w:val="000000"/>
        </w:rPr>
        <w:footnoteReference w:id="12"/>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w:t>
        <w:br/>
      </w:r>
    </w:p>
    <w:p>
      <w:pPr>
        <w:pStyle w:val="Normal"/>
        <w:suppressAutoHyphens w:val="true"/>
        <w:spacing w:lineRule="auto" w:line="276" w:before="0" w:after="0"/>
        <w:ind w:start="720"/>
        <w:rPr>
          <w:rFonts w:ascii="Arial" w:hAnsi="Arial" w:cs="Arial"/>
          <w:color w:val="000000"/>
        </w:rPr>
      </w:pPr>
      <w:r>
        <w:rPr>
          <w:rFonts w:cs="Arial" w:ascii="Arial" w:hAnsi="Arial"/>
          <w:b/>
          <w:bCs/>
          <w:color w:val="000000"/>
        </w:rPr>
        <w:t>“</w:t>
      </w:r>
      <w:r>
        <w:rPr>
          <w:rFonts w:cs="Arial" w:ascii="Arial" w:hAnsi="Arial"/>
          <w:b/>
          <w:bCs/>
          <w:color w:val="000000"/>
        </w:rPr>
        <w:t>States Parties should refrain from measures that hinder the activities of humanitarian and civil society organisations through network shutdowns or other connectivity restrictions. Where connectivity is disrupted during armed conflict or other emergencies, States Parties should take feasible measures, consistent with international law, to avoid or minimise the impact on the exercise of freedom of association and on humanitarian activities, and to enable access to secure and resilient means of communication.”</w:t>
      </w:r>
    </w:p>
    <w:p>
      <w:pPr>
        <w:pStyle w:val="Heading3"/>
        <w:suppressAutoHyphens w:val="true"/>
        <w:spacing w:before="160" w:after="0"/>
        <w:rPr/>
      </w:pPr>
      <w:r>
        <w:rPr/>
      </w:r>
    </w:p>
    <w:p>
      <w:pPr>
        <w:pStyle w:val="Heading3"/>
        <w:suppressAutoHyphens w:val="true"/>
        <w:spacing w:before="160" w:after="0"/>
        <w:rPr/>
      </w:pPr>
      <w:r>
        <w:rPr/>
        <w:t xml:space="preserve">3. New forms of interference with freedom of association can result from the use of digital technologies (paragraphs 24, 30, 32, 35 and 36) </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Digital technologies can also enable or intensify interference with the right to freedom of association, including through shutdowns, temporary and localised restrictions on internet access, surveillance and spyware, restrictions on encryption, arbitrary blocking or removal of websites and accounts, cyberattacks, doxxing, online harassment and technology-facilitated gender-based violence. Assessments under article 22 should account for direct, indirect and cumulative chilling effects.</w:t>
      </w:r>
    </w:p>
    <w:p>
      <w:pPr>
        <w:pStyle w:val="Normal"/>
        <w:suppressAutoHyphens w:val="true"/>
        <w:spacing w:lineRule="auto" w:line="240" w:before="0" w:after="0"/>
        <w:rPr>
          <w:rFonts w:ascii="Arial" w:hAnsi="Arial" w:eastAsia="Arial" w:cs="Arial" w:eastAsiaTheme="majorEastAsia"/>
          <w:b/>
          <w:bCs/>
          <w:i/>
          <w:iCs/>
          <w:color w:themeColor="accent1" w:val="156082"/>
          <w:sz w:val="24"/>
          <w:szCs w:val="24"/>
        </w:rPr>
      </w:pPr>
      <w:r>
        <w:rPr>
          <w:rFonts w:eastAsia="Arial" w:cs="Arial" w:eastAsiaTheme="majorEastAsia" w:ascii="Arial" w:hAnsi="Arial"/>
          <w:b/>
          <w:bCs/>
          <w:i/>
          <w:iCs/>
          <w:color w:themeColor="accent1" w:val="156082"/>
          <w:sz w:val="24"/>
          <w:szCs w:val="24"/>
        </w:rPr>
      </w:r>
      <w:r>
        <w:br w:type="page"/>
      </w:r>
    </w:p>
    <w:p>
      <w:pPr>
        <w:pStyle w:val="Heading4"/>
        <w:suppressAutoHyphens w:val="true"/>
        <w:spacing w:before="0" w:after="0"/>
        <w:rPr/>
      </w:pPr>
      <w:r>
        <w:rPr/>
        <w:t>Paragraph 24</w:t>
      </w:r>
    </w:p>
    <w:p>
      <w:pPr>
        <w:pStyle w:val="Normal"/>
        <w:suppressAutoHyphens w:val="true"/>
        <w:spacing w:before="0" w:after="0"/>
        <w:rPr/>
      </w:pPr>
      <w:r>
        <w:rPr/>
      </w:r>
    </w:p>
    <w:p>
      <w:pPr>
        <w:pStyle w:val="Normal"/>
        <w:suppressAutoHyphens w:val="true"/>
        <w:spacing w:lineRule="auto" w:line="276" w:before="0" w:after="0"/>
        <w:rPr>
          <w:rFonts w:ascii="Arial" w:hAnsi="Arial" w:cs="Arial"/>
          <w:color w:val="000000"/>
        </w:rPr>
      </w:pPr>
      <w:r>
        <w:rPr>
          <w:rFonts w:cs="Arial" w:ascii="Arial" w:hAnsi="Arial"/>
          <w:color w:val="000000"/>
        </w:rPr>
        <w:t>The reference to surveillance should encompass contemporary forms of digital surveillance and their chilling effects on trade union organising.</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w:t>
      </w:r>
    </w:p>
    <w:p>
      <w:pPr>
        <w:pStyle w:val="Normal"/>
        <w:suppressAutoHyphens w:val="true"/>
        <w:spacing w:lineRule="auto" w:line="276" w:before="0" w:after="0"/>
        <w:ind w:start="720"/>
        <w:rPr>
          <w:rFonts w:ascii="Arial" w:hAnsi="Arial" w:cs="Arial"/>
          <w:b/>
          <w:bCs/>
          <w:color w:val="000000"/>
        </w:rPr>
      </w:pPr>
      <w:r>
        <w:rPr>
          <w:rFonts w:cs="Arial" w:ascii="Arial" w:hAnsi="Arial"/>
          <w:b/>
          <w:bCs/>
          <w:color w:val="000000"/>
        </w:rPr>
      </w:r>
    </w:p>
    <w:p>
      <w:pPr>
        <w:pStyle w:val="Normal"/>
        <w:suppressAutoHyphens w:val="true"/>
        <w:spacing w:lineRule="auto" w:line="276" w:before="0" w:after="0"/>
        <w:ind w:start="720"/>
        <w:rPr>
          <w:rFonts w:ascii="Arial" w:hAnsi="Arial" w:cs="Arial"/>
          <w:color w:val="000000"/>
        </w:rPr>
      </w:pPr>
      <w:r>
        <w:rPr>
          <w:rFonts w:cs="Arial" w:ascii="Arial" w:hAnsi="Arial"/>
          <w:b/>
          <w:bCs/>
          <w:color w:val="000000"/>
        </w:rPr>
        <w:t>“</w:t>
      </w:r>
      <w:r>
        <w:rPr>
          <w:rFonts w:cs="Arial" w:ascii="Arial" w:hAnsi="Arial"/>
          <w:b/>
          <w:bCs/>
          <w:color w:val="000000"/>
        </w:rPr>
        <w:t>Unlawful or arbitrary digital surveillance, including the use of spyware, government hacking and the interception or monitoring of trade union communications and data, are prohibited and may have a chilling effect on organising, membership, communication and collective action.”</w:t>
      </w:r>
    </w:p>
    <w:p>
      <w:pPr>
        <w:pStyle w:val="Heading4"/>
        <w:suppressAutoHyphens w:val="true"/>
        <w:spacing w:before="80" w:after="0"/>
        <w:rPr/>
      </w:pPr>
      <w:r>
        <w:rPr/>
      </w:r>
    </w:p>
    <w:p>
      <w:pPr>
        <w:pStyle w:val="Heading4"/>
        <w:suppressAutoHyphens w:val="true"/>
        <w:spacing w:before="80" w:after="0"/>
        <w:rPr/>
      </w:pPr>
      <w:r>
        <w:rPr/>
        <w:t>Paragraph 30</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The examples of interference should expressly include technology-enabled restrictions and platform-level harms that prevent or deter associations from functioning.</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the following revision:</w:t>
      </w:r>
    </w:p>
    <w:p>
      <w:pPr>
        <w:pStyle w:val="Normal"/>
        <w:suppressAutoHyphens w:val="true"/>
        <w:spacing w:lineRule="auto" w:line="276" w:before="0" w:after="0"/>
        <w:ind w:start="72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w:t>
      </w:r>
      <w:r>
        <w:rPr>
          <w:rFonts w:cs="Arial" w:ascii="Arial" w:hAnsi="Arial"/>
          <w:color w:val="000000"/>
        </w:rPr>
        <w:t>Accordingly, measures that are prohibited include arbitrarily refusing to register an association, dissolving or banning an association, imposing a travel ban on association members or making it compulsory for them to request travel authorization, ban on the right to enter their own country, withdrawing association members’ nationality, cancelling their passports and identity documents, performing surveillance, including online, of the organization’s activities, infiltrating an association with covert police or intelligence services, carrying out police raids and search of private homes, reprisals, and harassment of association’s members, including through administrative proceedings and requirements</w:t>
      </w:r>
      <w:r>
        <w:rPr>
          <w:rFonts w:cs="Arial" w:ascii="Arial" w:hAnsi="Arial"/>
          <w:b/>
          <w:bCs/>
          <w:color w:val="000000"/>
        </w:rPr>
        <w:t>. States Parties should additionally refrain from network shutdowns, disruptions and blocking of content, accounts or websites.</w:t>
      </w:r>
      <w:r>
        <w:rPr>
          <w:rFonts w:cs="Arial" w:ascii="Arial" w:hAnsi="Arial"/>
          <w:color w:val="000000"/>
        </w:rPr>
        <w:t xml:space="preserve"> Counter-terrorism</w:t>
      </w:r>
      <w:r>
        <w:rPr>
          <w:rFonts w:cs="Arial" w:ascii="Arial" w:hAnsi="Arial"/>
          <w:color w:val="000000"/>
          <w:sz w:val="18"/>
          <w:szCs w:val="18"/>
          <w:vertAlign w:val="superscript"/>
        </w:rPr>
        <w:t>,</w:t>
      </w:r>
      <w:r>
        <w:rPr>
          <w:rFonts w:cs="Arial" w:ascii="Arial" w:hAnsi="Arial"/>
          <w:color w:val="000000"/>
        </w:rPr>
        <w:t xml:space="preserve"> anti-money-laundering, and measures concerning </w:t>
      </w:r>
      <w:r>
        <w:rPr>
          <w:rFonts w:cs="Arial" w:ascii="Arial" w:hAnsi="Arial"/>
          <w:b/>
          <w:bCs/>
          <w:color w:val="000000"/>
        </w:rPr>
        <w:t>cybercrime, national security, misinformation, disinformation and online safety must not be used to restrict legitimate associational activity in a manner inconsistent with article 22. States Parties should also address discriminatory deplatforming or algorithmic suppression of associations, coordinated abuse of reporting systems, and compelled disclosure or failures to protect data that expose members of associations to foreseeable harm</w:t>
      </w:r>
      <w:r>
        <w:rPr>
          <w:rFonts w:cs="Arial" w:ascii="Arial" w:hAnsi="Arial"/>
          <w:color w:val="000000"/>
        </w:rPr>
        <w:t>.”</w:t>
      </w:r>
    </w:p>
    <w:p>
      <w:pPr>
        <w:pStyle w:val="Heading4"/>
        <w:suppressAutoHyphens w:val="true"/>
        <w:spacing w:before="80" w:after="0"/>
        <w:rPr/>
      </w:pPr>
      <w:r>
        <w:rPr/>
      </w:r>
    </w:p>
    <w:p>
      <w:pPr>
        <w:pStyle w:val="Heading4"/>
        <w:suppressAutoHyphens w:val="true"/>
        <w:spacing w:before="80" w:after="0"/>
        <w:rPr/>
      </w:pPr>
      <w:r>
        <w:rPr/>
        <w:t>Paragraph 32</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The terminology ‘cyber repressing’ is unclear and the text should rather capture the continuum of transnational repression across online and offline spaces.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indent"/>
        <w:suppressAutoHyphens w:val="true"/>
        <w:rPr/>
      </w:pPr>
      <w:r>
        <w:rPr/>
        <w:t>“</w:t>
      </w:r>
      <w:r>
        <w:rPr/>
        <w:t>As indicated above, in line with article 2 of the Covenant, the obligation to respect Covenant rights is not limited to a State Party’s territory. Therefore, article 22 prohibits a State Party from torturing, disappearing, arbitrarily arresting and detaining, intimidating, harassing, carrying out surveillance and transnational repression or committing any similar actions, whether online or offline, against for instance, journalists, human rights defenders, environmental defenders, lawyers and legal aid organisations, media workers and trade union members living abroad.”</w:t>
      </w:r>
    </w:p>
    <w:p>
      <w:pPr>
        <w:pStyle w:val="Heading4"/>
        <w:suppressAutoHyphens w:val="true"/>
        <w:spacing w:before="80" w:after="0"/>
        <w:rPr/>
      </w:pPr>
      <w:r>
        <w:rPr/>
      </w:r>
    </w:p>
    <w:p>
      <w:pPr>
        <w:pStyle w:val="Heading4"/>
        <w:suppressAutoHyphens w:val="true"/>
        <w:spacing w:before="80" w:after="0"/>
        <w:rPr/>
      </w:pPr>
      <w:r>
        <w:rPr/>
        <w:t>Paragraph 35</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The General Comment should recognise technology-enabled hostile actions while ensuring that responses to harmful online conduct do not enable vague or disproportionate restrictions.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 xml:space="preserve">Under the positive obligations of article 22, States Parties are required to ensure the existence of a functioning environment for associations. They are also obliged to address hostile actions, discourses and narratives, associations and their members against unlawful hostile actions, including online, </w:t>
      </w:r>
      <w:r>
        <w:rPr>
          <w:rFonts w:cs="Arial" w:ascii="Arial" w:hAnsi="Arial"/>
          <w:b/>
          <w:bCs/>
          <w:color w:val="000000"/>
        </w:rPr>
        <w:t xml:space="preserve">originating with state officials and affecting associations and their members, </w:t>
      </w:r>
      <w:r>
        <w:rPr>
          <w:rFonts w:cs="Arial" w:ascii="Arial" w:hAnsi="Arial"/>
          <w:color w:val="000000"/>
        </w:rPr>
        <w:t>whether they emanate from public figures or private persons and actors and otherwise to promote positive discourses and narratives regarding the right to freedom of association</w:t>
      </w:r>
      <w:r>
        <w:rPr>
          <w:rFonts w:cs="Arial" w:ascii="Arial" w:hAnsi="Arial"/>
          <w:b/>
          <w:bCs/>
          <w:color w:val="000000"/>
        </w:rPr>
        <w:t xml:space="preserve">, in accordance with the provisions of article 19, paragraph 3 and article 20. Measures addressing harmful online conduct or content must comply with the Covenant, including articles 19, 20 and 22, and must not be used as a basis for vague, overbroad or disproportionate restrictions on lawful expression or associational activity. </w:t>
      </w:r>
      <w:r>
        <w:rPr>
          <w:rFonts w:cs="Arial" w:ascii="Arial" w:hAnsi="Arial"/>
          <w:color w:val="000000"/>
        </w:rPr>
        <w:t>This is especially so where associations focus on issues considered by the majority of the population or the Government to be controversial or sensitive, such as gender issues, migrants rights, corruption, business projects in the context of extractive industries, opponents to economic development projects or mega projects or other oppositions political issues.</w:t>
      </w:r>
    </w:p>
    <w:p>
      <w:pPr>
        <w:pStyle w:val="Normal"/>
        <w:suppressAutoHyphens w:val="true"/>
        <w:spacing w:lineRule="auto" w:line="240" w:before="0" w:after="0"/>
        <w:rPr>
          <w:rFonts w:ascii="Arial" w:hAnsi="Arial" w:eastAsia="Arial" w:cs="Arial" w:eastAsiaTheme="majorEastAsia"/>
          <w:b/>
          <w:bCs/>
          <w:i/>
          <w:iCs/>
          <w:color w:themeColor="accent1" w:val="156082"/>
          <w:sz w:val="24"/>
          <w:szCs w:val="24"/>
        </w:rPr>
      </w:pPr>
      <w:r>
        <w:rPr>
          <w:rFonts w:eastAsia="Arial" w:cs="Arial" w:eastAsiaTheme="majorEastAsia" w:ascii="Arial" w:hAnsi="Arial"/>
          <w:b/>
          <w:bCs/>
          <w:i/>
          <w:iCs/>
          <w:color w:themeColor="accent1" w:val="156082"/>
          <w:sz w:val="24"/>
          <w:szCs w:val="24"/>
        </w:rPr>
      </w:r>
    </w:p>
    <w:p>
      <w:pPr>
        <w:pStyle w:val="Heading4"/>
        <w:suppressAutoHyphens w:val="true"/>
        <w:spacing w:before="80" w:after="0"/>
        <w:rPr/>
      </w:pPr>
      <w:r>
        <w:rPr/>
        <w:t>Paragraph 36</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The Comment should broaden its treatment of transnational digital repression and expressly recognise its gendered and intersectional dimensions.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the following revision:</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w:t>
      </w:r>
      <w:r>
        <w:rPr>
          <w:rFonts w:cs="Arial" w:ascii="Arial" w:hAnsi="Arial"/>
          <w:color w:val="000000"/>
        </w:rPr>
        <w:t xml:space="preserve">In addition, while States Parties have a negative obligation to prevent their officials or agents from harassment or attacks upon individuals extraterritorially, they also have a positive obligation to protect individuals subject to their jurisdiction against such risks coming from third States, whether the harassment, attacks, kidnapping, enforced disappearance or other acts of violence are carried out offline or through transnational digital surveillance </w:t>
      </w:r>
      <w:r>
        <w:rPr>
          <w:rFonts w:cs="Arial" w:ascii="Arial" w:hAnsi="Arial"/>
          <w:b/>
          <w:bCs/>
          <w:color w:val="000000"/>
        </w:rPr>
        <w:t>or other forms of digital repression. Women and girls, particularly those working on gender justice and human rights, are disproportionally impacted and face technology facilitated gender based violence.</w:t>
      </w:r>
      <w:r>
        <w:rPr>
          <w:rStyle w:val="FootnoteReference"/>
          <w:rFonts w:cs="Arial" w:ascii="Arial" w:hAnsi="Arial"/>
          <w:b/>
          <w:bCs/>
          <w:color w:val="000000"/>
        </w:rPr>
        <w:footnoteReference w:id="13"/>
      </w:r>
      <w:r>
        <w:rPr>
          <w:rFonts w:cs="Arial" w:ascii="Arial" w:hAnsi="Arial"/>
          <w:b/>
          <w:bCs/>
          <w:color w:val="000000"/>
        </w:rPr>
        <w:t xml:space="preserve"> Such conduct may threaten safety, expose associations to harm, deter participation and silence dissent. States Parties should take gender-responsive and intersectional measures to prevent, investigate, punish and remedy such harms, and protect affected persons and their networks against reprisals.</w:t>
      </w:r>
    </w:p>
    <w:p>
      <w:pPr>
        <w:pStyle w:val="Heading3"/>
        <w:suppressAutoHyphens w:val="true"/>
        <w:spacing w:before="160" w:after="0"/>
        <w:rPr/>
      </w:pPr>
      <w:r>
        <w:rPr/>
      </w:r>
    </w:p>
    <w:p>
      <w:pPr>
        <w:pStyle w:val="Heading3"/>
        <w:suppressAutoHyphens w:val="true"/>
        <w:spacing w:before="160" w:after="0"/>
        <w:rPr/>
      </w:pPr>
      <w:r>
        <w:rPr/>
        <w:t xml:space="preserve">4. Regulation must protect civic space and ensure accountability for private-sector impacts (paragraphs 37 </w:t>
        <w:br/>
        <w:t>and 49)</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has documented how national security, counter-terrorism and cybercrime legislation and other measures, like defamation, libel laws and frameworks regulating civil society, are weaponised against human rights defenders and journalists, for example those who expose sexual harassment and violence or government corruption.</w:t>
      </w:r>
      <w:r>
        <w:rPr>
          <w:rStyle w:val="FootnoteReference"/>
          <w:rFonts w:cs="Arial" w:ascii="Arial" w:hAnsi="Arial"/>
          <w:color w:val="000000"/>
        </w:rPr>
        <w:footnoteReference w:id="14"/>
      </w:r>
      <w:r>
        <w:rPr>
          <w:rFonts w:cs="Arial" w:ascii="Arial" w:hAnsi="Arial"/>
          <w:color w:val="000000"/>
        </w:rPr>
        <w:t xml:space="preserve"> States Parties must therefore ensure that such laws and measures comply with article 22, while regulating business enterprises whose products, services and relationships with public authorities affect the right to freedom of association.</w:t>
      </w:r>
      <w:r>
        <w:rPr>
          <w:rStyle w:val="FootnoteReference"/>
          <w:rFonts w:cs="Arial" w:ascii="Arial" w:hAnsi="Arial"/>
          <w:color w:val="000000"/>
        </w:rPr>
        <w:footnoteReference w:id="15"/>
      </w:r>
    </w:p>
    <w:p>
      <w:pPr>
        <w:pStyle w:val="Heading4"/>
        <w:suppressAutoHyphens w:val="true"/>
        <w:spacing w:before="80" w:after="0"/>
        <w:rPr>
          <w:rStyle w:val="SubtleEmphasis"/>
          <w:i/>
          <w:iCs/>
          <w:color w:val="000000"/>
        </w:rPr>
      </w:pPr>
      <w:r>
        <w:rPr>
          <w:i/>
          <w:iCs/>
          <w:color w:val="000000"/>
        </w:rPr>
      </w:r>
    </w:p>
    <w:p>
      <w:pPr>
        <w:pStyle w:val="Heading4"/>
        <w:suppressAutoHyphens w:val="true"/>
        <w:spacing w:before="80" w:after="0"/>
        <w:rPr/>
      </w:pPr>
      <w:bookmarkStart w:id="0" w:name="_GoBack"/>
      <w:bookmarkEnd w:id="0"/>
      <w:r>
        <w:rPr>
          <w:rStyle w:val="SubtleEmphasis"/>
          <w:i/>
          <w:iCs/>
          <w:color w:val="000000"/>
        </w:rPr>
        <w:t>Paragraph 37</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Considering the role of private entities in shaping the exercise of freedom of association in the digital age, the Draft should more clearly reflect States Parties’ duty to regulate business enterprises, including through gender-responsive due diligence, transparency and effective remedy.</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the following revisions and additions:</w:t>
      </w:r>
    </w:p>
    <w:p>
      <w:pPr>
        <w:pStyle w:val="Normal"/>
        <w:suppressAutoHyphens w:val="true"/>
        <w:spacing w:lineRule="auto" w:line="276" w:before="0" w:after="0"/>
        <w:ind w:start="72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w:t>
      </w:r>
      <w:r>
        <w:rPr>
          <w:rFonts w:cs="Arial" w:ascii="Arial" w:hAnsi="Arial"/>
          <w:i/>
          <w:color w:val="000000"/>
        </w:rPr>
        <w:t xml:space="preserve">The growing online dimension of association activities may give rise to challenges for States Parties in meeting their positive and negative obligations under articles 2 and 22 of the Covenant. Private entities such as service providers, content moderation bodies, digital technology companies and social media companies are key actors in online communication sectors. In this regard, States </w:t>
      </w:r>
      <w:r>
        <w:rPr>
          <w:rFonts w:cs="Arial" w:ascii="Arial" w:hAnsi="Arial"/>
          <w:b/>
          <w:bCs/>
          <w:i/>
          <w:color w:val="000000"/>
        </w:rPr>
        <w:t>Parties should require business enterprises to undertake independent, transparent and ongoing gender-responsive human rights due diligence and human rights impact assessments concerning policies, practices, products and services that may adversely affect the right to freedom of association; to assess the differentiated and intersectional impacts of their activities, products and services; and to take effective measures to prevent, mitigate and remedy such impacts. States Parties should also ensure respect for freedom of association and other human rights in the States Parties’ own procurement and deployment of technology, including where undertaken in cooperation with business enterprises, and ensure transparency concerning relevant contracts and procurement arrangements. States Parties should investigate human rights abuses linked to the activities, products and services of business enterprises, whether they are committed on their territory or abroad, and ensure access to effective remedy and redress.</w:t>
      </w:r>
    </w:p>
    <w:p>
      <w:pPr>
        <w:pStyle w:val="Heading4"/>
        <w:suppressAutoHyphens w:val="true"/>
        <w:spacing w:before="80" w:after="0"/>
        <w:rPr/>
      </w:pPr>
      <w:r>
        <w:rPr/>
      </w:r>
    </w:p>
    <w:p>
      <w:pPr>
        <w:pStyle w:val="Heading4"/>
        <w:rPr/>
      </w:pPr>
      <w:r>
        <w:rPr/>
        <w:t>Paragraph 49</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w:t>
      </w:r>
    </w:p>
    <w:p>
      <w:pPr>
        <w:pStyle w:val="Normal"/>
        <w:suppressAutoHyphens w:val="true"/>
        <w:spacing w:lineRule="auto" w:line="276" w:before="0" w:after="0"/>
        <w:ind w:start="72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w:t>
      </w:r>
      <w:r>
        <w:rPr>
          <w:rFonts w:cs="Arial" w:ascii="Arial" w:hAnsi="Arial"/>
          <w:color w:val="000000"/>
        </w:rPr>
        <w:t xml:space="preserve">The list of legitimate grounds for restriction set out in article 22 (2) is exhaustive. Concepts such as </w:t>
      </w:r>
      <w:r>
        <w:rPr>
          <w:rFonts w:cs="Arial" w:ascii="Arial" w:hAnsi="Arial"/>
          <w:b/>
          <w:bCs/>
          <w:color w:val="000000"/>
        </w:rPr>
        <w:t>cybercrime, national security, misinformation, disinformation and online safety</w:t>
      </w:r>
      <w:r>
        <w:rPr>
          <w:rFonts w:cs="Arial" w:ascii="Arial" w:hAnsi="Arial"/>
          <w:color w:val="000000"/>
        </w:rPr>
        <w:t xml:space="preserve"> </w:t>
      </w:r>
      <w:r>
        <w:rPr>
          <w:rFonts w:cs="Arial" w:ascii="Arial" w:hAnsi="Arial"/>
          <w:b/>
          <w:bCs/>
          <w:color w:val="000000"/>
        </w:rPr>
        <w:t>do not constitute independent or open-ended grounds for restricting the right to freedom of association. Any restriction must pursue one of the legitimate aims expressly set out in article 22 (2) and meet the tests of legality, necessity and proportionality. Public morals, which may be invoked only exceptionally as grounds for a restriction, are not equivalent to social sensibilities, and must be based on principles not deriving exclusively from a single social, philosophical or religious tradition.</w:t>
      </w:r>
      <w:r>
        <w:rPr>
          <w:rStyle w:val="FootnoteReference"/>
          <w:rFonts w:cs="Arial" w:ascii="Arial" w:hAnsi="Arial"/>
          <w:b/>
          <w:bCs/>
          <w:color w:val="000000"/>
        </w:rPr>
        <w:footnoteReference w:id="16"/>
      </w:r>
      <w:r>
        <w:rPr>
          <w:rFonts w:cs="Arial" w:ascii="Arial" w:hAnsi="Arial"/>
          <w:color w:val="000000"/>
        </w:rPr>
        <w:t xml:space="preserve"> Motives such as those invoked for justifying “foreign agent” or similar laws, such as “public transparency” or “social transparency”, misused for targeting associations that receive funds from abroad are not covered by the legitimate goals listed in article 22 (2).</w:t>
      </w:r>
    </w:p>
    <w:p>
      <w:pPr>
        <w:pStyle w:val="Heading3"/>
        <w:suppressAutoHyphens w:val="true"/>
        <w:spacing w:before="160" w:after="0"/>
        <w:rPr/>
      </w:pPr>
      <w:r>
        <w:rPr/>
      </w:r>
    </w:p>
    <w:p>
      <w:pPr>
        <w:pStyle w:val="Heading3"/>
        <w:suppressAutoHyphens w:val="true"/>
        <w:spacing w:before="160" w:after="0"/>
        <w:rPr/>
      </w:pPr>
      <w:r>
        <w:rPr/>
        <w:t>5. Gender-responsive safeguards against discriminatory restrictions (paragraphs 16, 38, 48 and 51)</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A gender-responsive interpretation of Article 22 must address the conditions in which people in all their gender diversity can exercise the right to freedom of association. </w:t>
      </w:r>
    </w:p>
    <w:p>
      <w:pPr>
        <w:pStyle w:val="Heading4"/>
        <w:suppressAutoHyphens w:val="true"/>
        <w:spacing w:before="80" w:after="0"/>
        <w:rPr/>
      </w:pPr>
      <w:r>
        <w:rPr/>
      </w:r>
    </w:p>
    <w:p>
      <w:pPr>
        <w:pStyle w:val="Heading4"/>
        <w:suppressAutoHyphens w:val="true"/>
        <w:spacing w:before="80" w:after="0"/>
        <w:rPr/>
      </w:pPr>
      <w:r>
        <w:rPr/>
        <w:t>Paragraph 16</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The General Comment should recognise that safety concerns may lead groups exposed to violence, stigma or surveillance to organise online, anonymously or pseudonymously.</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40"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 to the end of the paragraph:</w:t>
      </w:r>
    </w:p>
    <w:p>
      <w:pPr>
        <w:pStyle w:val="indent"/>
        <w:suppressAutoHyphens w:val="true"/>
        <w:rPr/>
      </w:pPr>
      <w:r>
        <w:rPr/>
      </w:r>
    </w:p>
    <w:p>
      <w:pPr>
        <w:pStyle w:val="indent"/>
        <w:suppressAutoHyphens w:val="true"/>
        <w:rPr/>
      </w:pPr>
      <w:r>
        <w:rPr/>
        <w:t>“</w:t>
      </w:r>
      <w:r>
        <w:rPr/>
        <w:t>Specific needs may include the need to organise online, anonymously or pseudonymously, or without public visibility, where disclosure of identity, membership or organisational structure would expose members to discrimination, surveillance, reprisals or other harm. States Parties should respect and protect such safety-driven choices, subject only to restrictions that comply with article 22 (2).”</w:t>
      </w:r>
    </w:p>
    <w:p>
      <w:pPr>
        <w:pStyle w:val="Heading4"/>
        <w:suppressAutoHyphens w:val="true"/>
        <w:spacing w:before="80" w:after="0"/>
        <w:rPr/>
      </w:pPr>
      <w:r>
        <w:rPr/>
      </w:r>
    </w:p>
    <w:p>
      <w:pPr>
        <w:pStyle w:val="Heading4"/>
        <w:suppressAutoHyphens w:val="true"/>
        <w:spacing w:before="80" w:after="0"/>
        <w:rPr/>
      </w:pPr>
      <w:r>
        <w:rPr/>
        <w:t>Paragraph 38</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Specific measures should be framed through substantive equality and an intersectional approach.</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40" w:before="0" w:after="0"/>
        <w:rPr>
          <w:rFonts w:ascii="Arial" w:hAnsi="Arial" w:cs="Arial"/>
          <w:color w:val="000000"/>
        </w:rPr>
      </w:pPr>
      <w:r>
        <w:rPr>
          <w:rFonts w:cs="Arial" w:ascii="Arial" w:hAnsi="Arial"/>
          <w:color w:val="000000"/>
        </w:rPr>
      </w:r>
      <w:r>
        <w:br w:type="page"/>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 to the end of the paragraph:</w:t>
      </w:r>
    </w:p>
    <w:p>
      <w:pPr>
        <w:pStyle w:val="indent"/>
        <w:suppressAutoHyphens w:val="true"/>
        <w:rPr/>
      </w:pPr>
      <w:r>
        <w:rPr/>
      </w:r>
    </w:p>
    <w:p>
      <w:pPr>
        <w:pStyle w:val="indent"/>
        <w:suppressAutoHyphens w:val="true"/>
        <w:rPr/>
      </w:pPr>
      <w:r>
        <w:rPr/>
        <w:t>“</w:t>
      </w:r>
      <w:r>
        <w:rPr/>
        <w:t>Specific measures should be designed and implemented through a gender-responsive and intersectional approach and should address compounding structural barriers to the effective enjoyment of freedom of association, including those related to gender, sexual orientation and gender identity, race, ethnicity, disability, migration status and socioeconomic status. Such measures may include designing registration, funding, accessibility and safety frameworks to address these barriers.”</w:t>
      </w:r>
    </w:p>
    <w:p>
      <w:pPr>
        <w:pStyle w:val="Heading4"/>
        <w:suppressAutoHyphens w:val="true"/>
        <w:spacing w:before="80" w:after="0"/>
        <w:rPr/>
      </w:pPr>
      <w:r>
        <w:rPr/>
      </w:r>
    </w:p>
    <w:p>
      <w:pPr>
        <w:pStyle w:val="Heading4"/>
        <w:suppressAutoHyphens w:val="true"/>
        <w:spacing w:before="80" w:after="0"/>
        <w:rPr/>
      </w:pPr>
      <w:r>
        <w:rPr/>
        <w:t>Paragraph 48</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w:t>
      </w:r>
    </w:p>
    <w:p>
      <w:pPr>
        <w:pStyle w:val="Normal"/>
        <w:suppressAutoHyphens w:val="true"/>
        <w:spacing w:lineRule="auto" w:line="276" w:before="0" w:after="0"/>
        <w:ind w:start="720"/>
        <w:rPr>
          <w:rFonts w:ascii="Arial" w:hAnsi="Arial" w:cs="Arial"/>
          <w:color w:val="000000"/>
        </w:rPr>
      </w:pPr>
      <w:r>
        <w:rPr>
          <w:rFonts w:cs="Arial" w:ascii="Arial" w:hAnsi="Arial"/>
          <w:color w:val="000000"/>
        </w:rPr>
      </w:r>
    </w:p>
    <w:p>
      <w:pPr>
        <w:pStyle w:val="Normal"/>
        <w:suppressAutoHyphens w:val="true"/>
        <w:spacing w:lineRule="auto" w:line="276" w:before="0" w:after="0"/>
        <w:ind w:start="720"/>
        <w:rPr>
          <w:rFonts w:ascii="Arial" w:hAnsi="Arial" w:cs="Arial"/>
          <w:color w:val="000000"/>
        </w:rPr>
      </w:pPr>
      <w:r>
        <w:rPr>
          <w:rFonts w:cs="Arial" w:ascii="Arial" w:hAnsi="Arial"/>
          <w:color w:val="000000"/>
        </w:rPr>
        <w:t>In this regard, the banning of associations or the criminalization of their activities for obscenity, for disseminating “propaganda” on non-traditional sexual relations among minors or “non-traditional” sexual orientations, for</w:t>
      </w:r>
      <w:r>
        <w:rPr>
          <w:rFonts w:cs="Arial" w:ascii="Arial" w:hAnsi="Arial"/>
          <w:b/>
          <w:bCs/>
          <w:color w:val="000000"/>
        </w:rPr>
        <w:t xml:space="preserve"> working on comprehensive sexuality education, sexual and reproductive health and rights, abortion rights, gender-affirming care, LGBTQI+ rights or sex worker rights</w:t>
      </w:r>
      <w:r>
        <w:rPr>
          <w:rFonts w:cs="Arial" w:ascii="Arial" w:hAnsi="Arial"/>
          <w:color w:val="000000"/>
        </w:rPr>
        <w:t xml:space="preserve"> or for denying family or community values are seen as discriminatory restrictions of the right to freedom of association.</w:t>
      </w:r>
    </w:p>
    <w:p>
      <w:pPr>
        <w:pStyle w:val="Normal"/>
        <w:suppressAutoHyphens w:val="true"/>
        <w:spacing w:lineRule="auto" w:line="240" w:before="0" w:after="0"/>
        <w:rPr/>
      </w:pPr>
      <w:r>
        <w:rPr/>
      </w:r>
    </w:p>
    <w:p>
      <w:pPr>
        <w:pStyle w:val="Heading4"/>
        <w:rPr/>
      </w:pPr>
      <w:r>
        <w:rPr/>
        <w:t>Paragraph 51</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Safeguards are recommended here to prevent provisions on hostile or discriminatory advocacy from being inverted against gender equality-seeking associations.</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APC recommends adding:</w:t>
      </w:r>
    </w:p>
    <w:p>
      <w:pPr>
        <w:pStyle w:val="Normal"/>
        <w:suppressAutoHyphens w:val="true"/>
        <w:spacing w:lineRule="auto" w:line="276" w:before="0" w:after="0"/>
        <w:ind w:start="720"/>
        <w:rPr>
          <w:rFonts w:ascii="Arial" w:hAnsi="Arial" w:cs="Arial"/>
          <w:b/>
          <w:bCs/>
          <w:color w:val="000000"/>
        </w:rPr>
      </w:pPr>
      <w:r>
        <w:rPr>
          <w:rFonts w:cs="Arial" w:ascii="Arial" w:hAnsi="Arial"/>
          <w:b/>
          <w:bCs/>
          <w:color w:val="000000"/>
        </w:rPr>
      </w:r>
    </w:p>
    <w:p>
      <w:pPr>
        <w:pStyle w:val="Normal"/>
        <w:suppressAutoHyphens w:val="true"/>
        <w:spacing w:lineRule="auto" w:line="276" w:before="0" w:after="0"/>
        <w:ind w:start="720"/>
        <w:rPr>
          <w:rFonts w:ascii="Arial" w:hAnsi="Arial" w:cs="Arial"/>
          <w:color w:val="000000"/>
        </w:rPr>
      </w:pPr>
      <w:r>
        <w:rPr>
          <w:rFonts w:cs="Arial" w:ascii="Arial" w:hAnsi="Arial"/>
          <w:b/>
          <w:bCs/>
          <w:color w:val="000000"/>
        </w:rPr>
        <w:t>“</w:t>
      </w:r>
      <w:r>
        <w:rPr>
          <w:rFonts w:cs="Arial" w:ascii="Arial" w:hAnsi="Arial"/>
          <w:bCs/>
          <w:color w:val="000000"/>
        </w:rPr>
        <w:t xml:space="preserve">In this regard, associations cannot be used for hate speech or discriminatory or hostile discourse and actions concerning others, such as migrants, ethnic minorities, women and LGBTQ+ persons. As far as possible, action should be taken in such cases against the individual perpetrators, rather than against the organization as a whole. </w:t>
      </w:r>
      <w:r>
        <w:rPr>
          <w:rFonts w:cs="Arial" w:ascii="Arial" w:hAnsi="Arial"/>
          <w:b/>
          <w:bCs/>
          <w:color w:val="000000"/>
        </w:rPr>
        <w:t>Measures addressing advocacy of hatred, hostility or discrimination must be interpreted and applied strictly, on the basis of evidence and consistently with articles 19, 20 and 22 of the Covenant. They must not be used to restrict gender equality-seeking associations merely because their advocacy challenges religious doctrine, gender stereotypes or asserted traditional or family values.”</w:t>
      </w:r>
    </w:p>
    <w:p>
      <w:pPr>
        <w:pStyle w:val="Heading2"/>
        <w:suppressAutoHyphens w:val="true"/>
        <w:rPr/>
      </w:pPr>
      <w:r>
        <w:rPr/>
      </w:r>
    </w:p>
    <w:p>
      <w:pPr>
        <w:pStyle w:val="Normal"/>
        <w:suppressAutoHyphens w:val="true"/>
        <w:spacing w:lineRule="auto" w:line="240" w:before="0" w:after="0"/>
        <w:rPr>
          <w:rFonts w:ascii="Arial" w:hAnsi="Arial" w:eastAsia="Arial" w:cs="Arial" w:eastAsiaTheme="majorEastAsia"/>
          <w:b/>
          <w:bCs/>
          <w:color w:val="000000"/>
          <w:sz w:val="36"/>
          <w:szCs w:val="36"/>
        </w:rPr>
      </w:pPr>
      <w:r>
        <w:rPr>
          <w:rFonts w:eastAsia="Arial" w:cs="Arial" w:eastAsiaTheme="majorEastAsia" w:ascii="Arial" w:hAnsi="Arial"/>
          <w:b/>
          <w:bCs/>
          <w:color w:val="000000"/>
          <w:sz w:val="36"/>
          <w:szCs w:val="36"/>
        </w:rPr>
      </w:r>
      <w:r>
        <w:br w:type="page"/>
      </w:r>
    </w:p>
    <w:p>
      <w:pPr>
        <w:pStyle w:val="Heading2"/>
        <w:suppressAutoHyphens w:val="true"/>
        <w:spacing w:before="0" w:after="0"/>
        <w:rPr/>
      </w:pPr>
      <w:r>
        <w:rPr/>
        <w:t>Section 3: Conclusion</w:t>
      </w:r>
    </w:p>
    <w:p>
      <w:pPr>
        <w:pStyle w:val="Normal"/>
        <w:suppressAutoHyphens w:val="true"/>
        <w:spacing w:lineRule="auto" w:line="276" w:before="0" w:after="0"/>
        <w:rPr>
          <w:rFonts w:ascii="Arial" w:hAnsi="Arial" w:cs="Arial"/>
          <w:color w:val="000000"/>
        </w:rPr>
      </w:pPr>
      <w:r>
        <w:rPr>
          <w:rFonts w:cs="Arial" w:ascii="Arial" w:hAnsi="Arial"/>
          <w:color w:val="000000"/>
        </w:rPr>
      </w:r>
    </w:p>
    <w:p>
      <w:pPr>
        <w:pStyle w:val="Normal"/>
        <w:suppressAutoHyphens w:val="true"/>
        <w:spacing w:lineRule="auto" w:line="276" w:before="0" w:after="0"/>
        <w:rPr>
          <w:rFonts w:ascii="Arial" w:hAnsi="Arial" w:cs="Arial"/>
          <w:color w:val="000000"/>
        </w:rPr>
      </w:pPr>
      <w:r>
        <w:rPr>
          <w:rFonts w:cs="Arial" w:ascii="Arial" w:hAnsi="Arial"/>
          <w:color w:val="000000"/>
        </w:rPr>
        <w:t xml:space="preserve">APC thanks the Committee for the opportunity to contribute to the development of the General Comment. Considering the increasing significance of digital technologies to the exercise of the right to freedom of association, we urge the Committee to strengthen the Draft General Comment’s treatment of the online and digitally-mediated dimensions of article 22, as well as its consideration of the intersectional and gendered dimensions and impacts of digital technologies on the exercise of the right to freedom of association. APC remains available to provide </w:t>
        <w:br/>
        <w:t xml:space="preserve">any further information or input that may assist the Committee in finalising the General Comment. </w:t>
      </w:r>
    </w:p>
    <w:sectPr>
      <w:footerReference w:type="even" r:id="rId3"/>
      <w:footerReference w:type="default" r:id="rId4"/>
      <w:footerReference w:type="first" r:id="rId5"/>
      <w:footnotePr>
        <w:numFmt w:val="decimal"/>
      </w:footnotePr>
      <w:type w:val="nextPage"/>
      <w:pgSz w:w="11906" w:h="16838"/>
      <w:pgMar w:left="1814" w:right="1814" w:gutter="0" w:header="0" w:top="1701" w:footer="434" w:bottom="1701"/>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Arial">
    <w:charset w:val="01" w:characterSet="utf-8"/>
    <w:family w:val="swiss"/>
    <w:pitch w:val="variable"/>
  </w:font>
  <w:font w:name="Liberation Sans">
    <w:altName w:val="Arial"/>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83721710"/>
      <w:docPartObj>
        <w:docPartGallery w:val="Page Numbers (Bottom of Page)"/>
        <w:docPartUnique w:val="true"/>
      </w:docPartObj>
    </w:sdtPr>
    <w:sdtContent>
      <w:p>
        <w:pPr>
          <w:pStyle w:val="Footer"/>
          <w:jc w:val="center"/>
          <w:rPr>
            <w:rFonts w:ascii="Arial" w:hAnsi="Arial" w:cs="Arial"/>
            <w:sz w:val="20"/>
            <w:szCs w:val="20"/>
          </w:rPr>
        </w:pPr>
        <w:r>
          <w:rPr>
            <w:rFonts w:cs="Arial" w:ascii="Arial" w:hAnsi="Arial"/>
            <w:sz w:val="20"/>
            <w:szCs w:val="20"/>
          </w:rPr>
          <w:fldChar w:fldCharType="begin"/>
        </w:r>
        <w:r>
          <w:rPr>
            <w:rFonts w:cs="Arial" w:ascii="Arial" w:hAnsi="Arial"/>
            <w:sz w:val="20"/>
            <w:szCs w:val="20"/>
          </w:rPr>
          <w:instrText xml:space="preserve"> PAGE </w:instrText>
        </w:r>
        <w:r>
          <w:rPr>
            <w:rFonts w:cs="Arial" w:ascii="Arial" w:hAnsi="Arial"/>
            <w:sz w:val="20"/>
            <w:szCs w:val="20"/>
          </w:rPr>
          <w:fldChar w:fldCharType="separate"/>
        </w:r>
        <w:r>
          <w:rPr>
            <w:rFonts w:cs="Arial" w:ascii="Arial" w:hAnsi="Arial"/>
            <w:sz w:val="20"/>
            <w:szCs w:val="20"/>
          </w:rPr>
          <w:t>14</w:t>
        </w:r>
        <w:r>
          <w:rPr>
            <w:rFonts w:cs="Arial" w:ascii="Arial" w:hAnsi="Arial"/>
            <w:sz w:val="20"/>
            <w:szCs w:val="20"/>
          </w:rPr>
          <w:fldChar w:fldCharType="end"/>
        </w:r>
      </w:p>
    </w:sdtContent>
  </w:sdt>
  <w:p>
    <w:pPr>
      <w:pStyle w:val="Footer"/>
      <w:rPr>
        <w:rFonts w:ascii="Arial" w:hAnsi="Arial" w:cs="Arial"/>
        <w:sz w:val="20"/>
        <w:szCs w:val="20"/>
      </w:rPr>
    </w:pPr>
    <w:r>
      <w:rPr>
        <w:rFonts w:cs="Arial" w:ascii="Arial" w:hAnsi="Arial"/>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hyperlink r:id="rId1">
        <w:r>
          <w:rPr>
            <w:rStyle w:val="Hyperlink"/>
            <w:rFonts w:cs="Arial" w:ascii="Arial" w:hAnsi="Arial"/>
            <w:sz w:val="18"/>
            <w:szCs w:val="18"/>
          </w:rPr>
          <w:t>https://www.apc.org/en/about/who-we-are</w:t>
        </w:r>
      </w:hyperlink>
      <w:r>
        <w:rPr>
          <w:rFonts w:cs="Arial" w:ascii="Arial" w:hAnsi="Arial"/>
          <w:sz w:val="18"/>
          <w:szCs w:val="18"/>
        </w:rPr>
        <w:t xml:space="preserve"> </w:t>
      </w:r>
    </w:p>
  </w:footnote>
  <w:footnote w:id="3">
    <w:p>
      <w:pPr>
        <w:pStyle w:val="FootnoteText"/>
        <w:spacing w:before="0" w:after="0"/>
        <w:ind w:hanging="142" w:start="142"/>
        <w:rPr>
          <w:rFonts w:ascii="Arial" w:hAnsi="Arial" w:cs="Arial"/>
          <w:sz w:val="18"/>
          <w:szCs w:val="18"/>
          <w:lang w:val="en-US"/>
        </w:rPr>
      </w:pPr>
      <w:r>
        <w:rPr>
          <w:rStyle w:val="FootnoteCharacters"/>
        </w:rPr>
        <w:footnoteRef/>
      </w:r>
      <w:r>
        <w:rPr>
          <w:rFonts w:cs="Arial" w:ascii="Arial" w:hAnsi="Arial"/>
          <w:sz w:val="18"/>
          <w:szCs w:val="18"/>
          <w:lang w:val="en-US"/>
        </w:rPr>
        <w:t xml:space="preserve"> </w:t>
      </w:r>
      <w:hyperlink r:id="rId2">
        <w:r>
          <w:rPr>
            <w:rStyle w:val="Hyperlink"/>
            <w:rFonts w:cs="Arial" w:ascii="Arial" w:hAnsi="Arial"/>
            <w:sz w:val="18"/>
            <w:szCs w:val="18"/>
            <w:lang w:val="en-US"/>
          </w:rPr>
          <w:t>https://www.apc.org/en/glossary/technology-facilitated-gender-based-violence</w:t>
        </w:r>
      </w:hyperlink>
    </w:p>
  </w:footnote>
  <w:footnote w:id="4">
    <w:p>
      <w:pPr>
        <w:pStyle w:val="FootnoteText"/>
        <w:spacing w:before="0" w:after="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r>
        <w:rPr>
          <w:rFonts w:cs="Arial" w:ascii="Arial" w:hAnsi="Arial"/>
          <w:sz w:val="18"/>
          <w:szCs w:val="18"/>
        </w:rPr>
        <w:t xml:space="preserve">Schnidrig, D. (2026). </w:t>
      </w:r>
      <w:r>
        <w:rPr>
          <w:rFonts w:cs="Arial" w:ascii="Arial" w:hAnsi="Arial"/>
          <w:i/>
          <w:iCs/>
          <w:sz w:val="18"/>
          <w:szCs w:val="18"/>
        </w:rPr>
        <w:t>Bridging the gap: Addressing technology-facilitated gender-based violence in global  AI governance</w:t>
      </w:r>
      <w:r>
        <w:rPr>
          <w:rFonts w:cs="Arial" w:ascii="Arial" w:hAnsi="Arial"/>
          <w:sz w:val="18"/>
          <w:szCs w:val="18"/>
        </w:rPr>
        <w:t xml:space="preserve">. Association for Progressive Communications (APC). </w:t>
      </w:r>
      <w:hyperlink r:id="rId3" w:tgtFrame="_blank">
        <w:r>
          <w:rPr>
            <w:rStyle w:val="Hyperlink"/>
            <w:rFonts w:cs="Arial" w:ascii="Arial" w:hAnsi="Arial"/>
            <w:sz w:val="18"/>
            <w:szCs w:val="18"/>
          </w:rPr>
          <w:t>https://www.apc.org/sites/default/files/ai-and-tfgbv-research_final.pdf</w:t>
        </w:r>
      </w:hyperlink>
      <w:r>
        <w:rPr>
          <w:rFonts w:cs="Arial" w:ascii="Arial" w:hAnsi="Arial"/>
          <w:sz w:val="18"/>
          <w:szCs w:val="18"/>
        </w:rPr>
        <w:t xml:space="preserve"> </w:t>
      </w:r>
    </w:p>
  </w:footnote>
  <w:footnote w:id="5">
    <w:p>
      <w:pPr>
        <w:pStyle w:val="FootnoteText"/>
        <w:spacing w:before="0" w:after="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 xml:space="preserve">United Nations Working Group on discrimination against women and girls. (2026). </w:t>
      </w:r>
      <w:r>
        <w:rPr>
          <w:rFonts w:cs="Arial" w:ascii="Arial" w:hAnsi="Arial"/>
          <w:i/>
          <w:iCs/>
          <w:sz w:val="18"/>
          <w:szCs w:val="18"/>
        </w:rPr>
        <w:t>Submission on Draft General Comment No. 38 on Article 22 of the International Covenant on Civil and Political Rights</w:t>
      </w:r>
      <w:r>
        <w:rPr>
          <w:rFonts w:cs="Arial" w:ascii="Arial" w:hAnsi="Arial"/>
          <w:sz w:val="18"/>
          <w:szCs w:val="18"/>
        </w:rPr>
        <w:t xml:space="preserve">. </w:t>
      </w:r>
      <w:hyperlink r:id="rId4" w:tgtFrame="_blank">
        <w:r>
          <w:rPr>
            <w:rStyle w:val="Hyperlink"/>
            <w:rFonts w:cs="Arial" w:ascii="Arial" w:hAnsi="Arial"/>
            <w:sz w:val="18"/>
            <w:szCs w:val="18"/>
          </w:rPr>
          <w:t>OHCHR submission</w:t>
        </w:r>
      </w:hyperlink>
    </w:p>
  </w:footnote>
  <w:footnote w:id="6">
    <w:p>
      <w:pPr>
        <w:pStyle w:val="FootnoteText"/>
        <w:spacing w:before="0" w:after="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r>
        <w:rPr>
          <w:rFonts w:cs="Arial" w:ascii="Arial" w:hAnsi="Arial"/>
          <w:sz w:val="18"/>
          <w:szCs w:val="18"/>
        </w:rPr>
        <w:t xml:space="preserve">Romero, G., Fussey, P., &amp; Murray, D. (2026). </w:t>
      </w:r>
      <w:r>
        <w:rPr>
          <w:rFonts w:cs="Arial" w:ascii="Arial" w:hAnsi="Arial"/>
          <w:i/>
          <w:iCs/>
          <w:sz w:val="18"/>
          <w:szCs w:val="18"/>
        </w:rPr>
        <w:t>“Pushed into the Shadows”: Evidencing digital surveillance chilling effects and the erosion of the rights to freedom of peaceful assembly and of association</w:t>
      </w:r>
      <w:r>
        <w:rPr>
          <w:rFonts w:cs="Arial" w:ascii="Arial" w:hAnsi="Arial"/>
          <w:sz w:val="18"/>
          <w:szCs w:val="18"/>
        </w:rPr>
        <w:t xml:space="preserve">. Office of the United Nations High Commissioner for Human Rights. </w:t>
      </w:r>
      <w:hyperlink r:id="rId5" w:tgtFrame="_blank">
        <w:r>
          <w:rPr>
            <w:rStyle w:val="Hyperlink"/>
            <w:rFonts w:cs="Arial" w:ascii="Arial" w:hAnsi="Arial"/>
            <w:sz w:val="18"/>
            <w:szCs w:val="18"/>
          </w:rPr>
          <w:t>https://www.ohchr.org/sites/default/files/documents/form/digital-surveillance-chilling-effects-shadows-erosion-freedom-1-en.pdf</w:t>
        </w:r>
      </w:hyperlink>
    </w:p>
  </w:footnote>
  <w:footnote w:id="7">
    <w:p>
      <w:pPr>
        <w:pStyle w:val="FootnoteText"/>
        <w:spacing w:before="0" w:after="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r>
        <w:rPr>
          <w:rFonts w:cs="Arial" w:ascii="Arial" w:hAnsi="Arial"/>
          <w:sz w:val="18"/>
          <w:szCs w:val="18"/>
        </w:rPr>
        <w:t xml:space="preserve">Voule, C. N. (2019). </w:t>
      </w:r>
      <w:r>
        <w:rPr>
          <w:rFonts w:cs="Arial" w:ascii="Arial" w:hAnsi="Arial"/>
          <w:i/>
          <w:iCs/>
          <w:sz w:val="18"/>
          <w:szCs w:val="18"/>
        </w:rPr>
        <w:t>The exercise of the rights to freedom of peaceful assembly and of association in the digital age</w:t>
      </w:r>
      <w:r>
        <w:rPr>
          <w:rFonts w:cs="Arial" w:ascii="Arial" w:hAnsi="Arial"/>
          <w:sz w:val="18"/>
          <w:szCs w:val="18"/>
        </w:rPr>
        <w:t xml:space="preserve">. Report of the Special Rapporteur on the rights to freedom of peaceful assembly and of association, A/HRC/41/41. United Nations Human Rights Council. </w:t>
      </w:r>
      <w:hyperlink r:id="rId6" w:tgtFrame="_blank">
        <w:r>
          <w:rPr>
            <w:rStyle w:val="Hyperlink"/>
            <w:rFonts w:cs="Arial" w:ascii="Arial" w:hAnsi="Arial"/>
            <w:sz w:val="18"/>
            <w:szCs w:val="18"/>
          </w:rPr>
          <w:t>https://docs.un.org/en/A/HRC/41/41</w:t>
        </w:r>
      </w:hyperlink>
    </w:p>
  </w:footnote>
  <w:footnote w:id="8">
    <w:p>
      <w:pPr>
        <w:pStyle w:val="FootnoteText"/>
        <w:spacing w:before="0" w:after="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r>
        <w:rPr>
          <w:rFonts w:cs="Arial" w:ascii="Arial" w:hAnsi="Arial"/>
          <w:sz w:val="18"/>
          <w:szCs w:val="18"/>
        </w:rPr>
        <w:t xml:space="preserve">Myanmar Internet Project (MIP). (2026). </w:t>
      </w:r>
      <w:r>
        <w:rPr>
          <w:rFonts w:cs="Arial" w:ascii="Arial" w:hAnsi="Arial"/>
          <w:i/>
          <w:iCs/>
          <w:sz w:val="18"/>
          <w:szCs w:val="18"/>
        </w:rPr>
        <w:t>An ecosystem of digital repression: The silencing of women human rights defenders and other pro-democracy activists in Myanmar</w:t>
      </w:r>
      <w:r>
        <w:rPr>
          <w:rFonts w:cs="Arial" w:ascii="Arial" w:hAnsi="Arial"/>
          <w:sz w:val="18"/>
          <w:szCs w:val="18"/>
        </w:rPr>
        <w:t xml:space="preserve">. Association for Progressive Communications (APC). </w:t>
      </w:r>
      <w:hyperlink r:id="rId7" w:tgtFrame="_blank">
        <w:r>
          <w:rPr>
            <w:rStyle w:val="Hyperlink"/>
            <w:rFonts w:cs="Arial" w:ascii="Arial" w:hAnsi="Arial"/>
            <w:sz w:val="18"/>
            <w:szCs w:val="18"/>
          </w:rPr>
          <w:t>https://www.apc.org/en/pubs/ecosystem-digital-repression-silencing-women-human-rights-defenders-and-other-pro-democracy</w:t>
        </w:r>
      </w:hyperlink>
    </w:p>
  </w:footnote>
  <w:footnote w:id="9">
    <w:p>
      <w:pPr>
        <w:pStyle w:val="FootnoteText"/>
        <w:spacing w:before="0" w:after="16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hyperlink r:id="rId8">
        <w:r>
          <w:rPr>
            <w:rStyle w:val="Hyperlink"/>
            <w:rFonts w:cs="Arial" w:ascii="Arial" w:hAnsi="Arial"/>
            <w:sz w:val="18"/>
            <w:szCs w:val="18"/>
          </w:rPr>
          <w:t>https://www.apc.org/en/glossary/community-centred-connectivity</w:t>
        </w:r>
      </w:hyperlink>
      <w:r>
        <w:rPr>
          <w:rFonts w:cs="Arial" w:ascii="Arial" w:hAnsi="Arial"/>
          <w:sz w:val="18"/>
          <w:szCs w:val="18"/>
        </w:rPr>
        <w:t xml:space="preserve"> </w:t>
      </w:r>
    </w:p>
  </w:footnote>
  <w:footnote w:id="10">
    <w:p>
      <w:pPr>
        <w:pStyle w:val="FootnoteText"/>
        <w:spacing w:before="0" w:after="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Report of the Special Rapporteur on the rights to freedom of peaceful assembly and of association” A/HRC/41/41. (Op. cit.)</w:t>
      </w:r>
    </w:p>
  </w:footnote>
  <w:footnote w:id="11">
    <w:p>
      <w:pPr>
        <w:pStyle w:val="FootnoteText"/>
        <w:spacing w:before="0" w:after="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 xml:space="preserve">Association for Progressive Communications (APC). (2021). </w:t>
      </w:r>
      <w:r>
        <w:rPr>
          <w:rFonts w:cs="Arial" w:ascii="Arial" w:hAnsi="Arial"/>
          <w:i/>
          <w:iCs/>
          <w:sz w:val="18"/>
          <w:szCs w:val="18"/>
        </w:rPr>
        <w:t>HRC47: Joint oral statement on internet shutdowns in the context of protests</w:t>
      </w:r>
      <w:r>
        <w:rPr>
          <w:rFonts w:cs="Arial" w:ascii="Arial" w:hAnsi="Arial"/>
          <w:sz w:val="18"/>
          <w:szCs w:val="18"/>
        </w:rPr>
        <w:t xml:space="preserve">. </w:t>
      </w:r>
      <w:hyperlink r:id="rId9" w:tgtFrame="_blank">
        <w:r>
          <w:rPr>
            <w:rStyle w:val="Hyperlink"/>
            <w:rFonts w:cs="Arial" w:ascii="Arial" w:hAnsi="Arial"/>
            <w:sz w:val="18"/>
            <w:szCs w:val="18"/>
          </w:rPr>
          <w:t>https://www.apc.org/en/pubs/hrc47-joint-oral-statement-internet-shutdowns-context-protests</w:t>
        </w:r>
      </w:hyperlink>
    </w:p>
  </w:footnote>
  <w:footnote w:id="12">
    <w:p>
      <w:pPr>
        <w:pStyle w:val="FootnoteText"/>
        <w:spacing w:before="0" w:after="160"/>
        <w:ind w:hanging="142" w:start="142"/>
        <w:rPr>
          <w:rFonts w:ascii="Arial" w:hAnsi="Arial" w:cs="Arial"/>
          <w:sz w:val="18"/>
          <w:szCs w:val="18"/>
          <w:lang w:val="en-US"/>
        </w:rPr>
      </w:pPr>
      <w:r>
        <w:rPr>
          <w:rStyle w:val="FootnoteCharacters"/>
        </w:rPr>
        <w:footnoteRef/>
      </w:r>
      <w:r>
        <w:rPr>
          <w:rFonts w:cs="Arial" w:ascii="Arial" w:hAnsi="Arial"/>
          <w:sz w:val="18"/>
          <w:szCs w:val="18"/>
        </w:rPr>
        <w:t xml:space="preserve"> </w:t>
      </w:r>
      <w:r>
        <w:rPr>
          <w:rFonts w:cs="Arial" w:ascii="Arial" w:hAnsi="Arial"/>
          <w:sz w:val="18"/>
          <w:szCs w:val="18"/>
        </w:rPr>
        <w:t xml:space="preserve">Rodenhäuser, T. (2025, 3 July). </w:t>
      </w:r>
      <w:r>
        <w:rPr>
          <w:rFonts w:cs="Arial" w:ascii="Arial" w:hAnsi="Arial"/>
          <w:i/>
          <w:iCs/>
          <w:sz w:val="18"/>
          <w:szCs w:val="18"/>
        </w:rPr>
        <w:t>International humanitarian law and connectivity disruptions during armed conflict</w:t>
      </w:r>
      <w:r>
        <w:rPr>
          <w:rFonts w:cs="Arial" w:ascii="Arial" w:hAnsi="Arial"/>
          <w:sz w:val="18"/>
          <w:szCs w:val="18"/>
        </w:rPr>
        <w:t xml:space="preserve">. ICRC Humanitarian Law &amp; Policy Blog. </w:t>
      </w:r>
      <w:hyperlink r:id="rId10" w:tgtFrame="_blank">
        <w:r>
          <w:rPr>
            <w:rStyle w:val="Hyperlink"/>
            <w:rFonts w:cs="Arial" w:ascii="Arial" w:hAnsi="Arial"/>
            <w:sz w:val="18"/>
            <w:szCs w:val="18"/>
          </w:rPr>
          <w:t>https://blogs.icrc.org/law-and-policy/2025/07/03/international-humanitarian-law-and-connectivity-disruptions-during-armed-conflict/</w:t>
        </w:r>
      </w:hyperlink>
    </w:p>
  </w:footnote>
  <w:footnote w:id="13">
    <w:p>
      <w:pPr>
        <w:pStyle w:val="FootnoteText"/>
        <w:spacing w:before="0" w:after="16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 xml:space="preserve">Association for Progressive Communications (APC). (2024). </w:t>
      </w:r>
      <w:r>
        <w:rPr>
          <w:rFonts w:cs="Arial" w:ascii="Arial" w:hAnsi="Arial"/>
          <w:i/>
          <w:iCs/>
          <w:sz w:val="18"/>
          <w:szCs w:val="18"/>
        </w:rPr>
        <w:t>APC submission on protection against violence and discrimination based on sexual orientation and gender identity, in relation to the human rights to freedom of expression, association and assembly</w:t>
      </w:r>
      <w:r>
        <w:rPr>
          <w:rFonts w:cs="Arial" w:ascii="Arial" w:hAnsi="Arial"/>
          <w:sz w:val="18"/>
          <w:szCs w:val="18"/>
        </w:rPr>
        <w:t xml:space="preserve">. </w:t>
      </w:r>
      <w:hyperlink r:id="rId11" w:tgtFrame="_blank">
        <w:r>
          <w:rPr>
            <w:rStyle w:val="Hyperlink"/>
            <w:rFonts w:cs="Arial" w:ascii="Arial" w:hAnsi="Arial"/>
            <w:sz w:val="18"/>
            <w:szCs w:val="18"/>
          </w:rPr>
          <w:t>https://www.apc.org/en/pubs/apc-submission-protection-against-violence-and-discrimination-based-sexual-orientation-and</w:t>
        </w:r>
      </w:hyperlink>
    </w:p>
  </w:footnote>
  <w:footnote w:id="14">
    <w:p>
      <w:pPr>
        <w:pStyle w:val="FootnoteText"/>
        <w:spacing w:before="0" w:after="16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 xml:space="preserve">Association for Progressive Communications (APC). (2026). </w:t>
      </w:r>
      <w:r>
        <w:rPr>
          <w:rFonts w:cs="Arial" w:ascii="Arial" w:hAnsi="Arial"/>
          <w:i/>
          <w:iCs/>
          <w:sz w:val="18"/>
          <w:szCs w:val="18"/>
        </w:rPr>
        <w:t>APC submission to the Office of the High Commissioner for Human Rights: Input to the report on human rights defenders and new and emerging technologies</w:t>
      </w:r>
      <w:r>
        <w:rPr>
          <w:rFonts w:cs="Arial" w:ascii="Arial" w:hAnsi="Arial"/>
          <w:sz w:val="18"/>
          <w:szCs w:val="18"/>
        </w:rPr>
        <w:t xml:space="preserve">. </w:t>
      </w:r>
      <w:hyperlink r:id="rId12" w:tgtFrame="_blank">
        <w:r>
          <w:rPr>
            <w:rStyle w:val="Hyperlink"/>
            <w:rFonts w:cs="Arial" w:ascii="Arial" w:hAnsi="Arial"/>
            <w:sz w:val="18"/>
            <w:szCs w:val="18"/>
          </w:rPr>
          <w:t>https://www.apc.org/en/pubs/apc-submission-office-high-commissioner-human-rights-input-report-human-rights-defenders-and</w:t>
        </w:r>
      </w:hyperlink>
    </w:p>
  </w:footnote>
  <w:footnote w:id="15">
    <w:p>
      <w:pPr>
        <w:pStyle w:val="FootnoteText"/>
        <w:spacing w:before="0" w:after="16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 xml:space="preserve">Association for Progressive Communications (APC). (2025). </w:t>
      </w:r>
      <w:r>
        <w:rPr>
          <w:rFonts w:cs="Arial" w:ascii="Arial" w:hAnsi="Arial"/>
          <w:i/>
          <w:iCs/>
          <w:sz w:val="18"/>
          <w:szCs w:val="18"/>
        </w:rPr>
        <w:t>APC submission to the UN Working Group on Business and Human Rights on the issue of procurement and deployment of AI systems by states and business enterprises</w:t>
      </w:r>
      <w:r>
        <w:rPr>
          <w:rFonts w:cs="Arial" w:ascii="Arial" w:hAnsi="Arial"/>
          <w:sz w:val="18"/>
          <w:szCs w:val="18"/>
        </w:rPr>
        <w:t xml:space="preserve">. </w:t>
      </w:r>
      <w:hyperlink r:id="rId13" w:tgtFrame="_blank">
        <w:r>
          <w:rPr>
            <w:rStyle w:val="Hyperlink"/>
            <w:rFonts w:cs="Arial" w:ascii="Arial" w:hAnsi="Arial"/>
            <w:sz w:val="18"/>
            <w:szCs w:val="18"/>
          </w:rPr>
          <w:t>https://www.apc.org/en/pubs/apc-submission-un-working-group-business-and-human-rights-issue-procurement-and-deployment-ai</w:t>
        </w:r>
      </w:hyperlink>
    </w:p>
  </w:footnote>
  <w:footnote w:id="16">
    <w:p>
      <w:pPr>
        <w:pStyle w:val="FootnoteText"/>
        <w:spacing w:before="0" w:after="160"/>
        <w:ind w:hanging="142" w:start="142"/>
        <w:rPr>
          <w:rFonts w:ascii="Arial" w:hAnsi="Arial" w:cs="Arial"/>
          <w:sz w:val="18"/>
          <w:szCs w:val="18"/>
        </w:rPr>
      </w:pPr>
      <w:r>
        <w:rPr>
          <w:rStyle w:val="FootnoteCharacters"/>
        </w:rPr>
        <w:footnoteRef/>
      </w:r>
      <w:r>
        <w:rPr>
          <w:rFonts w:cs="Arial" w:ascii="Arial" w:hAnsi="Arial"/>
          <w:sz w:val="18"/>
          <w:szCs w:val="18"/>
        </w:rPr>
        <w:t xml:space="preserve"> </w:t>
      </w:r>
      <w:r>
        <w:rPr>
          <w:rFonts w:cs="Arial" w:ascii="Arial" w:hAnsi="Arial"/>
          <w:sz w:val="18"/>
          <w:szCs w:val="18"/>
        </w:rPr>
        <w:t xml:space="preserve">See International Center for Not-for-Profit Law (ICNL). (2026). </w:t>
      </w:r>
      <w:r>
        <w:rPr>
          <w:rFonts w:cs="Arial" w:ascii="Arial" w:hAnsi="Arial"/>
          <w:i/>
          <w:iCs/>
          <w:sz w:val="18"/>
          <w:szCs w:val="18"/>
        </w:rPr>
        <w:t>Comments on Draft General Comment No. 38 on Article 22 of the International Covenant on Civil and Political Rights</w:t>
      </w:r>
      <w:r>
        <w:rPr>
          <w:rFonts w:cs="Arial" w:ascii="Arial" w:hAnsi="Arial"/>
          <w:sz w:val="18"/>
          <w:szCs w:val="18"/>
        </w:rPr>
        <w:t xml:space="preserve">. </w:t>
      </w:r>
      <w:hyperlink r:id="rId14" w:tgtFrame="_blank">
        <w:r>
          <w:rPr>
            <w:rStyle w:val="Hyperlink"/>
            <w:rFonts w:cs="Arial" w:ascii="Arial" w:hAnsi="Arial"/>
            <w:sz w:val="18"/>
            <w:szCs w:val="18"/>
          </w:rPr>
          <w:t>https://www.ohchr.org/sites/default/files/documents/cfi-subm/2026/359-gc38-22/subm-comments-general-cso-54-intern-icnl-icnl.docx</w:t>
        </w:r>
      </w:hyperlink>
    </w:p>
  </w:footnote>
</w:footnotes>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rial" w:asciiTheme="minorHAnsi" w:cstheme="minorBidi" w:eastAsiaTheme="minorHAnsi" w:hAnsiTheme="minorHAnsi"/>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false"/>
      <w:bidi w:val="0"/>
      <w:spacing w:lineRule="auto" w:line="259" w:before="0" w:after="160"/>
      <w:jc w:val="start"/>
    </w:pPr>
    <w:rPr>
      <w:rFonts w:ascii="Aptos" w:hAnsi="Aptos" w:eastAsia="Aptos" w:cs="Arial" w:asciiTheme="minorHAnsi" w:cstheme="minorBidi" w:eastAsiaTheme="minorHAnsi" w:hAnsiTheme="minorHAnsi"/>
      <w:color w:val="auto"/>
      <w:kern w:val="0"/>
      <w:sz w:val="22"/>
      <w:szCs w:val="22"/>
      <w:lang w:val="en-GB" w:eastAsia="en-US" w:bidi="ar-SA"/>
      <w14:ligatures w14:val="standardContextual"/>
    </w:rPr>
  </w:style>
  <w:style w:type="paragraph" w:styleId="Heading1">
    <w:name w:val="heading 1"/>
    <w:basedOn w:val="Normal"/>
    <w:next w:val="Normal"/>
    <w:link w:val="Heading1Char"/>
    <w:uiPriority w:val="9"/>
    <w:qFormat/>
    <w:pPr>
      <w:keepNext w:val="true"/>
      <w:keepLines/>
      <w:spacing w:before="360" w:after="80"/>
      <w:outlineLvl w:val="0"/>
    </w:pPr>
    <w:rPr>
      <w:rFonts w:ascii="Aptos Display" w:hAnsi="Aptos Display" w:eastAsia="Arial" w:cs="Arial"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unhideWhenUsed/>
    <w:qFormat/>
    <w:rsid w:val="001d30f7"/>
    <w:pPr>
      <w:keepNext w:val="true"/>
      <w:keepLines/>
      <w:spacing w:lineRule="auto" w:line="276" w:before="160" w:after="0"/>
      <w:outlineLvl w:val="1"/>
    </w:pPr>
    <w:rPr>
      <w:rFonts w:ascii="Arial" w:hAnsi="Arial" w:eastAsia="Arial" w:cs="Arial" w:eastAsiaTheme="majorEastAsia"/>
      <w:b/>
      <w:bCs/>
      <w:color w:val="000000"/>
      <w:sz w:val="36"/>
      <w:szCs w:val="36"/>
    </w:rPr>
  </w:style>
  <w:style w:type="paragraph" w:styleId="Heading3">
    <w:name w:val="heading 3"/>
    <w:basedOn w:val="Normal"/>
    <w:next w:val="Normal"/>
    <w:link w:val="Heading3Char"/>
    <w:uiPriority w:val="9"/>
    <w:unhideWhenUsed/>
    <w:qFormat/>
    <w:rsid w:val="004e06fb"/>
    <w:pPr>
      <w:keepNext w:val="true"/>
      <w:keepLines/>
      <w:spacing w:lineRule="auto" w:line="276" w:before="160" w:after="80"/>
      <w:outlineLvl w:val="2"/>
    </w:pPr>
    <w:rPr>
      <w:rFonts w:ascii="Arial" w:hAnsi="Arial" w:eastAsia="Arial" w:cs="Arial" w:eastAsiaTheme="majorEastAsia"/>
      <w:b/>
      <w:bCs/>
      <w:color w:val="DF5B30"/>
      <w:sz w:val="28"/>
      <w:szCs w:val="28"/>
    </w:rPr>
  </w:style>
  <w:style w:type="paragraph" w:styleId="Heading4">
    <w:name w:val="heading 4"/>
    <w:basedOn w:val="Normal"/>
    <w:next w:val="Normal"/>
    <w:link w:val="Heading4Char"/>
    <w:uiPriority w:val="9"/>
    <w:unhideWhenUsed/>
    <w:qFormat/>
    <w:rsid w:val="00cd0db5"/>
    <w:pPr>
      <w:keepNext w:val="true"/>
      <w:keepLines/>
      <w:spacing w:lineRule="auto" w:line="276" w:before="80" w:after="40"/>
      <w:outlineLvl w:val="3"/>
    </w:pPr>
    <w:rPr>
      <w:rFonts w:ascii="Arial" w:hAnsi="Arial" w:eastAsia="Arial" w:cs="Arial" w:eastAsiaTheme="majorEastAsia"/>
      <w:b/>
      <w:bCs/>
      <w:i/>
      <w:iCs/>
      <w:color w:themeColor="accent1" w:val="156082"/>
      <w:sz w:val="24"/>
      <w:szCs w:val="24"/>
    </w:rPr>
  </w:style>
  <w:style w:type="paragraph" w:styleId="Heading5">
    <w:name w:val="heading 5"/>
    <w:basedOn w:val="Normal"/>
    <w:next w:val="Normal"/>
    <w:link w:val="Heading5Char"/>
    <w:uiPriority w:val="9"/>
    <w:semiHidden/>
    <w:unhideWhenUsed/>
    <w:qFormat/>
    <w:pPr>
      <w:keepNext w:val="true"/>
      <w:keepLines/>
      <w:spacing w:before="80" w:after="40"/>
      <w:outlineLvl w:val="4"/>
    </w:pPr>
    <w:rPr>
      <w:rFonts w:eastAsia="Arial" w:cs="Arial"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pPr>
      <w:keepNext w:val="true"/>
      <w:keepLines/>
      <w:spacing w:before="40" w:after="0"/>
      <w:outlineLvl w:val="5"/>
    </w:pPr>
    <w:rPr>
      <w:rFonts w:eastAsia="Arial" w:cs="Arial"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pPr>
      <w:keepNext w:val="true"/>
      <w:keepLines/>
      <w:spacing w:before="40" w:after="0"/>
      <w:outlineLvl w:val="6"/>
    </w:pPr>
    <w:rPr>
      <w:rFonts w:eastAsia="Arial" w:cs="Arial"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pPr>
      <w:keepNext w:val="true"/>
      <w:keepLines/>
      <w:spacing w:before="0" w:after="0"/>
      <w:outlineLvl w:val="7"/>
    </w:pPr>
    <w:rPr>
      <w:rFonts w:eastAsia="Arial" w:cs="Arial"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pPr>
      <w:keepNext w:val="true"/>
      <w:keepLines/>
      <w:spacing w:before="0" w:after="0"/>
      <w:outlineLvl w:val="8"/>
    </w:pPr>
    <w:rPr>
      <w:rFonts w:eastAsia="Arial" w:cs="Arial"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FootnoteTextChar" w:customStyle="1">
    <w:name w:val="Footnote Text Char"/>
    <w:basedOn w:val="DefaultParagraphFont"/>
    <w:link w:val="FootnoteText"/>
    <w:uiPriority w:val="99"/>
    <w:qFormat/>
    <w:rPr>
      <w:sz w:val="20"/>
      <w:szCs w:val="20"/>
    </w:rPr>
  </w:style>
  <w:style w:type="character" w:styleId="EndnoteTextChar" w:customStyle="1">
    <w:name w:val="Endnote Text Char"/>
    <w:basedOn w:val="DefaultParagraphFont"/>
    <w:link w:val="EndnoteText"/>
    <w:uiPriority w:val="99"/>
    <w:semiHidden/>
    <w:qFormat/>
    <w:rPr>
      <w:sz w:val="20"/>
      <w:szCs w:val="20"/>
    </w:rPr>
  </w:style>
  <w:style w:type="character" w:styleId="EndnoteCharactersuser" w:customStyle="1">
    <w:name w:val="Endnote Characters (user)"/>
    <w:basedOn w:val="DefaultParagraphFont"/>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FollowedHyperlink">
    <w:name w:val="FollowedHyperlink"/>
    <w:basedOn w:val="DefaultParagraphFont"/>
    <w:uiPriority w:val="99"/>
    <w:semiHidden/>
    <w:unhideWhenUsed/>
    <w:rPr>
      <w:color w:themeColor="followedHyperlink" w:val="96607D"/>
      <w:u w:val="single"/>
    </w:rPr>
  </w:style>
  <w:style w:type="character" w:styleId="PlaceholderText">
    <w:name w:val="Placeholder Text"/>
    <w:basedOn w:val="DefaultParagraphFont"/>
    <w:uiPriority w:val="99"/>
    <w:semiHidden/>
    <w:qFormat/>
    <w:rPr>
      <w:color w:val="666666"/>
    </w:rPr>
  </w:style>
  <w:style w:type="character" w:styleId="Heading1Char" w:customStyle="1">
    <w:name w:val="Heading 1 Char"/>
    <w:basedOn w:val="DefaultParagraphFont"/>
    <w:link w:val="Heading1"/>
    <w:uiPriority w:val="9"/>
    <w:qFormat/>
    <w:rPr>
      <w:rFonts w:ascii="Aptos Display" w:hAnsi="Aptos Display" w:eastAsia="Arial" w:cs="Arial"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qFormat/>
    <w:rsid w:val="001d30f7"/>
    <w:rPr>
      <w:rFonts w:ascii="Arial" w:hAnsi="Arial" w:eastAsia="Arial" w:cs="Arial" w:eastAsiaTheme="majorEastAsia"/>
      <w:b/>
      <w:bCs/>
      <w:color w:val="000000"/>
      <w:sz w:val="36"/>
      <w:szCs w:val="36"/>
    </w:rPr>
  </w:style>
  <w:style w:type="character" w:styleId="Heading3Char" w:customStyle="1">
    <w:name w:val="Heading 3 Char"/>
    <w:basedOn w:val="DefaultParagraphFont"/>
    <w:link w:val="Heading3"/>
    <w:uiPriority w:val="9"/>
    <w:qFormat/>
    <w:rsid w:val="004e06fb"/>
    <w:rPr>
      <w:rFonts w:ascii="Arial" w:hAnsi="Arial" w:eastAsia="Arial" w:cs="Arial" w:eastAsiaTheme="majorEastAsia"/>
      <w:b/>
      <w:bCs/>
      <w:color w:val="DF5B30"/>
      <w:sz w:val="28"/>
      <w:szCs w:val="28"/>
    </w:rPr>
  </w:style>
  <w:style w:type="character" w:styleId="Heading4Char" w:customStyle="1">
    <w:name w:val="Heading 4 Char"/>
    <w:basedOn w:val="DefaultParagraphFont"/>
    <w:link w:val="Heading4"/>
    <w:uiPriority w:val="9"/>
    <w:qFormat/>
    <w:rsid w:val="00cd0db5"/>
    <w:rPr>
      <w:rFonts w:ascii="Arial" w:hAnsi="Arial" w:eastAsia="Arial" w:cs="Arial" w:eastAsiaTheme="majorEastAsia"/>
      <w:b/>
      <w:bCs/>
      <w:i/>
      <w:iCs/>
      <w:color w:themeColor="accent1" w:val="156082"/>
      <w:sz w:val="24"/>
      <w:szCs w:val="24"/>
    </w:rPr>
  </w:style>
  <w:style w:type="character" w:styleId="Heading5Char" w:customStyle="1">
    <w:name w:val="Heading 5 Char"/>
    <w:basedOn w:val="DefaultParagraphFont"/>
    <w:link w:val="Heading5"/>
    <w:uiPriority w:val="9"/>
    <w:semiHidden/>
    <w:qFormat/>
    <w:rPr>
      <w:rFonts w:eastAsia="Arial" w:cs="Arial"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Pr>
      <w:rFonts w:eastAsia="Arial" w:cs="Arial"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Pr>
      <w:rFonts w:eastAsia="Arial" w:cs="Arial"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Pr>
      <w:rFonts w:eastAsia="Arial" w:cs="Arial"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Pr>
      <w:rFonts w:eastAsia="Arial" w:cs="Arial" w:cstheme="majorBidi" w:eastAsiaTheme="majorEastAsia"/>
      <w:color w:themeColor="text1" w:themeTint="d8" w:val="272727"/>
    </w:rPr>
  </w:style>
  <w:style w:type="character" w:styleId="TitleChar" w:customStyle="1">
    <w:name w:val="Title Char"/>
    <w:basedOn w:val="DefaultParagraphFont"/>
    <w:link w:val="Title"/>
    <w:uiPriority w:val="10"/>
    <w:qFormat/>
    <w:rPr>
      <w:rFonts w:ascii="Aptos Display" w:hAnsi="Aptos Display" w:eastAsia="Arial" w:cs="Arial" w:asciiTheme="majorHAnsi" w:cstheme="majorBidi" w:eastAsiaTheme="majorEastAsia" w:hAnsiTheme="majorHAnsi"/>
      <w:spacing w:val="-10"/>
      <w:sz w:val="56"/>
      <w:szCs w:val="56"/>
    </w:rPr>
  </w:style>
  <w:style w:type="character" w:styleId="SubtitleChar" w:customStyle="1">
    <w:name w:val="Subtitle Char"/>
    <w:basedOn w:val="DefaultParagraphFont"/>
    <w:link w:val="Subtitle"/>
    <w:uiPriority w:val="11"/>
    <w:qFormat/>
    <w:rPr>
      <w:rFonts w:eastAsia="Arial" w:cs="Arial"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0F4761"/>
    </w:rPr>
  </w:style>
  <w:style w:type="character" w:styleId="IntenseQuoteChar" w:customStyle="1">
    <w:name w:val="Intense Quote Char"/>
    <w:basedOn w:val="DefaultParagraphFont"/>
    <w:link w:val="IntenseQuote"/>
    <w:uiPriority w:val="30"/>
    <w:qFormat/>
    <w:rPr>
      <w:i/>
      <w:iCs/>
      <w:color w:themeColor="accent1" w:themeShade="bf" w:val="0F4761"/>
    </w:rPr>
  </w:style>
  <w:style w:type="character" w:styleId="IntenseReference">
    <w:name w:val="Intense Reference"/>
    <w:basedOn w:val="DefaultParagraphFont"/>
    <w:uiPriority w:val="32"/>
    <w:qFormat/>
    <w:rPr>
      <w:b/>
      <w:bCs/>
      <w:smallCaps/>
      <w:color w:themeColor="accent1" w:themeShade="bf" w:val="0F4761"/>
      <w:spacing w:val="5"/>
    </w:rPr>
  </w:style>
  <w:style w:type="character" w:styleId="CommentReference">
    <w:name w:val="annotation reference"/>
    <w:basedOn w:val="DefaultParagraphFont"/>
    <w:uiPriority w:val="99"/>
    <w:semiHidden/>
    <w:unhideWhenUsed/>
    <w:qFormat/>
    <w:rPr>
      <w:sz w:val="16"/>
      <w:szCs w:val="16"/>
    </w:rPr>
  </w:style>
  <w:style w:type="character" w:styleId="SubtleEmphasis">
    <w:name w:val="Subtle Emphasis"/>
    <w:basedOn w:val="DefaultParagraphFont"/>
    <w:uiPriority w:val="19"/>
    <w:qFormat/>
    <w:rPr>
      <w:i/>
      <w:iCs/>
      <w:color w:themeColor="text1" w:themeTint="bf" w:val="404040"/>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LineNumber">
    <w:name w:val="line number"/>
    <w:rPr/>
  </w:style>
  <w:style w:type="character" w:styleId="FootnoteCharacters" w:customStyle="1">
    <w:name w:val="Footnote Characters"/>
    <w:link w:val="Appelnotedebasde"/>
    <w:qFormat/>
    <w:rPr>
      <w:vertAlign w:val="superscript"/>
    </w:rPr>
  </w:style>
  <w:style w:type="character" w:styleId="FootnoteCharactersuser" w:customStyle="1">
    <w:name w:val="Footnote Characters (user)"/>
    <w:qFormat/>
    <w:rPr>
      <w:vertAlign w:val="superscript"/>
    </w:rPr>
  </w:style>
  <w:style w:type="character" w:styleId="FootnoteReference">
    <w:name w:val="footnote reference"/>
    <w:rPr>
      <w:vertAlign w:val="superscript"/>
    </w:rPr>
  </w:style>
  <w:style w:type="character" w:styleId="Hyperlink">
    <w:name w:val="Hyperlink"/>
    <w:rPr>
      <w:color w:val="000080"/>
      <w:u w:val="single"/>
    </w:rPr>
  </w:style>
  <w:style w:type="character" w:styleId="CommentTextChar" w:customStyle="1">
    <w:name w:val="Comment Text Char"/>
    <w:basedOn w:val="DefaultParagraphFont"/>
    <w:link w:val="CommentText"/>
    <w:uiPriority w:val="99"/>
    <w:semiHidden/>
    <w:qFormat/>
    <w:rPr>
      <w:sz w:val="20"/>
      <w:szCs w:val="20"/>
    </w:rPr>
  </w:style>
  <w:style w:type="character" w:styleId="UnresolvedMention" w:customStyle="1">
    <w:name w:val="Unresolved Mention"/>
    <w:basedOn w:val="DefaultParagraphFont"/>
    <w:uiPriority w:val="99"/>
    <w:semiHidden/>
    <w:unhideWhenUsed/>
    <w:qFormat/>
    <w:rsid w:val="00f1226f"/>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1">
    <w:name w:val="Index"/>
    <w:basedOn w:val="Normal"/>
    <w:qFormat/>
    <w:pPr>
      <w:suppressLineNumbers/>
    </w:pPr>
    <w:rPr>
      <w:rFonts w:cs="Arial Unicode MS"/>
    </w:rPr>
  </w:style>
  <w:style w:type="paragraph" w:styleId="NoSpacing">
    <w:name w:val="No Spacing"/>
    <w:basedOn w:val="Normal"/>
    <w:uiPriority w:val="1"/>
    <w:qFormat/>
    <w:pPr>
      <w:spacing w:lineRule="auto" w:line="240" w:before="0" w:after="0"/>
    </w:pPr>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start="220"/>
    </w:pPr>
    <w:rPr/>
  </w:style>
  <w:style w:type="paragraph" w:styleId="TOC3">
    <w:name w:val="toc 3"/>
    <w:basedOn w:val="Normal"/>
    <w:next w:val="Normal"/>
    <w:uiPriority w:val="39"/>
    <w:unhideWhenUsed/>
    <w:pPr>
      <w:spacing w:before="0" w:after="100"/>
      <w:ind w:start="440"/>
    </w:pPr>
    <w:rPr/>
  </w:style>
  <w:style w:type="paragraph" w:styleId="TOC4">
    <w:name w:val="toc 4"/>
    <w:basedOn w:val="Normal"/>
    <w:next w:val="Normal"/>
    <w:uiPriority w:val="39"/>
    <w:unhideWhenUsed/>
    <w:pPr>
      <w:spacing w:before="0" w:after="100"/>
      <w:ind w:start="660"/>
    </w:pPr>
    <w:rPr/>
  </w:style>
  <w:style w:type="paragraph" w:styleId="TOC5">
    <w:name w:val="toc 5"/>
    <w:basedOn w:val="Normal"/>
    <w:next w:val="Normal"/>
    <w:uiPriority w:val="39"/>
    <w:unhideWhenUsed/>
    <w:pPr>
      <w:spacing w:before="0" w:after="100"/>
      <w:ind w:start="880"/>
    </w:pPr>
    <w:rPr/>
  </w:style>
  <w:style w:type="paragraph" w:styleId="TOC6">
    <w:name w:val="toc 6"/>
    <w:basedOn w:val="Normal"/>
    <w:next w:val="Normal"/>
    <w:uiPriority w:val="39"/>
    <w:unhideWhenUsed/>
    <w:pPr>
      <w:spacing w:before="0" w:after="100"/>
      <w:ind w:start="1100"/>
    </w:pPr>
    <w:rPr/>
  </w:style>
  <w:style w:type="paragraph" w:styleId="TOC7">
    <w:name w:val="toc 7"/>
    <w:basedOn w:val="Normal"/>
    <w:next w:val="Normal"/>
    <w:uiPriority w:val="39"/>
    <w:unhideWhenUsed/>
    <w:pPr>
      <w:spacing w:before="0" w:after="100"/>
      <w:ind w:start="1320"/>
    </w:pPr>
    <w:rPr/>
  </w:style>
  <w:style w:type="paragraph" w:styleId="TOC8">
    <w:name w:val="toc 8"/>
    <w:basedOn w:val="Normal"/>
    <w:next w:val="Normal"/>
    <w:uiPriority w:val="39"/>
    <w:unhideWhenUsed/>
    <w:pPr>
      <w:spacing w:before="0" w:after="100"/>
      <w:ind w:start="1540"/>
    </w:pPr>
    <w:rPr/>
  </w:style>
  <w:style w:type="paragraph" w:styleId="TOC9">
    <w:name w:val="toc 9"/>
    <w:basedOn w:val="Normal"/>
    <w:next w:val="Normal"/>
    <w:uiPriority w:val="39"/>
    <w:unhideWhenUsed/>
    <w:pPr>
      <w:spacing w:before="0" w:after="100"/>
      <w:ind w:start="1760"/>
    </w:pPr>
    <w:rPr/>
  </w:style>
  <w:style w:type="paragraph" w:styleId="IndexHeading">
    <w:name w:val="index heading"/>
    <w:basedOn w:val="Heading"/>
    <w:pPr/>
    <w:rPr/>
  </w:style>
  <w:style w:type="paragraph" w:styleId="TOCHeading">
    <w:name w:val="TOC Heading"/>
    <w:uiPriority w:val="39"/>
    <w:unhideWhenUsed/>
    <w:qFormat/>
    <w:pPr>
      <w:widowControl/>
      <w:suppressAutoHyphens w:val="true"/>
      <w:bidi w:val="0"/>
      <w:spacing w:lineRule="auto" w:line="259" w:before="0" w:after="160"/>
      <w:jc w:val="start"/>
    </w:pPr>
    <w:rPr>
      <w:rFonts w:ascii="Aptos" w:hAnsi="Aptos" w:eastAsia="Aptos" w:cs="Arial" w:asciiTheme="minorHAnsi" w:cstheme="minorBidi" w:eastAsiaTheme="minorHAnsi" w:hAnsiTheme="minorHAnsi"/>
      <w:color w:val="auto"/>
      <w:kern w:val="0"/>
      <w:sz w:val="22"/>
      <w:szCs w:val="22"/>
      <w:lang w:val="en-GB" w:eastAsia="en-US" w:bidi="ar-SA"/>
      <w14:ligatures w14:val="standardContextual"/>
    </w:rPr>
  </w:style>
  <w:style w:type="paragraph" w:styleId="TableofFigures">
    <w:name w:val="table of figures"/>
    <w:basedOn w:val="Normal"/>
    <w:next w:val="Normal"/>
    <w:uiPriority w:val="99"/>
    <w:unhideWhenUsed/>
    <w:pPr>
      <w:spacing w:before="0" w:after="0"/>
    </w:pPr>
    <w:rPr/>
  </w:style>
  <w:style w:type="paragraph" w:styleId="Title">
    <w:name w:val="Title"/>
    <w:basedOn w:val="Normal"/>
    <w:next w:val="Normal"/>
    <w:link w:val="TitleChar"/>
    <w:uiPriority w:val="10"/>
    <w:qFormat/>
    <w:pPr>
      <w:spacing w:lineRule="auto" w:line="240" w:before="0" w:after="80"/>
      <w:contextualSpacing/>
    </w:pPr>
    <w:rPr>
      <w:rFonts w:ascii="Aptos Display" w:hAnsi="Aptos Display" w:eastAsia="Arial" w:cs="Arial" w:asciiTheme="majorHAnsi" w:cstheme="majorBidi" w:eastAsiaTheme="majorEastAsia" w:hAnsiTheme="majorHAnsi"/>
      <w:spacing w:val="-10"/>
      <w:sz w:val="56"/>
      <w:szCs w:val="56"/>
    </w:rPr>
  </w:style>
  <w:style w:type="paragraph" w:styleId="Subtitle">
    <w:name w:val="Subtitle"/>
    <w:basedOn w:val="Normal"/>
    <w:next w:val="Normal"/>
    <w:link w:val="SubtitleChar"/>
    <w:uiPriority w:val="11"/>
    <w:qFormat/>
    <w:pPr/>
    <w:rPr>
      <w:rFonts w:eastAsia="Arial" w:cs="Arial"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pPr>
      <w:spacing w:before="160" w:after="160"/>
      <w:jc w:val="center"/>
    </w:pPr>
    <w:rPr>
      <w:i/>
      <w:iCs/>
      <w:color w:themeColor="text1" w:themeTint="bf" w:val="404040"/>
    </w:rPr>
  </w:style>
  <w:style w:type="paragraph" w:styleId="ListParagraph">
    <w:name w:val="List Paragraph"/>
    <w:basedOn w:val="Normal"/>
    <w:uiPriority w:val="34"/>
    <w:qFormat/>
    <w:pPr>
      <w:spacing w:before="0" w:after="160"/>
      <w:ind w:start="720"/>
      <w:contextualSpacing/>
    </w:pPr>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customStyle="1">
    <w:name w:val="Header and Footer"/>
    <w:basedOn w:val="Normal"/>
    <w:qFormat/>
    <w:pPr/>
    <w:rPr/>
  </w:style>
  <w:style w:type="paragraph" w:styleId="Header">
    <w:name w:val="header"/>
    <w:basedOn w:val="Normal"/>
    <w:link w:val="HeaderChar"/>
    <w:uiPriority w:val="99"/>
    <w:unhideWhenUsed/>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pPr>
      <w:tabs>
        <w:tab w:val="clear" w:pos="720"/>
        <w:tab w:val="center" w:pos="4513" w:leader="none"/>
        <w:tab w:val="right" w:pos="9026" w:leader="none"/>
      </w:tabs>
      <w:spacing w:lineRule="auto" w:line="240" w:before="0" w:after="0"/>
    </w:pPr>
    <w:rPr/>
  </w:style>
  <w:style w:type="paragraph" w:styleId="Comment" w:customStyle="1">
    <w:name w:val="Comment"/>
    <w:basedOn w:val="Normal"/>
    <w:qFormat/>
    <w:pPr>
      <w:spacing w:lineRule="auto" w:line="240" w:before="56" w:after="0"/>
      <w:ind w:start="57" w:end="57"/>
    </w:pPr>
    <w:rPr>
      <w:sz w:val="20"/>
      <w:szCs w:val="20"/>
    </w:rPr>
  </w:style>
  <w:style w:type="paragraph" w:styleId="FootnoteText">
    <w:name w:val="footnote text"/>
    <w:basedOn w:val="Normal"/>
    <w:link w:val="FootnoteTextChar"/>
    <w:uiPriority w:val="99"/>
    <w:qFormat/>
    <w:pPr>
      <w:suppressLineNumbers/>
      <w:ind w:hanging="340" w:start="340"/>
    </w:pPr>
    <w:rPr>
      <w:sz w:val="20"/>
      <w:szCs w:val="20"/>
    </w:rPr>
  </w:style>
  <w:style w:type="paragraph" w:styleId="CommentText">
    <w:name w:val="annotation text"/>
    <w:basedOn w:val="Normal"/>
    <w:link w:val="CommentTextChar"/>
    <w:uiPriority w:val="99"/>
    <w:semiHidden/>
    <w:unhideWhenUsed/>
    <w:pPr>
      <w:spacing w:lineRule="auto" w:line="240"/>
    </w:pPr>
    <w:rPr>
      <w:sz w:val="20"/>
      <w:szCs w:val="20"/>
    </w:rPr>
  </w:style>
  <w:style w:type="paragraph" w:styleId="Revision">
    <w:name w:val="Revision"/>
    <w:uiPriority w:val="99"/>
    <w:semiHidden/>
    <w:qFormat/>
    <w:rsid w:val="00164208"/>
    <w:pPr>
      <w:widowControl/>
      <w:suppressAutoHyphens w:val="true"/>
      <w:bidi w:val="0"/>
      <w:spacing w:lineRule="auto" w:line="259" w:before="0" w:after="160"/>
      <w:jc w:val="start"/>
    </w:pPr>
    <w:rPr>
      <w:rFonts w:ascii="Aptos" w:hAnsi="Aptos" w:eastAsia="Aptos" w:cs="Arial" w:asciiTheme="minorHAnsi" w:cstheme="minorBidi" w:eastAsiaTheme="minorHAnsi" w:hAnsiTheme="minorHAnsi"/>
      <w:color w:val="auto"/>
      <w:kern w:val="0"/>
      <w:sz w:val="22"/>
      <w:szCs w:val="22"/>
      <w:lang w:val="en-GB" w:eastAsia="en-US" w:bidi="ar-SA"/>
      <w14:ligatures w14:val="standardContextual"/>
    </w:rPr>
  </w:style>
  <w:style w:type="paragraph" w:styleId="Appelnotedebasde" w:customStyle="1">
    <w:name w:val="Appel note de bas de"/>
    <w:basedOn w:val="Normal"/>
    <w:link w:val="FootnoteCharacters"/>
    <w:qFormat/>
    <w:rsid w:val="00023a2f"/>
    <w:pPr>
      <w:spacing w:lineRule="auto" w:line="240" w:before="120" w:after="120"/>
    </w:pPr>
    <w:rPr/>
  </w:style>
  <w:style w:type="paragraph" w:styleId="indent" w:customStyle="1">
    <w:name w:val="indent"/>
    <w:basedOn w:val="Normal"/>
    <w:qFormat/>
    <w:rsid w:val="001d30f7"/>
    <w:pPr>
      <w:spacing w:lineRule="auto" w:line="276" w:before="0" w:after="0"/>
      <w:ind w:start="720"/>
    </w:pPr>
    <w:rPr>
      <w:rFonts w:ascii="Arial" w:hAnsi="Arial" w:cs="Arial"/>
      <w:b/>
      <w:bCs/>
      <w:color w:val="00000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TableGridLight">
    <w:name w:val="Grid Table Light"/>
    <w:basedOn w:val="TableNormal"/>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styleId="PlainTable1">
    <w:name w:val="Plain Table 1"/>
    <w:basedOn w:val="TableNormal"/>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PlainTable2">
    <w:name w:val="Plain Table 2"/>
    <w:basedOn w:val="TableNormal"/>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TableNormal"/>
    <w:uiPriority w:val="99"/>
    <w:tblPr>
      <w:tblStyleRowBandSize w:val="1"/>
      <w:tblStyleColBandSize w:val="1"/>
      <w:tblCellMar>
        <w:top w:w="0" w:type="dxa"/>
        <w:left w:w="108" w:type="dxa"/>
        <w:bottom w:w="0" w:type="dxa"/>
        <w:right w:w="108" w:type="dxa"/>
      </w:tblCellMar>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PlainTable4">
    <w:name w:val="Plain Table 4"/>
    <w:basedOn w:val="TableNormal"/>
    <w:uiPriority w:val="99"/>
    <w:tblPr>
      <w:tblStyleRowBandSize w:val="1"/>
      <w:tblStyleColBandSize w:val="1"/>
      <w:tblCellMar>
        <w:top w:w="0" w:type="dxa"/>
        <w:left w:w="108" w:type="dxa"/>
        <w:bottom w:w="0" w:type="dxa"/>
        <w:right w:w="108" w:type="dxa"/>
      </w:tblCellMar>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PlainTable5">
    <w:name w:val="Plain Table 5"/>
    <w:basedOn w:val="TableNormal"/>
    <w:uiPriority w:val="99"/>
    <w:tblPr>
      <w:tblStyleRowBandSize w:val="1"/>
      <w:tblStyleColBandSize w:val="1"/>
      <w:tblCellMar>
        <w:top w:w="0" w:type="dxa"/>
        <w:left w:w="108" w:type="dxa"/>
        <w:bottom w:w="0" w:type="dxa"/>
        <w:right w:w="108" w:type="dxa"/>
      </w:tblCellMar>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GridTable1Light">
    <w:name w:val="Grid Table 1 Light"/>
    <w:basedOn w:val="TableNormal"/>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108" w:type="dxa"/>
        <w:bottom w:w="0" w:type="dxa"/>
        <w:right w:w="108" w:type="dxa"/>
      </w:tblCellMar>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styleId="GridTable1Light-Accent1">
    <w:name w:val="Grid Table 1 Light Accent 1"/>
    <w:basedOn w:val="TableNormal"/>
    <w:uiPriority w:val="99"/>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CellMar>
        <w:top w:w="0" w:type="dxa"/>
        <w:left w:w="108" w:type="dxa"/>
        <w:bottom w:w="0" w:type="dxa"/>
        <w:right w:w="108" w:type="dxa"/>
      </w:tblCellMar>
    </w:tblPr>
    <w:tblStylePr w:type="firstRow">
      <w:rPr>
        <w:b/>
      </w:rPr>
      <w:tblPr/>
      <w:tcPr>
        <w:tcBorders>
          <w:bottom w:val="single" w:color="156082"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tcBorders>
      </w:tcPr>
    </w:tblStylePr>
  </w:style>
  <w:style w:type="table" w:styleId="GridTable1Light-Accent2">
    <w:name w:val="Grid Table 1 Light Accent 2"/>
    <w:basedOn w:val="TableNormal"/>
    <w:uiPriority w:val="99"/>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CellMar>
        <w:top w:w="0" w:type="dxa"/>
        <w:left w:w="108" w:type="dxa"/>
        <w:bottom w:w="0" w:type="dxa"/>
        <w:right w:w="108" w:type="dxa"/>
      </w:tblCellMar>
    </w:tblPr>
    <w:tblStylePr w:type="firstRow">
      <w:rPr>
        <w:b/>
      </w:rPr>
      <w:tblPr/>
      <w:tcPr>
        <w:tcBorders>
          <w:bottom w:val="single" w:color="E97132"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tcBorders>
      </w:tcPr>
    </w:tblStylePr>
  </w:style>
  <w:style w:type="table" w:styleId="GridTable1Light-Accent3">
    <w:name w:val="Grid Table 1 Light Accent 3"/>
    <w:basedOn w:val="TableNormal"/>
    <w:uiPriority w:val="99"/>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CellMar>
        <w:top w:w="0" w:type="dxa"/>
        <w:left w:w="108" w:type="dxa"/>
        <w:bottom w:w="0" w:type="dxa"/>
        <w:right w:w="108" w:type="dxa"/>
      </w:tblCellMar>
    </w:tblPr>
    <w:tblStylePr w:type="firstRow">
      <w:rPr>
        <w:b/>
      </w:rPr>
      <w:tblPr/>
      <w:tcPr>
        <w:tcBorders>
          <w:bottom w:val="single" w:color="196B24"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tcBorders>
      </w:tcPr>
    </w:tblStylePr>
  </w:style>
  <w:style w:type="table" w:styleId="GridTable1Light-Accent4">
    <w:name w:val="Grid Table 1 Light Accent 4"/>
    <w:basedOn w:val="TableNormal"/>
    <w:uiPriority w:val="99"/>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CellMar>
        <w:top w:w="0" w:type="dxa"/>
        <w:left w:w="108" w:type="dxa"/>
        <w:bottom w:w="0" w:type="dxa"/>
        <w:right w:w="108" w:type="dxa"/>
      </w:tblCellMar>
    </w:tblPr>
    <w:tblStylePr w:type="firstRow">
      <w:rPr>
        <w:b/>
      </w:rPr>
      <w:tblPr/>
      <w:tcPr>
        <w:tcBorders>
          <w:bottom w:val="single" w:color="0F9ED5"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tcBorders>
      </w:tcPr>
    </w:tblStylePr>
  </w:style>
  <w:style w:type="table" w:styleId="GridTable1Light-Accent5">
    <w:name w:val="Grid Table 1 Light Accent 5"/>
    <w:basedOn w:val="TableNormal"/>
    <w:uiPriority w:val="99"/>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CellMar>
        <w:top w:w="0" w:type="dxa"/>
        <w:left w:w="108" w:type="dxa"/>
        <w:bottom w:w="0" w:type="dxa"/>
        <w:right w:w="108" w:type="dxa"/>
      </w:tblCellMar>
    </w:tblPr>
    <w:tblStylePr w:type="firstRow">
      <w:rPr>
        <w:b/>
      </w:rPr>
      <w:tblPr/>
      <w:tcPr>
        <w:tcBorders>
          <w:bottom w:val="single" w:color="A02B93"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style>
  <w:style w:type="table" w:styleId="GridTable1Light-Accent6">
    <w:name w:val="Grid Table 1 Light Accent 6"/>
    <w:basedOn w:val="TableNormal"/>
    <w:uiPriority w:val="99"/>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CellMar>
        <w:top w:w="0" w:type="dxa"/>
        <w:left w:w="108" w:type="dxa"/>
        <w:bottom w:w="0" w:type="dxa"/>
        <w:right w:w="108" w:type="dxa"/>
      </w:tblCellMar>
    </w:tblPr>
    <w:tblStylePr w:type="firstRow">
      <w:rPr>
        <w:b/>
      </w:rPr>
      <w:tblPr/>
      <w:tcPr>
        <w:tcBorders>
          <w:bottom w:val="single" w:color="4EA72E"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style>
  <w:style w:type="table" w:styleId="GridTable2">
    <w:name w:val="Grid Table 2"/>
    <w:basedOn w:val="TableNormal"/>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156082" w:themeColor="accent1" w:sz="12" w:space="0"/>
          <w:right w:val="none" w:color="000000" w:sz="4" w:space="0"/>
        </w:tcBorders>
        <w:shd w:val="clear" w:color="FFFFFF" w:fill="auto"/>
      </w:tcPr>
    </w:tblStylePr>
    <w:tblStylePr w:type="lastRow">
      <w:rPr>
        <w:b/>
      </w:rPr>
      <w:tblPr/>
      <w:tcPr>
        <w:tcBorders>
          <w:top w:val="single" w:color="15608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styleId="GridTable2-Accent2">
    <w:name w:val="Grid Table 2 Accent 2"/>
    <w:basedOn w:val="TableNormal"/>
    <w:uiPriority w:val="99"/>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E97132" w:themeColor="accent2" w:sz="12" w:space="0"/>
          <w:right w:val="none" w:color="000000" w:sz="4" w:space="0"/>
        </w:tcBorders>
        <w:shd w:val="clear" w:color="FFFFFF" w:fill="auto"/>
      </w:tcPr>
    </w:tblStylePr>
    <w:tblStylePr w:type="lastRow">
      <w:rPr>
        <w:b/>
      </w:rPr>
      <w:tblPr/>
      <w:tcPr>
        <w:tcBorders>
          <w:top w:val="single" w:color="E97132"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styleId="GridTable2-Accent3">
    <w:name w:val="Grid Table 2 Accent 3"/>
    <w:basedOn w:val="TableNormal"/>
    <w:uiPriority w:val="99"/>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196B24" w:themeColor="accent3" w:sz="12" w:space="0"/>
          <w:right w:val="none" w:color="000000" w:sz="4" w:space="0"/>
        </w:tcBorders>
        <w:shd w:val="clear" w:color="FFFFFF" w:fill="auto"/>
      </w:tcPr>
    </w:tblStylePr>
    <w:tblStylePr w:type="lastRow">
      <w:rPr>
        <w:b/>
      </w:rPr>
      <w:tblPr/>
      <w:tcPr>
        <w:tcBorders>
          <w:top w:val="single" w:color="196B24"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styleId="GridTable2-Accent4">
    <w:name w:val="Grid Table 2 Accent 4"/>
    <w:basedOn w:val="TableNormal"/>
    <w:uiPriority w:val="99"/>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0F9ED5" w:themeColor="accent4" w:sz="12" w:space="0"/>
          <w:right w:val="none" w:color="000000" w:sz="4" w:space="0"/>
        </w:tcBorders>
        <w:shd w:val="clear" w:color="FFFFFF" w:fill="auto"/>
      </w:tcPr>
    </w:tblStylePr>
    <w:tblStylePr w:type="lastRow">
      <w:rPr>
        <w:b/>
      </w:rPr>
      <w:tblPr/>
      <w:tcPr>
        <w:tcBorders>
          <w:top w:val="single" w:color="0F9ED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styleId="GridTable2-Accent5">
    <w:name w:val="Grid Table 2 Accent 5"/>
    <w:basedOn w:val="TableNormal"/>
    <w:uiPriority w:val="99"/>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A02B93" w:themeColor="accent5" w:sz="12" w:space="0"/>
          <w:right w:val="none" w:color="000000" w:sz="4" w:space="0"/>
        </w:tcBorders>
        <w:shd w:val="clear" w:color="FFFFFF" w:fill="auto"/>
      </w:tcPr>
    </w:tblStylePr>
    <w:tblStylePr w:type="lastRow">
      <w:rPr>
        <w:b/>
      </w:rPr>
      <w:tblPr/>
      <w:tcPr>
        <w:tcBorders>
          <w:top w:val="single" w:color="A02B93"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styleId="GridTable2-Accent6">
    <w:name w:val="Grid Table 2 Accent 6"/>
    <w:basedOn w:val="TableNormal"/>
    <w:uiPriority w:val="99"/>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4EA72E" w:themeColor="accent6" w:sz="12" w:space="0"/>
          <w:right w:val="none" w:color="000000" w:sz="4" w:space="0"/>
        </w:tcBorders>
        <w:shd w:val="clear" w:color="FFFFFF" w:fill="auto"/>
      </w:tcPr>
    </w:tblStylePr>
    <w:tblStylePr w:type="lastRow">
      <w:rPr>
        <w:b/>
      </w:rPr>
      <w:tblPr/>
      <w:tcPr>
        <w:tcBorders>
          <w:top w:val="single" w:color="4EA72E"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styleId="GridTable3">
    <w:name w:val="Grid Table 3"/>
    <w:basedOn w:val="TableNormal"/>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styleId="GridTable3-Accent2">
    <w:name w:val="Grid Table 3 Accent 2"/>
    <w:basedOn w:val="TableNormal"/>
    <w:uiPriority w:val="99"/>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styleId="GridTable3-Accent3">
    <w:name w:val="Grid Table 3 Accent 3"/>
    <w:basedOn w:val="TableNormal"/>
    <w:uiPriority w:val="99"/>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styleId="GridTable3-Accent4">
    <w:name w:val="Grid Table 3 Accent 4"/>
    <w:basedOn w:val="TableNormal"/>
    <w:uiPriority w:val="99"/>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styleId="GridTable3-Accent5">
    <w:name w:val="Grid Table 3 Accent 5"/>
    <w:basedOn w:val="TableNormal"/>
    <w:uiPriority w:val="99"/>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styleId="GridTable3-Accent6">
    <w:name w:val="Grid Table 3 Accent 6"/>
    <w:basedOn w:val="TableNormal"/>
    <w:uiPriority w:val="99"/>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styleId="GridTable4">
    <w:name w:val="Grid Table 4"/>
    <w:basedOn w:val="TableNormal"/>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108" w:type="dxa"/>
        <w:bottom w:w="0" w:type="dxa"/>
        <w:right w:w="108" w:type="dxa"/>
      </w:tblCellMar>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insideV w:val="single" w:color="50B4E2" w:themeColor="accent1" w:themeTint="90" w:sz="4" w:space="0"/>
      </w:tblBorders>
      <w:tblCellMar>
        <w:top w:w="0" w:type="dxa"/>
        <w:left w:w="108" w:type="dxa"/>
        <w:bottom w:w="0" w:type="dxa"/>
        <w:right w:w="108" w:type="dxa"/>
      </w:tblCellMar>
    </w:tblPr>
    <w:tblStylePr w:type="firstRow">
      <w:rPr>
        <w:b/>
        <w:sz w:val="22"/>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tcBorders>
        <w:shd w:val="clear" w:color="19729B" w:fill="19729B" w:themeFill="accent1" w:themeFillTint="ea"/>
      </w:tcPr>
    </w:tblStylePr>
    <w:tblStylePr w:type="lastRow">
      <w:rPr>
        <w:b/>
      </w:rPr>
      <w:tblPr/>
      <w:tcPr>
        <w:tcBorders>
          <w:top w:val="single" w:color="156082" w:themeColor="accent1" w:sz="4" w:space="0"/>
        </w:tcBorders>
      </w:tcPr>
    </w:tblStylePr>
    <w:tblStylePr w:type="firstCol">
      <w:rPr>
        <w:b/>
      </w:rPr>
      <w:tblPr/>
    </w:tblStylePr>
    <w:tblStylePr w:type="lastCol">
      <w:rPr>
        <w:b/>
      </w:rPr>
      <w:tblPr/>
    </w:tblStylePr>
    <w:tblStylePr w:type="band1Vert">
      <w:rPr>
        <w:sz w:val="22"/>
      </w:rPr>
      <w:tblPr/>
      <w:tcPr>
        <w:shd w:val="clear" w:color="C2E5F5" w:fill="C2E5F5" w:themeFill="accent1" w:themeFillTint="32"/>
      </w:tcPr>
    </w:tblStylePr>
    <w:tblStylePr w:type="band1Horz">
      <w:rPr>
        <w:sz w:val="22"/>
      </w:rPr>
      <w:tblPr/>
      <w:tcPr>
        <w:shd w:val="clear" w:color="C2E5F5" w:fill="C2E5F5" w:themeFill="accent1" w:themeFillTint="32"/>
      </w:tcPr>
    </w:tblStylePr>
  </w:style>
  <w:style w:type="table" w:styleId="GridTable4-Accent2">
    <w:name w:val="Grid Table 4 Accent 2"/>
    <w:basedOn w:val="TableNormal"/>
    <w:uiPriority w:val="59"/>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CellMar>
        <w:top w:w="0" w:type="dxa"/>
        <w:left w:w="108" w:type="dxa"/>
        <w:bottom w:w="0" w:type="dxa"/>
        <w:right w:w="108" w:type="dxa"/>
      </w:tblCellMar>
    </w:tblPr>
    <w:tblStylePr w:type="firstRow">
      <w:rPr>
        <w:b/>
        <w:sz w:val="22"/>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tcBorders>
        <w:shd w:val="clear" w:color="F2AA85" w:fill="F2AA85" w:themeFill="accent2" w:themeFillTint="97"/>
      </w:tcPr>
    </w:tblStylePr>
    <w:tblStylePr w:type="lastRow">
      <w:rPr>
        <w:b/>
      </w:rPr>
      <w:tblPr/>
      <w:tcPr>
        <w:tcBorders>
          <w:top w:val="single" w:color="E97132" w:themeColor="accent2" w:sz="4" w:space="0"/>
        </w:tcBorders>
      </w:tcPr>
    </w:tblStylePr>
    <w:tblStylePr w:type="firstCol">
      <w:rPr>
        <w:b/>
      </w:rPr>
      <w:tblPr/>
    </w:tblStylePr>
    <w:tblStylePr w:type="lastCol">
      <w:rPr>
        <w:b/>
      </w:rPr>
      <w:tbl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styleId="GridTable4-Accent3">
    <w:name w:val="Grid Table 4 Accent 3"/>
    <w:basedOn w:val="TableNormal"/>
    <w:uiPriority w:val="59"/>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CellMar>
        <w:top w:w="0" w:type="dxa"/>
        <w:left w:w="108" w:type="dxa"/>
        <w:bottom w:w="0" w:type="dxa"/>
        <w:right w:w="108" w:type="dxa"/>
      </w:tblCellMar>
    </w:tblPr>
    <w:tblStylePr w:type="firstRow">
      <w:rPr>
        <w:b/>
        <w:sz w:val="22"/>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tcBorders>
        <w:shd w:val="clear" w:color="196C24" w:fill="196C24" w:themeFill="accent3" w:themeFillTint="fe"/>
      </w:tcPr>
    </w:tblStylePr>
    <w:tblStylePr w:type="lastRow">
      <w:rPr>
        <w:b/>
      </w:rPr>
      <w:tblPr/>
      <w:tcPr>
        <w:tcBorders>
          <w:top w:val="single" w:color="196B24" w:themeColor="accent3" w:sz="4" w:space="0"/>
        </w:tcBorders>
      </w:tcPr>
    </w:tblStylePr>
    <w:tblStylePr w:type="firstCol">
      <w:rPr>
        <w:b/>
      </w:rPr>
      <w:tblPr/>
    </w:tblStylePr>
    <w:tblStylePr w:type="lastCol">
      <w:rPr>
        <w:b/>
      </w:rPr>
      <w:tbl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styleId="GridTable4-Accent4">
    <w:name w:val="Grid Table 4 Accent 4"/>
    <w:basedOn w:val="TableNormal"/>
    <w:uiPriority w:val="59"/>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CellMar>
        <w:top w:w="0" w:type="dxa"/>
        <w:left w:w="108" w:type="dxa"/>
        <w:bottom w:w="0" w:type="dxa"/>
        <w:right w:w="108" w:type="dxa"/>
      </w:tblCellMar>
    </w:tblPr>
    <w:tblStylePr w:type="firstRow">
      <w:rPr>
        <w:b/>
        <w:sz w:val="22"/>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tcBorders>
        <w:shd w:val="clear" w:color="5FCAF3" w:fill="5FCAF3" w:themeFill="accent4" w:themeFillTint="9a"/>
      </w:tcPr>
    </w:tblStylePr>
    <w:tblStylePr w:type="lastRow">
      <w:rPr>
        <w:b/>
      </w:rPr>
      <w:tblPr/>
      <w:tcPr>
        <w:tcBorders>
          <w:top w:val="single" w:color="0F9ED5" w:themeColor="accent4" w:sz="4" w:space="0"/>
        </w:tcBorders>
      </w:tcPr>
    </w:tblStylePr>
    <w:tblStylePr w:type="firstCol">
      <w:rPr>
        <w:b/>
      </w:rPr>
      <w:tblPr/>
    </w:tblStylePr>
    <w:tblStylePr w:type="lastCol">
      <w:rPr>
        <w:b/>
      </w:rPr>
      <w:tbl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styleId="GridTable4-Accent5">
    <w:name w:val="Grid Table 4 Accent 5"/>
    <w:basedOn w:val="TableNormal"/>
    <w:uiPriority w:val="59"/>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CellMar>
        <w:top w:w="0" w:type="dxa"/>
        <w:left w:w="108" w:type="dxa"/>
        <w:bottom w:w="0" w:type="dxa"/>
        <w:right w:w="108" w:type="dxa"/>
      </w:tblCellMar>
    </w:tblPr>
    <w:tblStylePr w:type="firstRow">
      <w:rPr>
        <w:b/>
        <w:sz w:val="22"/>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tcBorders>
        <w:shd w:val="clear" w:color="A02B93" w:fill="A02B93" w:themeFill="accent5"/>
      </w:tcPr>
    </w:tblStylePr>
    <w:tblStylePr w:type="lastRow">
      <w:rPr>
        <w:b/>
      </w:rPr>
      <w:tblPr/>
      <w:tcPr>
        <w:tcBorders>
          <w:top w:val="single" w:color="A02B93" w:themeColor="accent5" w:sz="4" w:space="0"/>
        </w:tcBorders>
      </w:tcPr>
    </w:tblStylePr>
    <w:tblStylePr w:type="firstCol">
      <w:rPr>
        <w:b/>
      </w:rPr>
      <w:tblPr/>
    </w:tblStylePr>
    <w:tblStylePr w:type="lastCol">
      <w:rPr>
        <w:b/>
      </w:rPr>
      <w:tbl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styleId="GridTable4-Accent6">
    <w:name w:val="Grid Table 4 Accent 6"/>
    <w:basedOn w:val="TableNormal"/>
    <w:uiPriority w:val="59"/>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CellMar>
        <w:top w:w="0" w:type="dxa"/>
        <w:left w:w="108" w:type="dxa"/>
        <w:bottom w:w="0" w:type="dxa"/>
        <w:right w:w="108" w:type="dxa"/>
      </w:tblCellMar>
    </w:tblPr>
    <w:tblStylePr w:type="firstRow">
      <w:rPr>
        <w:b/>
        <w:sz w:val="22"/>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tcBorders>
        <w:shd w:val="clear" w:color="4EA72E" w:fill="4EA72E" w:themeFill="accent6"/>
      </w:tcPr>
    </w:tblStylePr>
    <w:tblStylePr w:type="lastRow">
      <w:rPr>
        <w:b/>
      </w:rPr>
      <w:tblPr/>
      <w:tcPr>
        <w:tcBorders>
          <w:top w:val="single" w:color="4EA72E" w:themeColor="accent6" w:sz="4" w:space="0"/>
        </w:tcBorders>
      </w:tcPr>
    </w:tblStylePr>
    <w:tblStylePr w:type="firstCol">
      <w:rPr>
        <w:b/>
      </w:rPr>
      <w:tblPr/>
    </w:tblStylePr>
    <w:tblStylePr w:type="lastCol">
      <w:rPr>
        <w:b/>
      </w:rPr>
      <w:tbl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styleId="GridTable5Dark">
    <w:name w:val="Grid Table 5 Dark"/>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156082" w:fill="156082" w:themeFill="accent1"/>
      </w:tcPr>
    </w:tblStylePr>
    <w:tblStylePr w:type="lastRow">
      <w:rPr>
        <w:b/>
        <w:sz w:val="22"/>
      </w:rPr>
      <w:tblPr/>
      <w:tcPr>
        <w:tcBorders>
          <w:top w:val="single" w:color="FFFFFF" w:themeColor="light1" w:sz="4" w:space="0"/>
        </w:tcBorders>
        <w:shd w:val="clear" w:color="156082" w:fill="156082" w:themeFill="accent1"/>
      </w:tcPr>
    </w:tblStylePr>
    <w:tblStylePr w:type="firstCol">
      <w:rPr>
        <w:b/>
        <w:sz w:val="22"/>
      </w:rPr>
      <w:tblPr/>
      <w:tcPr>
        <w:shd w:val="clear" w:color="156082" w:fill="156082" w:themeFill="accent1"/>
      </w:tcPr>
    </w:tblStylePr>
    <w:tblStylePr w:type="lastCol">
      <w:rPr>
        <w:b/>
        <w:sz w:val="22"/>
      </w:rPr>
      <w:tblPr/>
      <w:tcPr>
        <w:shd w:val="clear" w:color="156082" w:fill="156082" w:themeFill="accent1"/>
      </w:tcPr>
    </w:tblStylePr>
    <w:tblStylePr w:type="band1Vert">
      <w:tblPr/>
      <w:tcPr>
        <w:shd w:val="clear" w:color="70C2E8" w:fill="70C2E8" w:themeFill="accent1" w:themeFillTint="75"/>
      </w:tcPr>
    </w:tblStylePr>
    <w:tblStylePr w:type="band1Horz">
      <w:tblPr/>
      <w:tcPr>
        <w:shd w:val="clear" w:color="70C2E8" w:fill="70C2E8"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E97132" w:fill="E97132" w:themeFill="accent2"/>
      </w:tcPr>
    </w:tblStylePr>
    <w:tblStylePr w:type="lastRow">
      <w:rPr>
        <w:b/>
        <w:sz w:val="22"/>
      </w:rPr>
      <w:tblPr/>
      <w:tcPr>
        <w:tcBorders>
          <w:top w:val="single" w:color="FFFFFF" w:themeColor="light1" w:sz="4" w:space="0"/>
        </w:tcBorders>
        <w:shd w:val="clear" w:color="E97132" w:fill="E97132" w:themeFill="accent2"/>
      </w:tcPr>
    </w:tblStylePr>
    <w:tblStylePr w:type="firstCol">
      <w:rPr>
        <w:b/>
        <w:sz w:val="22"/>
      </w:rPr>
      <w:tblPr/>
      <w:tcPr>
        <w:shd w:val="clear" w:color="E97132" w:fill="E97132" w:themeFill="accent2"/>
      </w:tcPr>
    </w:tblStylePr>
    <w:tblStylePr w:type="lastCol">
      <w:rPr>
        <w:b/>
        <w:sz w:val="22"/>
      </w:rPr>
      <w:tblPr/>
      <w:tcPr>
        <w:shd w:val="clear" w:color="E97132" w:fill="E97132" w:themeFill="accent2"/>
      </w:tcPr>
    </w:tblStylePr>
    <w:tblStylePr w:type="band1Vert">
      <w:tblPr/>
      <w:tcPr>
        <w:shd w:val="clear" w:color="F5BDA0" w:fill="F5BDA0" w:themeFill="accent2" w:themeFillTint="75"/>
      </w:tcPr>
    </w:tblStylePr>
    <w:tblStylePr w:type="band1Horz">
      <w:tblPr/>
      <w:tcPr>
        <w:shd w:val="clear" w:color="F5BDA0" w:fill="F5BD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196B24" w:fill="196B24" w:themeFill="accent3"/>
      </w:tcPr>
    </w:tblStylePr>
    <w:tblStylePr w:type="lastRow">
      <w:rPr>
        <w:b/>
        <w:sz w:val="22"/>
      </w:rPr>
      <w:tblPr/>
      <w:tcPr>
        <w:tcBorders>
          <w:top w:val="single" w:color="FFFFFF" w:themeColor="light1" w:sz="4" w:space="0"/>
        </w:tcBorders>
        <w:shd w:val="clear" w:color="196B24" w:fill="196B24" w:themeFill="accent3"/>
      </w:tcPr>
    </w:tblStylePr>
    <w:tblStylePr w:type="firstCol">
      <w:rPr>
        <w:b/>
        <w:sz w:val="22"/>
      </w:rPr>
      <w:tblPr/>
      <w:tcPr>
        <w:shd w:val="clear" w:color="196B24" w:fill="196B24" w:themeFill="accent3"/>
      </w:tcPr>
    </w:tblStylePr>
    <w:tblStylePr w:type="lastCol">
      <w:rPr>
        <w:b/>
        <w:sz w:val="22"/>
      </w:rPr>
      <w:tblPr/>
      <w:tcPr>
        <w:shd w:val="clear" w:color="196B24" w:fill="196B24" w:themeFill="accent3"/>
      </w:tcPr>
    </w:tblStylePr>
    <w:tblStylePr w:type="band1Vert">
      <w:tblPr/>
      <w:tcPr>
        <w:shd w:val="clear" w:color="72DE80" w:fill="72DE80" w:themeFill="accent3" w:themeFillTint="75"/>
      </w:tcPr>
    </w:tblStylePr>
    <w:tblStylePr w:type="band1Horz">
      <w:tblPr/>
      <w:tcPr>
        <w:shd w:val="clear" w:color="72DE80" w:fill="72DE80"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0F9ED5" w:fill="0F9ED5" w:themeFill="accent4"/>
      </w:tcPr>
    </w:tblStylePr>
    <w:tblStylePr w:type="lastRow">
      <w:rPr>
        <w:b/>
        <w:sz w:val="22"/>
      </w:rPr>
      <w:tblPr/>
      <w:tcPr>
        <w:tcBorders>
          <w:top w:val="single" w:color="FFFFFF" w:themeColor="light1" w:sz="4" w:space="0"/>
        </w:tcBorders>
        <w:shd w:val="clear" w:color="0F9ED5" w:fill="0F9ED5" w:themeFill="accent4"/>
      </w:tcPr>
    </w:tblStylePr>
    <w:tblStylePr w:type="firstCol">
      <w:rPr>
        <w:b/>
        <w:sz w:val="22"/>
      </w:rPr>
      <w:tblPr/>
      <w:tcPr>
        <w:shd w:val="clear" w:color="0F9ED5" w:fill="0F9ED5" w:themeFill="accent4"/>
      </w:tcPr>
    </w:tblStylePr>
    <w:tblStylePr w:type="lastCol">
      <w:rPr>
        <w:b/>
        <w:sz w:val="22"/>
      </w:rPr>
      <w:tblPr/>
      <w:tcPr>
        <w:shd w:val="clear" w:color="0F9ED5" w:fill="0F9ED5" w:themeFill="accent4"/>
      </w:tcPr>
    </w:tblStylePr>
    <w:tblStylePr w:type="band1Vert">
      <w:tblPr/>
      <w:tcPr>
        <w:shd w:val="clear" w:color="85D7F6" w:fill="85D7F6" w:themeFill="accent4" w:themeFillTint="75"/>
      </w:tcPr>
    </w:tblStylePr>
    <w:tblStylePr w:type="band1Horz">
      <w:tblPr/>
      <w:tcPr>
        <w:shd w:val="clear" w:color="85D7F6" w:fill="85D7F6"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A02B93" w:fill="A02B93" w:themeFill="accent5"/>
      </w:tcPr>
    </w:tblStylePr>
    <w:tblStylePr w:type="lastRow">
      <w:rPr>
        <w:b/>
        <w:sz w:val="22"/>
      </w:rPr>
      <w:tblPr/>
      <w:tcPr>
        <w:tcBorders>
          <w:top w:val="single" w:color="FFFFFF" w:themeColor="light1" w:sz="4" w:space="0"/>
        </w:tcBorders>
        <w:shd w:val="clear" w:color="A02B93" w:fill="A02B93" w:themeFill="accent5"/>
      </w:tcPr>
    </w:tblStylePr>
    <w:tblStylePr w:type="firstCol">
      <w:rPr>
        <w:b/>
        <w:sz w:val="22"/>
      </w:rPr>
      <w:tblPr/>
      <w:tcPr>
        <w:shd w:val="clear" w:color="A02B93" w:fill="A02B93" w:themeFill="accent5"/>
      </w:tcPr>
    </w:tblStylePr>
    <w:tblStylePr w:type="lastCol">
      <w:rPr>
        <w:b/>
        <w:sz w:val="22"/>
      </w:rPr>
      <w:tblPr/>
      <w:tcPr>
        <w:shd w:val="clear" w:color="A02B93" w:fill="A02B93" w:themeFill="accent5"/>
      </w:tcPr>
    </w:tblStylePr>
    <w:tblStylePr w:type="band1Vert">
      <w:tblPr/>
      <w:tcPr>
        <w:shd w:val="clear" w:color="E18FD7" w:fill="E18FD7" w:themeFill="accent5" w:themeFillTint="75"/>
      </w:tcPr>
    </w:tblStylePr>
    <w:tblStylePr w:type="band1Horz">
      <w:tblPr/>
      <w:tcPr>
        <w:shd w:val="clear" w:color="E18FD7" w:fill="E18FD7"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4EA72E" w:fill="4EA72E" w:themeFill="accent6"/>
      </w:tcPr>
    </w:tblStylePr>
    <w:tblStylePr w:type="lastRow">
      <w:rPr>
        <w:b/>
        <w:sz w:val="22"/>
      </w:rPr>
      <w:tblPr/>
      <w:tcPr>
        <w:tcBorders>
          <w:top w:val="single" w:color="FFFFFF" w:themeColor="light1" w:sz="4" w:space="0"/>
        </w:tcBorders>
        <w:shd w:val="clear" w:color="4EA72E" w:fill="4EA72E" w:themeFill="accent6"/>
      </w:tcPr>
    </w:tblStylePr>
    <w:tblStylePr w:type="firstCol">
      <w:rPr>
        <w:b/>
        <w:sz w:val="22"/>
      </w:rPr>
      <w:tblPr/>
      <w:tcPr>
        <w:shd w:val="clear" w:color="4EA72E" w:fill="4EA72E" w:themeFill="accent6"/>
      </w:tcPr>
    </w:tblStylePr>
    <w:tblStylePr w:type="lastCol">
      <w:rPr>
        <w:b/>
        <w:sz w:val="22"/>
      </w:rPr>
      <w:tblPr/>
      <w:tcPr>
        <w:shd w:val="clear" w:color="4EA72E" w:fill="4EA72E" w:themeFill="accent6"/>
      </w:tcPr>
    </w:tblStylePr>
    <w:tblStylePr w:type="band1Vert">
      <w:tblPr/>
      <w:tcPr>
        <w:shd w:val="clear" w:color="A8E194" w:fill="A8E194" w:themeFill="accent6" w:themeFillTint="75"/>
      </w:tcPr>
    </w:tblStylePr>
    <w:tblStylePr w:type="band1Horz">
      <w:tblPr/>
      <w:tcPr>
        <w:shd w:val="clear" w:color="A8E194" w:fill="A8E194" w:themeFill="accent6" w:themeFillTint="75"/>
      </w:tcPr>
    </w:tblStylePr>
  </w:style>
  <w:style w:type="table" w:styleId="GridTable6Colorful">
    <w:name w:val="Grid Table 6 Colorful"/>
    <w:basedOn w:val="TableNormal"/>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styleId="GridTable6Colorful-Accent1">
    <w:name w:val="Grid Table 6 Colorful Accent 1"/>
    <w:basedOn w:val="TableNormal"/>
    <w:uiPriority w:val="99"/>
    <w:tblPr>
      <w:tblStyleRowBandSize w:val="1"/>
      <w:tblStyleColBandSize w:val="1"/>
      <w:tblBorders>
        <w:top w:val="single" w:color="63BDE6" w:themeColor="accent1" w:themeTint="80" w:sz="4" w:space="0"/>
        <w:left w:val="single" w:color="63BDE6" w:themeColor="accent1" w:themeTint="80" w:sz="4" w:space="0"/>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CellMar>
        <w:top w:w="0" w:type="dxa"/>
        <w:left w:w="108" w:type="dxa"/>
        <w:bottom w:w="0" w:type="dxa"/>
        <w:right w:w="108" w:type="dxa"/>
      </w:tblCellMar>
    </w:tblPr>
    <w:tblStylePr w:type="firstRow">
      <w:rPr>
        <w:b/>
        <w:color w:val="63bde6" w:themeColor="accent1" w:themeTint="80" w:themeShade="95"/>
      </w:rPr>
      <w:tblPr/>
      <w:tcPr>
        <w:tcBorders>
          <w:bottom w:val="single" w:color="156082" w:themeColor="accent1" w:sz="12" w:space="0"/>
        </w:tcBorders>
      </w:tcPr>
    </w:tblStylePr>
    <w:tblStylePr w:type="lastRow">
      <w:rPr>
        <w:b/>
        <w:color w:val="63bde6" w:themeColor="accent1" w:themeTint="80" w:themeShade="95"/>
      </w:rPr>
      <w:tblPr/>
    </w:tblStylePr>
    <w:tblStylePr w:type="firstCol">
      <w:rPr>
        <w:b/>
        <w:color w:val="63bde6" w:themeColor="accent1" w:themeTint="80" w:themeShade="95"/>
      </w:rPr>
      <w:tblPr/>
    </w:tblStylePr>
    <w:tblStylePr w:type="lastCol">
      <w:rPr>
        <w:b/>
        <w:color w:val="63bde6" w:themeColor="accent1" w:themeTint="80" w:themeShade="95"/>
      </w:rPr>
      <w:tbl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Pr/>
    </w:tblStylePr>
  </w:style>
  <w:style w:type="table" w:styleId="GridTable6Colorful-Accent2">
    <w:name w:val="Grid Table 6 Colorful Accent 2"/>
    <w:basedOn w:val="TableNormal"/>
    <w:uiPriority w:val="99"/>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CellMar>
        <w:top w:w="0" w:type="dxa"/>
        <w:left w:w="108" w:type="dxa"/>
        <w:bottom w:w="0" w:type="dxa"/>
        <w:right w:w="108" w:type="dxa"/>
      </w:tblCellMar>
    </w:tblPr>
    <w:tblStylePr w:type="firstRow">
      <w:rPr>
        <w:b/>
        <w:color w:val="f2aa85" w:themeColor="accent2" w:themeTint="97" w:themeShade="95"/>
      </w:rPr>
      <w:tblPr/>
      <w:tcPr>
        <w:tcBorders>
          <w:bottom w:val="single" w:color="E97132" w:themeColor="accent2" w:sz="12" w:space="0"/>
        </w:tcBorders>
      </w:tcPr>
    </w:tblStylePr>
    <w:tblStylePr w:type="lastRow">
      <w:rPr>
        <w:b/>
        <w:color w:val="f2aa85" w:themeColor="accent2" w:themeTint="97" w:themeShade="95"/>
      </w:rPr>
      <w:tblPr/>
    </w:tblStylePr>
    <w:tblStylePr w:type="firstCol">
      <w:rPr>
        <w:b/>
        <w:color w:val="f2aa85" w:themeColor="accent2" w:themeTint="97" w:themeShade="95"/>
      </w:rPr>
      <w:tblPr/>
    </w:tblStylePr>
    <w:tblStylePr w:type="lastCol">
      <w:rPr>
        <w:b/>
        <w:color w:val="f2aa85" w:themeColor="accent2" w:themeTint="97" w:themeShade="95"/>
      </w:rPr>
      <w:tbl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Pr/>
    </w:tblStylePr>
  </w:style>
  <w:style w:type="table" w:styleId="GridTable6Colorful-Accent3">
    <w:name w:val="Grid Table 6 Colorful Accent 3"/>
    <w:basedOn w:val="TableNormal"/>
    <w:uiPriority w:val="99"/>
    <w:tblPr>
      <w:tblStyleRowBandSize w:val="1"/>
      <w:tblStyleColBandSize w:val="1"/>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CellMar>
        <w:top w:w="0" w:type="dxa"/>
        <w:left w:w="108" w:type="dxa"/>
        <w:bottom w:w="0" w:type="dxa"/>
        <w:right w:w="108" w:type="dxa"/>
      </w:tblCellMar>
    </w:tblPr>
    <w:tblStylePr w:type="firstRow">
      <w:rPr>
        <w:b/>
        <w:color w:val="196c24" w:themeColor="accent3" w:themeTint="fe" w:themeShade="95"/>
      </w:rPr>
      <w:tblPr/>
      <w:tcPr>
        <w:tcBorders>
          <w:bottom w:val="single" w:color="196B24" w:themeColor="accent3" w:sz="12" w:space="0"/>
        </w:tcBorders>
      </w:tcPr>
    </w:tblStylePr>
    <w:tblStylePr w:type="lastRow">
      <w:rPr>
        <w:b/>
        <w:color w:val="196c24" w:themeColor="accent3" w:themeTint="fe" w:themeShade="95"/>
      </w:rPr>
      <w:tblPr/>
    </w:tblStylePr>
    <w:tblStylePr w:type="firstCol">
      <w:rPr>
        <w:b/>
        <w:color w:val="196c24" w:themeColor="accent3" w:themeTint="fe" w:themeShade="95"/>
      </w:rPr>
      <w:tblPr/>
    </w:tblStylePr>
    <w:tblStylePr w:type="lastCol">
      <w:rPr>
        <w:b/>
        <w:color w:val="196c24" w:themeColor="accent3" w:themeTint="fe" w:themeShade="95"/>
      </w:rPr>
      <w:tbl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Pr/>
    </w:tblStylePr>
  </w:style>
  <w:style w:type="table" w:styleId="GridTable6Colorful-Accent4">
    <w:name w:val="Grid Table 6 Colorful Accent 4"/>
    <w:basedOn w:val="TableNormal"/>
    <w:uiPriority w:val="99"/>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CellMar>
        <w:top w:w="0" w:type="dxa"/>
        <w:left w:w="108" w:type="dxa"/>
        <w:bottom w:w="0" w:type="dxa"/>
        <w:right w:w="108" w:type="dxa"/>
      </w:tblCellMar>
    </w:tblPr>
    <w:tblStylePr w:type="firstRow">
      <w:rPr>
        <w:b/>
        <w:color w:val="5fcaf3" w:themeColor="accent4" w:themeTint="9a" w:themeShade="95"/>
      </w:rPr>
      <w:tblPr/>
      <w:tcPr>
        <w:tcBorders>
          <w:bottom w:val="single" w:color="0F9ED5" w:themeColor="accent4" w:sz="12" w:space="0"/>
        </w:tcBorders>
      </w:tcPr>
    </w:tblStylePr>
    <w:tblStylePr w:type="lastRow">
      <w:rPr>
        <w:b/>
        <w:color w:val="5fcaf3" w:themeColor="accent4" w:themeTint="9a" w:themeShade="95"/>
      </w:rPr>
      <w:tblPr/>
    </w:tblStylePr>
    <w:tblStylePr w:type="firstCol">
      <w:rPr>
        <w:b/>
        <w:color w:val="5fcaf3" w:themeColor="accent4" w:themeTint="9a" w:themeShade="95"/>
      </w:rPr>
      <w:tblPr/>
    </w:tblStylePr>
    <w:tblStylePr w:type="lastCol">
      <w:rPr>
        <w:b/>
        <w:color w:val="5fcaf3" w:themeColor="accent4" w:themeTint="9a" w:themeShade="95"/>
      </w:rPr>
      <w:tbl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Pr/>
    </w:tblStylePr>
  </w:style>
  <w:style w:type="table" w:styleId="GridTable6Colorful-Accent5">
    <w:name w:val="Grid Table 6 Colorful Accent 5"/>
    <w:basedOn w:val="TableNormal"/>
    <w:uiPriority w:val="99"/>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CellMar>
        <w:top w:w="0" w:type="dxa"/>
        <w:left w:w="108" w:type="dxa"/>
        <w:bottom w:w="0" w:type="dxa"/>
        <w:right w:w="108" w:type="dxa"/>
      </w:tblCellMar>
    </w:tblPr>
    <w:tblStylePr w:type="firstRow">
      <w:rPr>
        <w:b/>
        <w:color w:val="5d1955" w:themeColor="accent5" w:themeShade="95"/>
      </w:rPr>
      <w:tblPr/>
      <w:tcPr>
        <w:tcBorders>
          <w:bottom w:val="single" w:color="A02B93" w:themeColor="accent5" w:sz="12" w:space="0"/>
        </w:tcBorders>
      </w:tcPr>
    </w:tblStylePr>
    <w:tblStylePr w:type="lastRow">
      <w:rPr>
        <w:b/>
        <w:color w:val="5d1955" w:themeColor="accent5" w:themeShade="95"/>
      </w:rPr>
      <w:tblPr/>
    </w:tblStylePr>
    <w:tblStylePr w:type="firstCol">
      <w:rPr>
        <w:b/>
        <w:color w:val="5d1955" w:themeColor="accent5" w:themeShade="95"/>
      </w:rPr>
      <w:tblPr/>
    </w:tblStylePr>
    <w:tblStylePr w:type="lastCol">
      <w:rPr>
        <w:b/>
        <w:color w:val="5d1955" w:themeColor="accent5" w:themeShade="95"/>
      </w:rPr>
      <w:tbl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Pr/>
    </w:tblStylePr>
  </w:style>
  <w:style w:type="table" w:styleId="GridTable6Colorful-Accent6">
    <w:name w:val="Grid Table 6 Colorful Accent 6"/>
    <w:basedOn w:val="TableNormal"/>
    <w:uiPriority w:val="99"/>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CellMar>
        <w:top w:w="0" w:type="dxa"/>
        <w:left w:w="108" w:type="dxa"/>
        <w:bottom w:w="0" w:type="dxa"/>
        <w:right w:w="108" w:type="dxa"/>
      </w:tblCellMar>
    </w:tblPr>
    <w:tblStylePr w:type="firstRow">
      <w:rPr>
        <w:b/>
        <w:color w:val="5d1955" w:themeColor="accent5" w:themeShade="95"/>
      </w:rPr>
      <w:tblPr/>
      <w:tcPr>
        <w:tcBorders>
          <w:bottom w:val="single" w:color="4EA72E" w:themeColor="accent6" w:sz="12" w:space="0"/>
        </w:tcBorders>
      </w:tcPr>
    </w:tblStylePr>
    <w:tblStylePr w:type="lastRow">
      <w:rPr>
        <w:b/>
        <w:color w:val="5d1955" w:themeColor="accent5" w:themeShade="95"/>
      </w:rPr>
      <w:tblPr/>
    </w:tblStylePr>
    <w:tblStylePr w:type="firstCol">
      <w:rPr>
        <w:b/>
        <w:color w:val="5d1955" w:themeColor="accent5" w:themeShade="95"/>
      </w:rPr>
      <w:tblPr/>
    </w:tblStylePr>
    <w:tblStylePr w:type="lastCol">
      <w:rPr>
        <w:b/>
        <w:color w:val="5d1955" w:themeColor="accent5" w:themeShade="95"/>
      </w:rPr>
      <w:tblPr/>
    </w:tblStylePr>
    <w:tblStylePr w:type="band1Vert">
      <w:tblPr/>
      <w:tcPr>
        <w:shd w:val="clear" w:color="D8F2CF" w:fill="D8F2CF" w:themeFill="accent6" w:themeFillTint="34"/>
      </w:tcPr>
    </w:tblStylePr>
    <w:tblStylePr w:type="band1Horz">
      <w:rPr>
        <w:color w:val="5d1955" w:themeColor="accent5" w:themeShade="95"/>
        <w:sz w:val="22"/>
      </w:rPr>
      <w:tblPr/>
      <w:tcPr>
        <w:shd w:val="clear" w:color="D8F2CF" w:fill="D8F2CF" w:themeFill="accent6" w:themeFillTint="34"/>
      </w:tcPr>
    </w:tblStylePr>
    <w:tblStylePr w:type="band2Horz">
      <w:rPr>
        <w:color w:val="5d1955" w:themeColor="accent5" w:themeShade="95"/>
        <w:sz w:val="22"/>
      </w:rPr>
      <w:tblPr/>
    </w:tblStylePr>
  </w:style>
  <w:style w:type="table" w:styleId="GridTable7Colorful">
    <w:name w:val="Grid Table 7 Colorful"/>
    <w:basedOn w:val="TableNormal"/>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styleId="GridTable7Colorful-Accent1">
    <w:name w:val="Grid Table 7 Colorful Accent 1"/>
    <w:basedOn w:val="TableNormal"/>
    <w:uiPriority w:val="99"/>
    <w:tblPr>
      <w:tblStyleRowBandSize w:val="1"/>
      <w:tblStyleColBandSize w:val="1"/>
      <w:tblBorders>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CellMar>
        <w:top w:w="0" w:type="dxa"/>
        <w:left w:w="108" w:type="dxa"/>
        <w:bottom w:w="0" w:type="dxa"/>
        <w:right w:w="108" w:type="dxa"/>
      </w:tblCellMar>
    </w:tblPr>
    <w:tblStylePr w:type="firstRow">
      <w:rPr>
        <w:b/>
        <w:color w:val="63bde6" w:themeColor="accent1" w:themeTint="80" w:themeShade="95"/>
        <w:sz w:val="22"/>
      </w:rPr>
      <w:tblPr/>
      <w:tcPr>
        <w:tcBorders>
          <w:top w:val="none" w:color="auto" w:sz="0" w:space="0"/>
          <w:left w:val="none" w:color="auto" w:sz="0" w:space="0"/>
          <w:bottom w:val="single" w:color="156082" w:themeColor="accent1" w:sz="4" w:space="0"/>
          <w:right w:val="none" w:color="auto" w:sz="0" w:space="0"/>
        </w:tcBorders>
        <w:shd w:val="clear" w:color="FFFFFF" w:fill="FFFFFF" w:themeFill="light1"/>
      </w:tcPr>
    </w:tblStylePr>
    <w:tblStylePr w:type="lastRow">
      <w:rPr>
        <w:b/>
        <w:color w:val="63bde6" w:themeColor="accent1" w:themeTint="80" w:themeShade="95"/>
        <w:sz w:val="22"/>
      </w:rPr>
      <w:tblPr/>
      <w:tcPr>
        <w:tcBorders>
          <w:top w:val="single" w:color="156082"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63bde6" w:themeColor="accent1" w:themeTint="80" w:themeShade="95"/>
        <w:sz w:val="22"/>
      </w:rPr>
      <w:tblPr/>
      <w:tcPr>
        <w:tcBorders>
          <w:top w:val="none" w:color="auto" w:sz="0" w:space="0"/>
          <w:left w:val="none" w:color="auto" w:sz="0" w:space="0"/>
          <w:bottom w:val="none" w:color="auto" w:sz="0" w:space="0"/>
          <w:right w:val="single" w:color="156082" w:themeColor="accent1" w:sz="4" w:space="0"/>
        </w:tcBorders>
        <w:shd w:val="clear" w:color="FFFFFF" w:fill="auto"/>
      </w:tcPr>
    </w:tblStylePr>
    <w:tblStylePr w:type="lastCol">
      <w:rPr>
        <w:i/>
        <w:color w:val="63bde6" w:themeColor="accent1" w:themeTint="80" w:themeShade="95"/>
        <w:sz w:val="22"/>
      </w:rPr>
      <w:tblPr/>
      <w:tcPr>
        <w:tcBorders>
          <w:top w:val="none" w:color="auto" w:sz="0" w:space="0"/>
          <w:left w:val="single" w:color="156082" w:themeColor="accent1" w:sz="4" w:space="0"/>
          <w:bottom w:val="none" w:color="auto" w:sz="0" w:space="0"/>
          <w:right w:val="none" w:color="auto" w:sz="0" w:space="0"/>
        </w:tcBorders>
        <w:shd w:val="clear" w:color="FFFFFF" w:fill="auto"/>
      </w:tc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Pr/>
    </w:tblStylePr>
  </w:style>
  <w:style w:type="table" w:styleId="GridTable7Colorful-Accent2">
    <w:name w:val="Grid Table 7 Colorful Accent 2"/>
    <w:basedOn w:val="TableNormal"/>
    <w:uiPriority w:val="99"/>
    <w:tblPr>
      <w:tblStyleRowBandSize w:val="1"/>
      <w:tblStyleColBandSize w:val="1"/>
      <w:tblBorders>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CellMar>
        <w:top w:w="0" w:type="dxa"/>
        <w:left w:w="108" w:type="dxa"/>
        <w:bottom w:w="0" w:type="dxa"/>
        <w:right w:w="108" w:type="dxa"/>
      </w:tblCellMar>
    </w:tblPr>
    <w:tblStylePr w:type="firstRow">
      <w:rPr>
        <w:b/>
        <w:color w:val="f2aa85" w:themeColor="accent2" w:themeTint="97" w:themeShade="95"/>
        <w:sz w:val="22"/>
      </w:rPr>
      <w:tblPr/>
      <w:tcPr>
        <w:tcBorders>
          <w:top w:val="none" w:color="auto" w:sz="0" w:space="0"/>
          <w:left w:val="none" w:color="auto" w:sz="0" w:space="0"/>
          <w:bottom w:val="single" w:color="E97132" w:themeColor="accent2" w:sz="4" w:space="0"/>
          <w:right w:val="none" w:color="auto" w:sz="0" w:space="0"/>
        </w:tcBorders>
        <w:shd w:val="clear" w:color="FFFFFF" w:fill="FFFFFF" w:themeFill="light1"/>
      </w:tcPr>
    </w:tblStylePr>
    <w:tblStylePr w:type="lastRow">
      <w:rPr>
        <w:b/>
        <w:color w:val="f2aa85" w:themeColor="accent2" w:themeTint="97" w:themeShade="95"/>
        <w:sz w:val="22"/>
      </w:rPr>
      <w:tblPr/>
      <w:tcPr>
        <w:tcBorders>
          <w:top w:val="single" w:color="E97132"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2aa85" w:themeColor="accent2" w:themeTint="97" w:themeShade="95"/>
        <w:sz w:val="22"/>
      </w:rPr>
      <w:tblPr/>
      <w:tcPr>
        <w:tcBorders>
          <w:top w:val="none" w:color="auto" w:sz="0" w:space="0"/>
          <w:left w:val="none" w:color="auto" w:sz="0" w:space="0"/>
          <w:bottom w:val="none" w:color="auto" w:sz="0" w:space="0"/>
          <w:right w:val="single" w:color="E97132" w:themeColor="accent2" w:sz="4" w:space="0"/>
        </w:tcBorders>
        <w:shd w:val="clear" w:color="FFFFFF" w:fill="auto"/>
      </w:tcPr>
    </w:tblStylePr>
    <w:tblStylePr w:type="lastCol">
      <w:rPr>
        <w:i/>
        <w:color w:val="f2aa85" w:themeColor="accent2" w:themeTint="97" w:themeShade="95"/>
        <w:sz w:val="22"/>
      </w:rPr>
      <w:tblPr/>
      <w:tcPr>
        <w:tcBorders>
          <w:top w:val="none" w:color="auto" w:sz="0" w:space="0"/>
          <w:left w:val="single" w:color="E97132" w:themeColor="accent2" w:sz="4" w:space="0"/>
          <w:bottom w:val="none" w:color="auto" w:sz="0" w:space="0"/>
          <w:right w:val="none" w:color="auto" w:sz="0" w:space="0"/>
        </w:tcBorders>
        <w:shd w:val="clear" w:color="FFFFFF" w:fill="auto"/>
      </w:tc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Pr/>
    </w:tblStylePr>
  </w:style>
  <w:style w:type="table" w:styleId="GridTable7Colorful-Accent3">
    <w:name w:val="Grid Table 7 Colorful Accent 3"/>
    <w:basedOn w:val="TableNormal"/>
    <w:uiPriority w:val="99"/>
    <w:tblPr>
      <w:tblStyleRowBandSize w:val="1"/>
      <w:tblStyleColBandSize w:val="1"/>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CellMar>
        <w:top w:w="0" w:type="dxa"/>
        <w:left w:w="108" w:type="dxa"/>
        <w:bottom w:w="0" w:type="dxa"/>
        <w:right w:w="108" w:type="dxa"/>
      </w:tblCellMar>
    </w:tblPr>
    <w:tblStylePr w:type="firstRow">
      <w:rPr>
        <w:b/>
        <w:color w:val="196c24" w:themeColor="accent3" w:themeTint="fe" w:themeShade="95"/>
        <w:sz w:val="22"/>
      </w:rPr>
      <w:tblPr/>
      <w:tcPr>
        <w:tcBorders>
          <w:top w:val="none" w:color="auto" w:sz="0" w:space="0"/>
          <w:left w:val="none" w:color="auto" w:sz="0" w:space="0"/>
          <w:bottom w:val="single" w:color="196B24" w:themeColor="accent3" w:sz="4" w:space="0"/>
          <w:right w:val="none" w:color="auto" w:sz="0" w:space="0"/>
        </w:tcBorders>
        <w:shd w:val="clear" w:color="FFFFFF" w:fill="FFFFFF" w:themeFill="light1"/>
      </w:tcPr>
    </w:tblStylePr>
    <w:tblStylePr w:type="lastRow">
      <w:rPr>
        <w:b/>
        <w:color w:val="196c24" w:themeColor="accent3" w:themeTint="fe" w:themeShade="95"/>
        <w:sz w:val="22"/>
      </w:rPr>
      <w:tblPr/>
      <w:tcPr>
        <w:tcBorders>
          <w:top w:val="single" w:color="196B24"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196c24" w:themeColor="accent3" w:themeTint="fe" w:themeShade="95"/>
        <w:sz w:val="22"/>
      </w:rPr>
      <w:tblPr/>
      <w:tcPr>
        <w:tcBorders>
          <w:top w:val="none" w:color="auto" w:sz="0" w:space="0"/>
          <w:left w:val="none" w:color="auto" w:sz="0" w:space="0"/>
          <w:bottom w:val="none" w:color="auto" w:sz="0" w:space="0"/>
          <w:right w:val="single" w:color="196B24" w:themeColor="accent3" w:sz="4" w:space="0"/>
        </w:tcBorders>
        <w:shd w:val="clear" w:color="FFFFFF" w:fill="auto"/>
      </w:tcPr>
    </w:tblStylePr>
    <w:tblStylePr w:type="lastCol">
      <w:rPr>
        <w:i/>
        <w:color w:val="196c24" w:themeColor="accent3" w:themeTint="fe" w:themeShade="95"/>
        <w:sz w:val="22"/>
      </w:rPr>
      <w:tblPr/>
      <w:tcPr>
        <w:tcBorders>
          <w:top w:val="none" w:color="auto" w:sz="0" w:space="0"/>
          <w:left w:val="single" w:color="196B24" w:themeColor="accent3" w:sz="4" w:space="0"/>
          <w:bottom w:val="none" w:color="auto" w:sz="0" w:space="0"/>
          <w:right w:val="none" w:color="auto" w:sz="0" w:space="0"/>
        </w:tcBorders>
        <w:shd w:val="clear" w:color="FFFFFF" w:fill="auto"/>
      </w:tc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Pr/>
    </w:tblStylePr>
  </w:style>
  <w:style w:type="table" w:styleId="GridTable7Colorful-Accent4">
    <w:name w:val="Grid Table 7 Colorful Accent 4"/>
    <w:basedOn w:val="TableNormal"/>
    <w:uiPriority w:val="99"/>
    <w:tblPr>
      <w:tblStyleRowBandSize w:val="1"/>
      <w:tblStyleColBandSize w:val="1"/>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CellMar>
        <w:top w:w="0" w:type="dxa"/>
        <w:left w:w="108" w:type="dxa"/>
        <w:bottom w:w="0" w:type="dxa"/>
        <w:right w:w="108" w:type="dxa"/>
      </w:tblCellMar>
    </w:tblPr>
    <w:tblStylePr w:type="firstRow">
      <w:rPr>
        <w:b/>
        <w:color w:val="5fcaf3" w:themeColor="accent4" w:themeTint="9a" w:themeShade="95"/>
        <w:sz w:val="22"/>
      </w:rPr>
      <w:tblPr/>
      <w:tcPr>
        <w:tcBorders>
          <w:top w:val="none" w:color="auto" w:sz="0" w:space="0"/>
          <w:left w:val="none" w:color="auto" w:sz="0" w:space="0"/>
          <w:bottom w:val="single" w:color="0F9ED5" w:themeColor="accent4" w:sz="4" w:space="0"/>
          <w:right w:val="none" w:color="auto" w:sz="0" w:space="0"/>
        </w:tcBorders>
        <w:shd w:val="clear" w:color="FFFFFF" w:fill="FFFFFF" w:themeFill="light1"/>
      </w:tcPr>
    </w:tblStylePr>
    <w:tblStylePr w:type="lastRow">
      <w:rPr>
        <w:b/>
        <w:color w:val="5fcaf3" w:themeColor="accent4" w:themeTint="9a" w:themeShade="95"/>
        <w:sz w:val="22"/>
      </w:rPr>
      <w:tblPr/>
      <w:tcPr>
        <w:tcBorders>
          <w:top w:val="single" w:color="0F9ED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5fcaf3" w:themeColor="accent4" w:themeTint="9a" w:themeShade="95"/>
        <w:sz w:val="22"/>
      </w:rPr>
      <w:tblPr/>
      <w:tcPr>
        <w:tcBorders>
          <w:top w:val="none" w:color="auto" w:sz="0" w:space="0"/>
          <w:left w:val="none" w:color="auto" w:sz="0" w:space="0"/>
          <w:bottom w:val="none" w:color="auto" w:sz="0" w:space="0"/>
          <w:right w:val="single" w:color="0F9ED5" w:themeColor="accent4" w:sz="4" w:space="0"/>
        </w:tcBorders>
        <w:shd w:val="clear" w:color="FFFFFF" w:fill="auto"/>
      </w:tcPr>
    </w:tblStylePr>
    <w:tblStylePr w:type="lastCol">
      <w:rPr>
        <w:i/>
        <w:color w:val="5fcaf3" w:themeColor="accent4" w:themeTint="9a" w:themeShade="95"/>
        <w:sz w:val="22"/>
      </w:rPr>
      <w:tblPr/>
      <w:tcPr>
        <w:tcBorders>
          <w:top w:val="none" w:color="auto" w:sz="0" w:space="0"/>
          <w:left w:val="single" w:color="0F9ED5" w:themeColor="accent4" w:sz="4" w:space="0"/>
          <w:bottom w:val="none" w:color="auto" w:sz="0" w:space="0"/>
          <w:right w:val="none" w:color="auto" w:sz="0" w:space="0"/>
        </w:tcBorders>
        <w:shd w:val="clear" w:color="FFFFFF" w:fill="auto"/>
      </w:tc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Pr/>
    </w:tblStylePr>
  </w:style>
  <w:style w:type="table" w:styleId="GridTable7Colorful-Accent5">
    <w:name w:val="Grid Table 7 Colorful Accent 5"/>
    <w:basedOn w:val="TableNormal"/>
    <w:uiPriority w:val="99"/>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CellMar>
        <w:top w:w="0" w:type="dxa"/>
        <w:left w:w="108" w:type="dxa"/>
        <w:bottom w:w="0" w:type="dxa"/>
        <w:right w:w="108" w:type="dxa"/>
      </w:tblCellMar>
    </w:tblPr>
    <w:tblStylePr w:type="firstRow">
      <w:rPr>
        <w:b/>
        <w:color w:val="5d1955" w:themeColor="accent5" w:themeShade="95"/>
        <w:sz w:val="22"/>
      </w:rPr>
      <w:tblPr/>
      <w:tcPr>
        <w:tcBorders>
          <w:top w:val="none" w:color="auto" w:sz="0" w:space="0"/>
          <w:left w:val="none" w:color="auto" w:sz="0" w:space="0"/>
          <w:bottom w:val="single" w:color="A02B93" w:themeColor="accent5" w:sz="4" w:space="0"/>
          <w:right w:val="none" w:color="auto" w:sz="0" w:space="0"/>
        </w:tcBorders>
        <w:shd w:val="clear" w:color="FFFFFF" w:fill="FFFFFF" w:themeFill="light1"/>
      </w:tcPr>
    </w:tblStylePr>
    <w:tblStylePr w:type="lastRow">
      <w:rPr>
        <w:b/>
        <w:color w:val="5d1955" w:themeColor="accent5" w:themeShade="95"/>
        <w:sz w:val="22"/>
      </w:rPr>
      <w:tblPr/>
      <w:tcPr>
        <w:tcBorders>
          <w:top w:val="single" w:color="A02B93"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5d1955" w:themeColor="accent5" w:themeShade="95"/>
        <w:sz w:val="22"/>
      </w:rPr>
      <w:tblPr/>
      <w:tcPr>
        <w:tcBorders>
          <w:top w:val="none" w:color="auto" w:sz="0" w:space="0"/>
          <w:left w:val="none" w:color="auto" w:sz="0" w:space="0"/>
          <w:bottom w:val="none" w:color="auto" w:sz="0" w:space="0"/>
          <w:right w:val="single" w:color="A02B93" w:themeColor="accent5" w:sz="4" w:space="0"/>
        </w:tcBorders>
        <w:shd w:val="clear" w:color="FFFFFF" w:fill="auto"/>
      </w:tcPr>
    </w:tblStylePr>
    <w:tblStylePr w:type="lastCol">
      <w:rPr>
        <w:i/>
        <w:color w:val="5d1955" w:themeColor="accent5" w:themeShade="95"/>
        <w:sz w:val="22"/>
      </w:rPr>
      <w:tblPr/>
      <w:tcPr>
        <w:tcBorders>
          <w:top w:val="none" w:color="auto" w:sz="0" w:space="0"/>
          <w:left w:val="single" w:color="A02B93" w:themeColor="accent5" w:sz="4" w:space="0"/>
          <w:bottom w:val="none" w:color="auto" w:sz="0" w:space="0"/>
          <w:right w:val="none" w:color="auto" w:sz="0" w:space="0"/>
        </w:tcBorders>
        <w:shd w:val="clear" w:color="FFFFFF" w:fill="auto"/>
      </w:tc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Pr/>
    </w:tblStylePr>
  </w:style>
  <w:style w:type="table" w:styleId="GridTable7Colorful-Accent6">
    <w:name w:val="Grid Table 7 Colorful Accent 6"/>
    <w:basedOn w:val="TableNormal"/>
    <w:uiPriority w:val="99"/>
    <w:tblPr>
      <w:tblStyleRowBandSize w:val="1"/>
      <w:tblStyleColBandSize w:val="1"/>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CellMar>
        <w:top w:w="0" w:type="dxa"/>
        <w:left w:w="108" w:type="dxa"/>
        <w:bottom w:w="0" w:type="dxa"/>
        <w:right w:w="108" w:type="dxa"/>
      </w:tblCellMar>
    </w:tblPr>
    <w:tblStylePr w:type="firstRow">
      <w:rPr>
        <w:b/>
        <w:color w:val="2d611b" w:themeColor="accent6" w:themeShade="95"/>
        <w:sz w:val="22"/>
      </w:rPr>
      <w:tblPr/>
      <w:tcPr>
        <w:tcBorders>
          <w:top w:val="none" w:color="auto" w:sz="0" w:space="0"/>
          <w:left w:val="none" w:color="auto" w:sz="0" w:space="0"/>
          <w:bottom w:val="single" w:color="4EA72E" w:themeColor="accent6" w:sz="4" w:space="0"/>
          <w:right w:val="none" w:color="auto" w:sz="0" w:space="0"/>
        </w:tcBorders>
        <w:shd w:val="clear" w:color="FFFFFF" w:fill="FFFFFF" w:themeFill="light1"/>
      </w:tcPr>
    </w:tblStylePr>
    <w:tblStylePr w:type="lastRow">
      <w:rPr>
        <w:b/>
        <w:color w:val="2d611b" w:themeColor="accent6" w:themeShade="95"/>
        <w:sz w:val="22"/>
      </w:rPr>
      <w:tblPr/>
      <w:tcPr>
        <w:tcBorders>
          <w:top w:val="single" w:color="4EA72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d611b" w:themeColor="accent6" w:themeShade="95"/>
        <w:sz w:val="22"/>
      </w:rPr>
      <w:tblPr/>
      <w:tcPr>
        <w:tcBorders>
          <w:top w:val="none" w:color="auto" w:sz="0" w:space="0"/>
          <w:left w:val="none" w:color="auto" w:sz="0" w:space="0"/>
          <w:bottom w:val="none" w:color="auto" w:sz="0" w:space="0"/>
          <w:right w:val="single" w:color="4EA72E" w:themeColor="accent6" w:sz="4" w:space="0"/>
        </w:tcBorders>
        <w:shd w:val="clear" w:color="FFFFFF" w:fill="auto"/>
      </w:tcPr>
    </w:tblStylePr>
    <w:tblStylePr w:type="lastCol">
      <w:rPr>
        <w:i/>
        <w:color w:val="2d611b" w:themeColor="accent6" w:themeShade="95"/>
        <w:sz w:val="22"/>
      </w:rPr>
      <w:tblPr/>
      <w:tcPr>
        <w:tcBorders>
          <w:top w:val="none" w:color="auto" w:sz="0" w:space="0"/>
          <w:left w:val="single" w:color="4EA72E" w:themeColor="accent6" w:sz="4" w:space="0"/>
          <w:bottom w:val="none" w:color="auto" w:sz="0" w:space="0"/>
          <w:right w:val="none" w:color="auto" w:sz="0" w:space="0"/>
        </w:tcBorders>
        <w:shd w:val="clear" w:color="FFFFFF" w:fill="auto"/>
      </w:tcPr>
    </w:tblStylePr>
    <w:tblStylePr w:type="band1Vert">
      <w:tblPr/>
      <w:tcPr>
        <w:shd w:val="clear" w:color="D8F2CF" w:fill="D8F2CF" w:themeFill="accent6" w:themeFillTint="34"/>
      </w:tcPr>
    </w:tblStylePr>
    <w:tblStylePr w:type="band1Horz">
      <w:rPr>
        <w:color w:val="2d611b" w:themeColor="accent6" w:themeShade="95"/>
        <w:sz w:val="22"/>
      </w:rPr>
      <w:tblPr/>
      <w:tcPr>
        <w:shd w:val="clear" w:color="D8F2CF" w:fill="D8F2CF" w:themeFill="accent6" w:themeFillTint="34"/>
      </w:tcPr>
    </w:tblStylePr>
    <w:tblStylePr w:type="band2Horz">
      <w:rPr>
        <w:color w:val="2d611b" w:themeColor="accent6" w:themeShade="95"/>
        <w:sz w:val="22"/>
      </w:rPr>
      <w:tblPr/>
    </w:tblStylePr>
  </w:style>
  <w:style w:type="table" w:styleId="ListTable1Light">
    <w:name w:val="List Table 1 Light"/>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ListTable1Light-Accent1">
    <w:name w:val="List Table 1 Light Accent 1"/>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156082" w:themeColor="accent1" w:sz="4" w:space="0"/>
          <w:right w:val="none" w:color="000000" w:sz="4" w:space="0"/>
        </w:tcBorders>
      </w:tcPr>
    </w:tblStylePr>
    <w:tblStylePr w:type="lastRow">
      <w:rPr>
        <w:b/>
      </w:rPr>
      <w:tblPr/>
      <w:tcPr>
        <w:tcBorders>
          <w:top w:val="single" w:color="156082"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1DEF2" w:fill="B1DEF2" w:themeFill="accent1" w:themeFillTint="40"/>
      </w:tcPr>
    </w:tblStylePr>
    <w:tblStylePr w:type="band1Horz">
      <w:tblPr/>
      <w:tcPr>
        <w:shd w:val="clear" w:color="B1DEF2" w:fill="B1DEF2" w:themeFill="accent1" w:themeFillTint="40"/>
      </w:tcPr>
    </w:tblStylePr>
  </w:style>
  <w:style w:type="table" w:styleId="ListTable1Light-Accent2">
    <w:name w:val="List Table 1 Light Accent 2"/>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E97132" w:themeColor="accent2" w:sz="4" w:space="0"/>
          <w:right w:val="none" w:color="000000" w:sz="4" w:space="0"/>
        </w:tcBorders>
      </w:tcPr>
    </w:tblStylePr>
    <w:tblStylePr w:type="lastRow">
      <w:rPr>
        <w:b/>
      </w:rPr>
      <w:tblPr/>
      <w:tcPr>
        <w:tcBorders>
          <w:top w:val="single" w:color="E97132"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9DBCB" w:fill="F9DBCB" w:themeFill="accent2" w:themeFillTint="40"/>
      </w:tcPr>
    </w:tblStylePr>
    <w:tblStylePr w:type="band1Horz">
      <w:tblPr/>
      <w:tcPr>
        <w:shd w:val="clear" w:color="F9DBCB" w:fill="F9DBCB" w:themeFill="accent2" w:themeFillTint="40"/>
      </w:tcPr>
    </w:tblStylePr>
  </w:style>
  <w:style w:type="table" w:styleId="ListTable1Light-Accent3">
    <w:name w:val="List Table 1 Light Accent 3"/>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196B24" w:themeColor="accent3" w:sz="4" w:space="0"/>
          <w:right w:val="none" w:color="000000" w:sz="4" w:space="0"/>
        </w:tcBorders>
      </w:tcPr>
    </w:tblStylePr>
    <w:tblStylePr w:type="lastRow">
      <w:rPr>
        <w:b/>
      </w:rPr>
      <w:tblPr/>
      <w:tcPr>
        <w:tcBorders>
          <w:top w:val="single" w:color="196B24"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2EDB9" w:fill="B2EDB9" w:themeFill="accent3" w:themeFillTint="40"/>
      </w:tcPr>
    </w:tblStylePr>
    <w:tblStylePr w:type="band1Horz">
      <w:tblPr/>
      <w:tcPr>
        <w:shd w:val="clear" w:color="B2EDB9" w:fill="B2EDB9" w:themeFill="accent3" w:themeFillTint="40"/>
      </w:tcPr>
    </w:tblStylePr>
  </w:style>
  <w:style w:type="table" w:styleId="ListTable1Light-Accent4">
    <w:name w:val="List Table 1 Light Accent 4"/>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0F9ED5" w:themeColor="accent4" w:sz="4" w:space="0"/>
          <w:right w:val="none" w:color="000000" w:sz="4" w:space="0"/>
        </w:tcBorders>
      </w:tcPr>
    </w:tblStylePr>
    <w:tblStylePr w:type="lastRow">
      <w:rPr>
        <w:b/>
      </w:rPr>
      <w:tblPr/>
      <w:tcPr>
        <w:tcBorders>
          <w:top w:val="single" w:color="0F9ED5"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CE9FA" w:fill="BCE9FA" w:themeFill="accent4" w:themeFillTint="40"/>
      </w:tcPr>
    </w:tblStylePr>
    <w:tblStylePr w:type="band1Horz">
      <w:tblPr/>
      <w:tcPr>
        <w:shd w:val="clear" w:color="BCE9FA" w:fill="BCE9FA" w:themeFill="accent4" w:themeFillTint="40"/>
      </w:tcPr>
    </w:tblStylePr>
  </w:style>
  <w:style w:type="table" w:styleId="ListTable1Light-Accent5">
    <w:name w:val="List Table 1 Light Accent 5"/>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A02B93" w:themeColor="accent5" w:sz="4" w:space="0"/>
          <w:right w:val="none" w:color="000000" w:sz="4" w:space="0"/>
        </w:tcBorders>
      </w:tcPr>
    </w:tblStylePr>
    <w:tblStylePr w:type="lastRow">
      <w:rPr>
        <w:b/>
      </w:rPr>
      <w:tblPr/>
      <w:tcPr>
        <w:tcBorders>
          <w:top w:val="single" w:color="A02B93"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EC2E9" w:fill="EEC2E9" w:themeFill="accent5" w:themeFillTint="40"/>
      </w:tcPr>
    </w:tblStylePr>
    <w:tblStylePr w:type="band1Horz">
      <w:tblPr/>
      <w:tcPr>
        <w:shd w:val="clear" w:color="EEC2E9" w:fill="EEC2E9" w:themeFill="accent5" w:themeFillTint="40"/>
      </w:tcPr>
    </w:tblStylePr>
  </w:style>
  <w:style w:type="table" w:styleId="ListTable1Light-Accent6">
    <w:name w:val="List Table 1 Light Accent 6"/>
    <w:basedOn w:val="TableNormal"/>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4EA72E" w:themeColor="accent6" w:sz="4" w:space="0"/>
          <w:right w:val="none" w:color="000000" w:sz="4" w:space="0"/>
        </w:tcBorders>
      </w:tcPr>
    </w:tblStylePr>
    <w:tblStylePr w:type="lastRow">
      <w:rPr>
        <w:b/>
      </w:rPr>
      <w:tblPr/>
      <w:tcPr>
        <w:tcBorders>
          <w:top w:val="single" w:color="4EA72E"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EFC4" w:fill="CFEFC4" w:themeFill="accent6" w:themeFillTint="40"/>
      </w:tcPr>
    </w:tblStylePr>
    <w:tblStylePr w:type="band1Horz">
      <w:tblPr/>
      <w:tcPr>
        <w:shd w:val="clear" w:color="CFEFC4" w:fill="CFEFC4" w:themeFill="accent6" w:themeFillTint="40"/>
      </w:tcPr>
    </w:tblStylePr>
  </w:style>
  <w:style w:type="table" w:styleId="ListTable2">
    <w:name w:val="List Table 2"/>
    <w:basedOn w:val="TableNormal"/>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108" w:type="dxa"/>
        <w:bottom w:w="0" w:type="dxa"/>
        <w:right w:w="108" w:type="dxa"/>
      </w:tblCellMar>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color="50B4E2" w:themeColor="accent1" w:themeTint="90" w:sz="4" w:space="0"/>
        <w:bottom w:val="single" w:color="50B4E2" w:themeColor="accent1" w:themeTint="90" w:sz="4" w:space="0"/>
        <w:insideH w:val="single" w:color="50B4E2" w:themeColor="accent1" w:themeTint="90" w:sz="4" w:space="0"/>
      </w:tblBorders>
      <w:tblCellMar>
        <w:top w:w="0" w:type="dxa"/>
        <w:left w:w="108" w:type="dxa"/>
        <w:bottom w:w="0" w:type="dxa"/>
        <w:right w:w="108" w:type="dxa"/>
      </w:tblCellMar>
    </w:tblPr>
    <w:tblStylePr w:type="firstRow">
      <w:rPr>
        <w:b/>
        <w:sz w:val="22"/>
      </w:rPr>
      <w:tblPr/>
      <w:tcPr>
        <w:tcBorders>
          <w:top w:val="single" w:color="156082" w:themeColor="accent1" w:sz="4" w:space="0"/>
          <w:left w:val="none" w:color="000000" w:sz="4" w:space="0"/>
          <w:bottom w:val="single" w:color="156082" w:themeColor="accent1" w:sz="4" w:space="0"/>
          <w:right w:val="none" w:color="000000" w:sz="4" w:space="0"/>
        </w:tcBorders>
      </w:tcPr>
    </w:tblStylePr>
    <w:tblStylePr w:type="lastRow">
      <w:rPr>
        <w:b/>
        <w:sz w:val="22"/>
      </w:rPr>
      <w:tblPr/>
      <w:tcPr>
        <w:tcBorders>
          <w:top w:val="single" w:color="156082" w:themeColor="accent1" w:sz="4" w:space="0"/>
          <w:left w:val="none" w:color="000000" w:sz="4" w:space="0"/>
          <w:bottom w:val="single" w:color="156082"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styleId="ListTable2-Accent2">
    <w:name w:val="List Table 2 Accent 2"/>
    <w:basedOn w:val="TableNormal"/>
    <w:uiPriority w:val="99"/>
    <w:tblPr>
      <w:tblStyleRowBandSize w:val="1"/>
      <w:tblStyleColBandSize w:val="1"/>
      <w:tblBorders>
        <w:top w:val="single" w:color="F2AE8B" w:themeColor="accent2" w:themeTint="90" w:sz="4" w:space="0"/>
        <w:bottom w:val="single" w:color="F2AE8B" w:themeColor="accent2" w:themeTint="90" w:sz="4" w:space="0"/>
        <w:insideH w:val="single" w:color="F2AE8B" w:themeColor="accent2" w:themeTint="90" w:sz="4" w:space="0"/>
      </w:tblBorders>
      <w:tblCellMar>
        <w:top w:w="0" w:type="dxa"/>
        <w:left w:w="108" w:type="dxa"/>
        <w:bottom w:w="0" w:type="dxa"/>
        <w:right w:w="108" w:type="dxa"/>
      </w:tblCellMar>
    </w:tblPr>
    <w:tblStylePr w:type="firstRow">
      <w:rPr>
        <w:b/>
        <w:sz w:val="22"/>
      </w:rPr>
      <w:tblPr/>
      <w:tcPr>
        <w:tcBorders>
          <w:top w:val="single" w:color="E97132" w:themeColor="accent2" w:sz="4" w:space="0"/>
          <w:left w:val="none" w:color="000000" w:sz="4" w:space="0"/>
          <w:bottom w:val="single" w:color="E97132" w:themeColor="accent2" w:sz="4" w:space="0"/>
          <w:right w:val="none" w:color="000000" w:sz="4" w:space="0"/>
        </w:tcBorders>
      </w:tcPr>
    </w:tblStylePr>
    <w:tblStylePr w:type="lastRow">
      <w:rPr>
        <w:b/>
        <w:sz w:val="22"/>
      </w:rPr>
      <w:tblPr/>
      <w:tcPr>
        <w:tcBorders>
          <w:top w:val="single" w:color="E97132" w:themeColor="accent2" w:sz="4" w:space="0"/>
          <w:left w:val="none" w:color="000000" w:sz="4" w:space="0"/>
          <w:bottom w:val="single" w:color="E97132"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styleId="ListTable2-Accent3">
    <w:name w:val="List Table 2 Accent 3"/>
    <w:basedOn w:val="TableNormal"/>
    <w:uiPriority w:val="99"/>
    <w:tblPr>
      <w:tblStyleRowBandSize w:val="1"/>
      <w:tblStyleColBandSize w:val="1"/>
      <w:tblBorders>
        <w:top w:val="single" w:color="51D663" w:themeColor="accent3" w:themeTint="90" w:sz="4" w:space="0"/>
        <w:bottom w:val="single" w:color="51D663" w:themeColor="accent3" w:themeTint="90" w:sz="4" w:space="0"/>
        <w:insideH w:val="single" w:color="51D663" w:themeColor="accent3" w:themeTint="90" w:sz="4" w:space="0"/>
      </w:tblBorders>
      <w:tblCellMar>
        <w:top w:w="0" w:type="dxa"/>
        <w:left w:w="108" w:type="dxa"/>
        <w:bottom w:w="0" w:type="dxa"/>
        <w:right w:w="108" w:type="dxa"/>
      </w:tblCellMar>
    </w:tblPr>
    <w:tblStylePr w:type="firstRow">
      <w:rPr>
        <w:b/>
        <w:sz w:val="22"/>
      </w:rPr>
      <w:tblPr/>
      <w:tcPr>
        <w:tcBorders>
          <w:top w:val="single" w:color="196B24" w:themeColor="accent3" w:sz="4" w:space="0"/>
          <w:left w:val="none" w:color="000000" w:sz="4" w:space="0"/>
          <w:bottom w:val="single" w:color="196B24" w:themeColor="accent3" w:sz="4" w:space="0"/>
          <w:right w:val="none" w:color="000000" w:sz="4" w:space="0"/>
        </w:tcBorders>
      </w:tcPr>
    </w:tblStylePr>
    <w:tblStylePr w:type="lastRow">
      <w:rPr>
        <w:b/>
        <w:sz w:val="22"/>
      </w:rPr>
      <w:tblPr/>
      <w:tcPr>
        <w:tcBorders>
          <w:top w:val="single" w:color="196B24" w:themeColor="accent3" w:sz="4" w:space="0"/>
          <w:left w:val="none" w:color="000000" w:sz="4" w:space="0"/>
          <w:bottom w:val="single" w:color="196B24"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styleId="ListTable2-Accent4">
    <w:name w:val="List Table 2 Accent 4"/>
    <w:basedOn w:val="TableNormal"/>
    <w:uiPriority w:val="99"/>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CellMar>
        <w:top w:w="0" w:type="dxa"/>
        <w:left w:w="108" w:type="dxa"/>
        <w:bottom w:w="0" w:type="dxa"/>
        <w:right w:w="108" w:type="dxa"/>
      </w:tblCellMar>
    </w:tblPr>
    <w:tblStylePr w:type="firstRow">
      <w:rPr>
        <w:b/>
        <w:sz w:val="22"/>
      </w:rPr>
      <w:tblPr/>
      <w:tcPr>
        <w:tcBorders>
          <w:top w:val="single" w:color="0F9ED5" w:themeColor="accent4" w:sz="4" w:space="0"/>
          <w:left w:val="none" w:color="000000" w:sz="4" w:space="0"/>
          <w:bottom w:val="single" w:color="0F9ED5" w:themeColor="accent4" w:sz="4" w:space="0"/>
          <w:right w:val="none" w:color="000000" w:sz="4" w:space="0"/>
        </w:tcBorders>
      </w:tcPr>
    </w:tblStylePr>
    <w:tblStylePr w:type="lastRow">
      <w:rPr>
        <w:b/>
        <w:sz w:val="22"/>
      </w:rPr>
      <w:tblPr/>
      <w:tcPr>
        <w:tcBorders>
          <w:top w:val="single" w:color="0F9ED5" w:themeColor="accent4" w:sz="4" w:space="0"/>
          <w:left w:val="none" w:color="000000" w:sz="4" w:space="0"/>
          <w:bottom w:val="single" w:color="0F9ED5"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styleId="ListTable2-Accent5">
    <w:name w:val="List Table 2 Accent 5"/>
    <w:basedOn w:val="TableNormal"/>
    <w:uiPriority w:val="99"/>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CellMar>
        <w:top w:w="0" w:type="dxa"/>
        <w:left w:w="108" w:type="dxa"/>
        <w:bottom w:w="0" w:type="dxa"/>
        <w:right w:w="108" w:type="dxa"/>
      </w:tblCellMar>
    </w:tblPr>
    <w:tblStylePr w:type="firstRow">
      <w:rPr>
        <w:b/>
        <w:sz w:val="22"/>
      </w:rPr>
      <w:tblPr/>
      <w:tcPr>
        <w:tcBorders>
          <w:top w:val="single" w:color="A02B93" w:themeColor="accent5" w:sz="4" w:space="0"/>
          <w:left w:val="none" w:color="000000" w:sz="4" w:space="0"/>
          <w:bottom w:val="single" w:color="A02B93" w:themeColor="accent5" w:sz="4" w:space="0"/>
          <w:right w:val="none" w:color="000000" w:sz="4" w:space="0"/>
        </w:tcBorders>
      </w:tcPr>
    </w:tblStylePr>
    <w:tblStylePr w:type="lastRow">
      <w:rPr>
        <w:b/>
        <w:sz w:val="22"/>
      </w:rPr>
      <w:tblPr/>
      <w:tcPr>
        <w:tcBorders>
          <w:top w:val="single" w:color="A02B93" w:themeColor="accent5" w:sz="4" w:space="0"/>
          <w:left w:val="none" w:color="000000" w:sz="4" w:space="0"/>
          <w:bottom w:val="single" w:color="A02B93"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styleId="ListTable2-Accent6">
    <w:name w:val="List Table 2 Accent 6"/>
    <w:basedOn w:val="TableNormal"/>
    <w:uiPriority w:val="99"/>
    <w:tblPr>
      <w:tblStyleRowBandSize w:val="1"/>
      <w:tblStyleColBandSize w:val="1"/>
      <w:tblBorders>
        <w:top w:val="single" w:color="94DA7B" w:themeColor="accent6" w:themeTint="90" w:sz="4" w:space="0"/>
        <w:bottom w:val="single" w:color="94DA7B" w:themeColor="accent6" w:themeTint="90" w:sz="4" w:space="0"/>
        <w:insideH w:val="single" w:color="94DA7B" w:themeColor="accent6" w:themeTint="90" w:sz="4" w:space="0"/>
      </w:tblBorders>
      <w:tblCellMar>
        <w:top w:w="0" w:type="dxa"/>
        <w:left w:w="108" w:type="dxa"/>
        <w:bottom w:w="0" w:type="dxa"/>
        <w:right w:w="108" w:type="dxa"/>
      </w:tblCellMar>
    </w:tblPr>
    <w:tblStylePr w:type="firstRow">
      <w:rPr>
        <w:b/>
        <w:sz w:val="22"/>
      </w:rPr>
      <w:tblPr/>
      <w:tcPr>
        <w:tcBorders>
          <w:top w:val="single" w:color="4EA72E" w:themeColor="accent6" w:sz="4" w:space="0"/>
          <w:left w:val="none" w:color="000000" w:sz="4" w:space="0"/>
          <w:bottom w:val="single" w:color="4EA72E" w:themeColor="accent6" w:sz="4" w:space="0"/>
          <w:right w:val="none" w:color="000000" w:sz="4" w:space="0"/>
        </w:tcBorders>
      </w:tcPr>
    </w:tblStylePr>
    <w:tblStylePr w:type="lastRow">
      <w:rPr>
        <w:b/>
        <w:sz w:val="22"/>
      </w:rPr>
      <w:tblPr/>
      <w:tcPr>
        <w:tcBorders>
          <w:top w:val="single" w:color="4EA72E" w:themeColor="accent6" w:sz="4" w:space="0"/>
          <w:left w:val="none" w:color="000000" w:sz="4" w:space="0"/>
          <w:bottom w:val="single" w:color="4EA72E"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styleId="ListTable3">
    <w:name w:val="List Table 3"/>
    <w:basedOn w:val="TableNormal"/>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styleId="ListTable3-Accent1">
    <w:name w:val="List Table 3 Accent 1"/>
    <w:basedOn w:val="TableNormal"/>
    <w:uiPriority w:val="99"/>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CellMar>
        <w:top w:w="0" w:type="dxa"/>
        <w:left w:w="108" w:type="dxa"/>
        <w:bottom w:w="0" w:type="dxa"/>
        <w:right w:w="108" w:type="dxa"/>
      </w:tblCellMar>
    </w:tblPr>
    <w:tblStylePr w:type="firstRow">
      <w:rPr>
        <w:b/>
        <w:sz w:val="22"/>
      </w:rPr>
      <w:tblPr/>
      <w:tcPr>
        <w:shd w:val="clear" w:color="156082" w:fill="156082"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156082" w:themeColor="accent1" w:sz="4" w:space="0"/>
          <w:right w:val="single" w:color="156082" w:themeColor="accent1" w:sz="4" w:space="0"/>
        </w:tcBorders>
      </w:tcPr>
    </w:tblStylePr>
    <w:tblStylePr w:type="band1Horz">
      <w:rPr>
        <w:sz w:val="22"/>
      </w:rPr>
      <w:tblPr/>
      <w:tcPr>
        <w:tcBorders>
          <w:top w:val="single" w:color="156082" w:themeColor="accent1" w:sz="4" w:space="0"/>
          <w:bottom w:val="single" w:color="156082" w:themeColor="accent1" w:sz="4" w:space="0"/>
        </w:tcBorders>
      </w:tcPr>
    </w:tblStylePr>
  </w:style>
  <w:style w:type="table" w:styleId="ListTable3-Accent2">
    <w:name w:val="List Table 3 Accent 2"/>
    <w:basedOn w:val="TableNormal"/>
    <w:uiPriority w:val="99"/>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blBorders>
      <w:tblCellMar>
        <w:top w:w="0" w:type="dxa"/>
        <w:left w:w="108" w:type="dxa"/>
        <w:bottom w:w="0" w:type="dxa"/>
        <w:right w:w="108" w:type="dxa"/>
      </w:tblCellMar>
    </w:tblPr>
    <w:tblStylePr w:type="firstRow">
      <w:rPr>
        <w:b/>
        <w:sz w:val="22"/>
      </w:rPr>
      <w:tblPr/>
      <w:tcPr>
        <w:shd w:val="clear" w:color="F2AA85" w:fill="F2AA8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E97132" w:themeColor="accent2" w:sz="4" w:space="0"/>
          <w:right w:val="single" w:color="E97132" w:themeColor="accent2" w:sz="4" w:space="0"/>
        </w:tcBorders>
      </w:tcPr>
    </w:tblStylePr>
    <w:tblStylePr w:type="band1Horz">
      <w:rPr>
        <w:sz w:val="22"/>
      </w:rPr>
      <w:tblPr/>
      <w:tcPr>
        <w:tcBorders>
          <w:top w:val="single" w:color="E97132" w:themeColor="accent2" w:sz="4" w:space="0"/>
          <w:bottom w:val="single" w:color="E97132" w:themeColor="accent2" w:sz="4" w:space="0"/>
        </w:tcBorders>
      </w:tcPr>
    </w:tblStylePr>
  </w:style>
  <w:style w:type="table" w:styleId="ListTable3-Accent3">
    <w:name w:val="List Table 3 Accent 3"/>
    <w:basedOn w:val="TableNormal"/>
    <w:uiPriority w:val="99"/>
    <w:tblPr>
      <w:tblStyleRowBandSize w:val="1"/>
      <w:tblStyleColBandSize w:val="1"/>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CellMar>
        <w:top w:w="0" w:type="dxa"/>
        <w:left w:w="108" w:type="dxa"/>
        <w:bottom w:w="0" w:type="dxa"/>
        <w:right w:w="108" w:type="dxa"/>
      </w:tblCellMar>
    </w:tblPr>
    <w:tblStylePr w:type="firstRow">
      <w:rPr>
        <w:b/>
        <w:sz w:val="22"/>
      </w:rPr>
      <w:tblPr/>
      <w:tcPr>
        <w:shd w:val="clear" w:color="48D45B" w:fill="48D45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196B24" w:themeColor="accent3" w:sz="4" w:space="0"/>
          <w:right w:val="single" w:color="196B24" w:themeColor="accent3" w:sz="4" w:space="0"/>
        </w:tcBorders>
      </w:tcPr>
    </w:tblStylePr>
    <w:tblStylePr w:type="band1Horz">
      <w:rPr>
        <w:sz w:val="22"/>
      </w:rPr>
      <w:tblPr/>
      <w:tcPr>
        <w:tcBorders>
          <w:top w:val="single" w:color="196B24" w:themeColor="accent3" w:sz="4" w:space="0"/>
          <w:bottom w:val="single" w:color="196B24" w:themeColor="accent3" w:sz="4" w:space="0"/>
        </w:tcBorders>
      </w:tcPr>
    </w:tblStylePr>
  </w:style>
  <w:style w:type="table" w:styleId="ListTable3-Accent4">
    <w:name w:val="List Table 3 Accent 4"/>
    <w:basedOn w:val="TableNormal"/>
    <w:uiPriority w:val="99"/>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CellMar>
        <w:top w:w="0" w:type="dxa"/>
        <w:left w:w="108" w:type="dxa"/>
        <w:bottom w:w="0" w:type="dxa"/>
        <w:right w:w="108" w:type="dxa"/>
      </w:tblCellMar>
    </w:tblPr>
    <w:tblStylePr w:type="firstRow">
      <w:rPr>
        <w:b/>
        <w:sz w:val="22"/>
      </w:rPr>
      <w:tblPr/>
      <w:tcPr>
        <w:shd w:val="clear" w:color="5FCAF3" w:fill="5FCAF3"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F9ED5" w:themeColor="accent4" w:sz="4" w:space="0"/>
          <w:right w:val="single" w:color="0F9ED5" w:themeColor="accent4" w:sz="4" w:space="0"/>
        </w:tcBorders>
      </w:tcPr>
    </w:tblStylePr>
    <w:tblStylePr w:type="band1Horz">
      <w:rPr>
        <w:sz w:val="22"/>
      </w:rPr>
      <w:tblPr/>
      <w:tcPr>
        <w:tcBorders>
          <w:top w:val="single" w:color="0F9ED5" w:themeColor="accent4" w:sz="4" w:space="0"/>
          <w:bottom w:val="single" w:color="0F9ED5" w:themeColor="accent4" w:sz="4" w:space="0"/>
        </w:tcBorders>
      </w:tcPr>
    </w:tblStylePr>
  </w:style>
  <w:style w:type="table" w:styleId="ListTable3-Accent5">
    <w:name w:val="List Table 3 Accent 5"/>
    <w:basedOn w:val="TableNormal"/>
    <w:uiPriority w:val="99"/>
    <w:tblPr>
      <w:tblStyleRowBandSize w:val="1"/>
      <w:tblStyleColBandSize w:val="1"/>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CellMar>
        <w:top w:w="0" w:type="dxa"/>
        <w:left w:w="108" w:type="dxa"/>
        <w:bottom w:w="0" w:type="dxa"/>
        <w:right w:w="108" w:type="dxa"/>
      </w:tblCellMar>
    </w:tblPr>
    <w:tblStylePr w:type="firstRow">
      <w:rPr>
        <w:b/>
        <w:sz w:val="22"/>
      </w:rPr>
      <w:tblPr/>
      <w:tcPr>
        <w:shd w:val="clear" w:color="D76CCB" w:fill="D76CCB"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02B93" w:themeColor="accent5" w:sz="4" w:space="0"/>
          <w:right w:val="single" w:color="A02B93" w:themeColor="accent5" w:sz="4" w:space="0"/>
        </w:tcBorders>
      </w:tcPr>
    </w:tblStylePr>
    <w:tblStylePr w:type="band1Horz">
      <w:rPr>
        <w:sz w:val="22"/>
      </w:rPr>
      <w:tblPr/>
      <w:tcPr>
        <w:tcBorders>
          <w:top w:val="single" w:color="A02B93" w:themeColor="accent5" w:sz="4" w:space="0"/>
          <w:bottom w:val="single" w:color="A02B93" w:themeColor="accent5" w:sz="4" w:space="0"/>
        </w:tcBorders>
      </w:tcPr>
    </w:tblStylePr>
  </w:style>
  <w:style w:type="table" w:styleId="ListTable3-Accent6">
    <w:name w:val="List Table 3 Accent 6"/>
    <w:basedOn w:val="TableNormal"/>
    <w:uiPriority w:val="99"/>
    <w:tblPr>
      <w:tblStyleRowBandSize w:val="1"/>
      <w:tblStyleColBandSize w:val="1"/>
      <w:tblBorders>
        <w:top w:val="single" w:color="8ED873" w:themeColor="accent6" w:themeTint="98" w:sz="4" w:space="0"/>
        <w:left w:val="single" w:color="8ED873" w:themeColor="accent6" w:themeTint="98" w:sz="4" w:space="0"/>
        <w:bottom w:val="single" w:color="8ED873" w:themeColor="accent6" w:themeTint="98" w:sz="4" w:space="0"/>
        <w:right w:val="single" w:color="8ED873" w:themeColor="accent6" w:themeTint="98" w:sz="4" w:space="0"/>
      </w:tblBorders>
      <w:tblCellMar>
        <w:top w:w="0" w:type="dxa"/>
        <w:left w:w="108" w:type="dxa"/>
        <w:bottom w:w="0" w:type="dxa"/>
        <w:right w:w="108" w:type="dxa"/>
      </w:tblCellMar>
    </w:tblPr>
    <w:tblStylePr w:type="firstRow">
      <w:rPr>
        <w:b/>
        <w:sz w:val="22"/>
      </w:rPr>
      <w:tblPr/>
      <w:tcPr>
        <w:shd w:val="clear" w:color="8ED873" w:fill="8ED873"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EA72E" w:themeColor="accent6" w:sz="4" w:space="0"/>
          <w:right w:val="single" w:color="4EA72E" w:themeColor="accent6" w:sz="4" w:space="0"/>
        </w:tcBorders>
      </w:tcPr>
    </w:tblStylePr>
    <w:tblStylePr w:type="band1Horz">
      <w:rPr>
        <w:sz w:val="22"/>
      </w:rPr>
      <w:tblPr/>
      <w:tcPr>
        <w:tcBorders>
          <w:top w:val="single" w:color="4EA72E" w:themeColor="accent6" w:sz="4" w:space="0"/>
          <w:bottom w:val="single" w:color="4EA72E" w:themeColor="accent6" w:sz="4" w:space="0"/>
        </w:tcBorders>
      </w:tcPr>
    </w:tblStylePr>
  </w:style>
  <w:style w:type="table" w:styleId="ListTable4">
    <w:name w:val="List Table 4"/>
    <w:basedOn w:val="TableNormal"/>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tblBorders>
      <w:tblCellMar>
        <w:top w:w="0" w:type="dxa"/>
        <w:left w:w="108" w:type="dxa"/>
        <w:bottom w:w="0" w:type="dxa"/>
        <w:right w:w="108" w:type="dxa"/>
      </w:tblCellMar>
    </w:tblPr>
    <w:tblStylePr w:type="firstRow">
      <w:rPr>
        <w:b/>
        <w:sz w:val="22"/>
      </w:rPr>
      <w:tblPr/>
      <w:tcPr>
        <w:shd w:val="clear" w:color="156082" w:fill="156082"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styleId="ListTable4-Accent2">
    <w:name w:val="List Table 4 Accent 2"/>
    <w:basedOn w:val="TableNormal"/>
    <w:uiPriority w:val="99"/>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CellMar>
        <w:top w:w="0" w:type="dxa"/>
        <w:left w:w="108" w:type="dxa"/>
        <w:bottom w:w="0" w:type="dxa"/>
        <w:right w:w="108" w:type="dxa"/>
      </w:tblCellMar>
    </w:tblPr>
    <w:tblStylePr w:type="firstRow">
      <w:rPr>
        <w:b/>
        <w:sz w:val="22"/>
      </w:rPr>
      <w:tblPr/>
      <w:tcPr>
        <w:shd w:val="clear" w:color="E97132" w:fill="E97132"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styleId="ListTable4-Accent3">
    <w:name w:val="List Table 4 Accent 3"/>
    <w:basedOn w:val="TableNormal"/>
    <w:uiPriority w:val="99"/>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CellMar>
        <w:top w:w="0" w:type="dxa"/>
        <w:left w:w="108" w:type="dxa"/>
        <w:bottom w:w="0" w:type="dxa"/>
        <w:right w:w="108" w:type="dxa"/>
      </w:tblCellMar>
    </w:tblPr>
    <w:tblStylePr w:type="firstRow">
      <w:rPr>
        <w:b/>
        <w:sz w:val="22"/>
      </w:rPr>
      <w:tblPr/>
      <w:tcPr>
        <w:shd w:val="clear" w:color="196B24" w:fill="196B24"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styleId="ListTable4-Accent4">
    <w:name w:val="List Table 4 Accent 4"/>
    <w:basedOn w:val="TableNormal"/>
    <w:uiPriority w:val="99"/>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CellMar>
        <w:top w:w="0" w:type="dxa"/>
        <w:left w:w="108" w:type="dxa"/>
        <w:bottom w:w="0" w:type="dxa"/>
        <w:right w:w="108" w:type="dxa"/>
      </w:tblCellMar>
    </w:tblPr>
    <w:tblStylePr w:type="firstRow">
      <w:rPr>
        <w:b/>
        <w:sz w:val="22"/>
      </w:rPr>
      <w:tblPr/>
      <w:tcPr>
        <w:shd w:val="clear" w:color="0F9ED5" w:fill="0F9ED5"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styleId="ListTable4-Accent5">
    <w:name w:val="List Table 4 Accent 5"/>
    <w:basedOn w:val="TableNormal"/>
    <w:uiPriority w:val="99"/>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CellMar>
        <w:top w:w="0" w:type="dxa"/>
        <w:left w:w="108" w:type="dxa"/>
        <w:bottom w:w="0" w:type="dxa"/>
        <w:right w:w="108" w:type="dxa"/>
      </w:tblCellMar>
    </w:tblPr>
    <w:tblStylePr w:type="firstRow">
      <w:rPr>
        <w:b/>
        <w:sz w:val="22"/>
      </w:rPr>
      <w:tblPr/>
      <w:tcPr>
        <w:shd w:val="clear" w:color="A02B93" w:fill="A02B93"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styleId="ListTable4-Accent6">
    <w:name w:val="List Table 4 Accent 6"/>
    <w:basedOn w:val="TableNormal"/>
    <w:uiPriority w:val="99"/>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CellMar>
        <w:top w:w="0" w:type="dxa"/>
        <w:left w:w="108" w:type="dxa"/>
        <w:bottom w:w="0" w:type="dxa"/>
        <w:right w:w="108" w:type="dxa"/>
      </w:tblCellMar>
    </w:tblPr>
    <w:tblStylePr w:type="firstRow">
      <w:rPr>
        <w:b/>
        <w:sz w:val="22"/>
      </w:rPr>
      <w:tblPr/>
      <w:tcPr>
        <w:shd w:val="clear" w:color="4EA72E" w:fill="4EA72E"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styleId="ListTable5Dark">
    <w:name w:val="List Table 5 Dark"/>
    <w:basedOn w:val="TableNormal"/>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108" w:type="dxa"/>
        <w:bottom w:w="0" w:type="dxa"/>
        <w:right w:w="108" w:type="dxa"/>
      </w:tblCellMar>
    </w:tblPr>
    <w:tblStylePr w:type="firstRow">
      <w:rPr>
        <w:b/>
        <w:color w:val="ffffff"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tblCellMar>
        <w:top w:w="0" w:type="dxa"/>
        <w:left w:w="108" w:type="dxa"/>
        <w:bottom w:w="0" w:type="dxa"/>
        <w:right w:w="108" w:type="dxa"/>
      </w:tblCellMar>
    </w:tblPr>
    <w:tblStylePr w:type="firstRow">
      <w:rPr>
        <w:b/>
        <w:color w:val="ffffff" w:themeColor="light1"/>
        <w:sz w:val="22"/>
      </w:rPr>
      <w:tblPr/>
      <w:tcPr>
        <w:tcBorders>
          <w:top w:val="single" w:color="156082" w:themeColor="accent1" w:sz="32" w:space="0"/>
          <w:bottom w:val="single" w:color="FFFFFF" w:themeColor="light1" w:sz="12" w:space="0"/>
        </w:tcBorders>
        <w:shd w:val="clear" w:color="156082" w:fill="156082" w:themeFill="accent1"/>
      </w:tcPr>
    </w:tblStylePr>
    <w:tblStylePr w:type="lastRow">
      <w:rPr>
        <w:b/>
        <w:color w:val="ffffff" w:themeColor="light1"/>
        <w:sz w:val="22"/>
      </w:rPr>
      <w:tblPr/>
    </w:tblStylePr>
    <w:tblStylePr w:type="firstCol">
      <w:rPr>
        <w:b/>
        <w:color w:val="ffffff" w:themeColor="light1"/>
        <w:sz w:val="22"/>
      </w:rPr>
      <w:tblPr/>
      <w:tcPr>
        <w:tcBorders>
          <w:left w:val="single" w:color="156082" w:themeColor="accent1" w:sz="32" w:space="0"/>
          <w:right w:val="single" w:color="FFFFFF" w:themeColor="light1" w:sz="4" w:space="0"/>
        </w:tcBorders>
      </w:tcPr>
    </w:tblStylePr>
    <w:tblStylePr w:type="lastCol">
      <w:tblPr/>
      <w:tcPr>
        <w:tcBorders>
          <w:left w:val="single" w:color="FFFFFF" w:themeColor="light1" w:sz="4" w:space="0"/>
          <w:right w:val="single" w:color="156082" w:themeColor="accent1" w:sz="32" w:space="0"/>
        </w:tcBorders>
      </w:tcPr>
    </w:tblStylePr>
    <w:tblStylePr w:type="band1Vert">
      <w:tblPr/>
      <w:tcPr>
        <w:tcBorders>
          <w:left w:val="single" w:color="FFFFFF" w:themeColor="light1" w:sz="4" w:space="0"/>
          <w:right w:val="single" w:color="FFFFFF" w:themeColor="light1" w:sz="4" w:space="0"/>
        </w:tcBorders>
        <w:shd w:val="clear" w:color="156082" w:fill="156082"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156082" w:fill="156082" w:themeFill="accent1"/>
      </w:tcPr>
    </w:tblStylePr>
    <w:tblStylePr w:type="band2Horz">
      <w:tblPr/>
      <w:tcPr>
        <w:tcBorders>
          <w:top w:val="single" w:color="FFFFFF" w:themeColor="light1" w:sz="4" w:space="0"/>
          <w:bottom w:val="single" w:color="FFFFFF" w:themeColor="light1" w:sz="4" w:space="0"/>
        </w:tcBorders>
        <w:shd w:val="clear" w:color="156082" w:fill="156082" w:themeFill="accent1"/>
      </w:tcPr>
    </w:tblStylePr>
  </w:style>
  <w:style w:type="table" w:styleId="ListTable5Dark-Accent2">
    <w:name w:val="List Table 5 Dark Accent 2"/>
    <w:basedOn w:val="TableNormal"/>
    <w:uiPriority w:val="99"/>
    <w:tblPr>
      <w:tblStyleRowBandSize w:val="1"/>
      <w:tblStyleColBandSize w:val="1"/>
      <w:tblBorders>
        <w:top w:val="single" w:color="F2AA85" w:themeColor="accent2" w:themeTint="97" w:sz="32" w:space="0"/>
        <w:left w:val="single" w:color="F2AA85" w:themeColor="accent2" w:themeTint="97" w:sz="32" w:space="0"/>
        <w:bottom w:val="single" w:color="F2AA85" w:themeColor="accent2" w:themeTint="97" w:sz="32" w:space="0"/>
        <w:right w:val="single" w:color="F2AA85" w:themeColor="accent2" w:themeTint="97" w:sz="32" w:space="0"/>
      </w:tblBorders>
      <w:tblCellMar>
        <w:top w:w="0" w:type="dxa"/>
        <w:left w:w="108" w:type="dxa"/>
        <w:bottom w:w="0" w:type="dxa"/>
        <w:right w:w="108" w:type="dxa"/>
      </w:tblCellMar>
    </w:tblPr>
    <w:tblStylePr w:type="firstRow">
      <w:rPr>
        <w:b/>
        <w:color w:val="ffffff" w:themeColor="light1"/>
        <w:sz w:val="22"/>
      </w:rPr>
      <w:tblPr/>
      <w:tcPr>
        <w:tcBorders>
          <w:top w:val="single" w:color="E97132" w:themeColor="accent2" w:sz="32" w:space="0"/>
          <w:bottom w:val="single" w:color="FFFFFF" w:themeColor="light1" w:sz="12" w:space="0"/>
        </w:tcBorders>
        <w:shd w:val="clear" w:color="F2AA85" w:fill="F2AA8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E97132" w:themeColor="accent2" w:sz="32" w:space="0"/>
          <w:right w:val="single" w:color="FFFFFF" w:themeColor="light1" w:sz="4" w:space="0"/>
        </w:tcBorders>
      </w:tcPr>
    </w:tblStylePr>
    <w:tblStylePr w:type="lastCol">
      <w:tblPr/>
      <w:tcPr>
        <w:tcBorders>
          <w:left w:val="single" w:color="FFFFFF" w:themeColor="light1" w:sz="4" w:space="0"/>
          <w:right w:val="single" w:color="E97132" w:themeColor="accent2" w:sz="32" w:space="0"/>
        </w:tcBorders>
      </w:tcPr>
    </w:tblStylePr>
    <w:tblStylePr w:type="band1Vert">
      <w:tblPr/>
      <w:tcPr>
        <w:tcBorders>
          <w:left w:val="single" w:color="FFFFFF" w:themeColor="light1" w:sz="4" w:space="0"/>
          <w:right w:val="single" w:color="FFFFFF" w:themeColor="light1" w:sz="4" w:space="0"/>
        </w:tcBorders>
        <w:shd w:val="clear" w:color="F2AA85" w:fill="F2AA8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2AA85" w:fill="F2AA85" w:themeFill="accent2" w:themeFillTint="97"/>
      </w:tcPr>
    </w:tblStylePr>
    <w:tblStylePr w:type="band2Horz">
      <w:tblPr/>
      <w:tcPr>
        <w:tcBorders>
          <w:top w:val="single" w:color="FFFFFF" w:themeColor="light1" w:sz="4" w:space="0"/>
          <w:bottom w:val="single" w:color="FFFFFF" w:themeColor="light1" w:sz="4" w:space="0"/>
        </w:tcBorders>
        <w:shd w:val="clear" w:color="F2AA85" w:fill="F2AA8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196B24" w:themeColor="accent3" w:sz="32" w:space="0"/>
          <w:bottom w:val="single" w:color="FFFFFF" w:themeColor="light1" w:sz="12" w:space="0"/>
        </w:tcBorders>
        <w:shd w:val="clear" w:color="48D45B" w:fill="48D45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196B24" w:themeColor="accent3" w:sz="32" w:space="0"/>
          <w:right w:val="single" w:color="FFFFFF" w:themeColor="light1" w:sz="4" w:space="0"/>
        </w:tcBorders>
      </w:tcPr>
    </w:tblStylePr>
    <w:tblStylePr w:type="lastCol">
      <w:tblPr/>
      <w:tcPr>
        <w:tcBorders>
          <w:left w:val="single" w:color="FFFFFF" w:themeColor="light1" w:sz="4" w:space="0"/>
          <w:right w:val="single" w:color="196B24" w:themeColor="accent3" w:sz="32" w:space="0"/>
        </w:tcBorders>
      </w:tcPr>
    </w:tblStylePr>
    <w:tblStylePr w:type="band1Vert">
      <w:tblPr/>
      <w:tcPr>
        <w:tcBorders>
          <w:left w:val="single" w:color="FFFFFF" w:themeColor="light1" w:sz="4" w:space="0"/>
          <w:right w:val="single" w:color="FFFFFF" w:themeColor="light1" w:sz="4" w:space="0"/>
        </w:tcBorders>
        <w:shd w:val="clear" w:color="48D45B" w:fill="48D45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8D45B" w:fill="48D45B" w:themeFill="accent3" w:themeFillTint="98"/>
      </w:tcPr>
    </w:tblStylePr>
    <w:tblStylePr w:type="band2Horz">
      <w:tblPr/>
      <w:tcPr>
        <w:tcBorders>
          <w:top w:val="single" w:color="FFFFFF" w:themeColor="light1" w:sz="4" w:space="0"/>
          <w:bottom w:val="single" w:color="FFFFFF" w:themeColor="light1" w:sz="4" w:space="0"/>
        </w:tcBorders>
        <w:shd w:val="clear" w:color="48D45B" w:fill="48D45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0F9ED5" w:themeColor="accent4" w:sz="32" w:space="0"/>
          <w:bottom w:val="single" w:color="FFFFFF" w:themeColor="light1" w:sz="12" w:space="0"/>
        </w:tcBorders>
        <w:shd w:val="clear" w:color="5FCAF3" w:fill="5FCAF3"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0F9ED5" w:themeColor="accent4" w:sz="32" w:space="0"/>
          <w:right w:val="single" w:color="FFFFFF" w:themeColor="light1" w:sz="4" w:space="0"/>
        </w:tcBorders>
      </w:tcPr>
    </w:tblStylePr>
    <w:tblStylePr w:type="lastCol">
      <w:tblPr/>
      <w:tcPr>
        <w:tcBorders>
          <w:left w:val="single" w:color="FFFFFF" w:themeColor="light1" w:sz="4" w:space="0"/>
          <w:right w:val="single" w:color="0F9ED5" w:themeColor="accent4" w:sz="32" w:space="0"/>
        </w:tcBorders>
      </w:tcPr>
    </w:tblStylePr>
    <w:tblStylePr w:type="band1Vert">
      <w:tblPr/>
      <w:tcPr>
        <w:tcBorders>
          <w:left w:val="single" w:color="FFFFFF" w:themeColor="light1" w:sz="4" w:space="0"/>
          <w:right w:val="single" w:color="FFFFFF" w:themeColor="light1" w:sz="4" w:space="0"/>
        </w:tcBorders>
        <w:shd w:val="clear" w:color="5FCAF3" w:fill="5FCAF3"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FCAF3" w:fill="5FCAF3" w:themeFill="accent4" w:themeFillTint="9a"/>
      </w:tcPr>
    </w:tblStylePr>
    <w:tblStylePr w:type="band2Horz">
      <w:tblPr/>
      <w:tcPr>
        <w:tcBorders>
          <w:top w:val="single" w:color="FFFFFF" w:themeColor="light1" w:sz="4" w:space="0"/>
          <w:bottom w:val="single" w:color="FFFFFF" w:themeColor="light1" w:sz="4" w:space="0"/>
        </w:tcBorders>
        <w:shd w:val="clear" w:color="5FCAF3" w:fill="5FCAF3"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A02B93" w:themeColor="accent5" w:sz="32" w:space="0"/>
          <w:bottom w:val="single" w:color="FFFFFF" w:themeColor="light1" w:sz="12" w:space="0"/>
        </w:tcBorders>
        <w:shd w:val="clear" w:color="D76CCB" w:fill="D76CC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A02B93" w:themeColor="accent5" w:sz="32" w:space="0"/>
          <w:right w:val="single" w:color="FFFFFF" w:themeColor="light1" w:sz="4" w:space="0"/>
        </w:tcBorders>
      </w:tcPr>
    </w:tblStylePr>
    <w:tblStylePr w:type="lastCol">
      <w:tblPr/>
      <w:tcPr>
        <w:tcBorders>
          <w:left w:val="single" w:color="FFFFFF" w:themeColor="light1" w:sz="4" w:space="0"/>
          <w:right w:val="single" w:color="A02B93" w:themeColor="accent5" w:sz="32" w:space="0"/>
        </w:tcBorders>
      </w:tcPr>
    </w:tblStylePr>
    <w:tblStylePr w:type="band1Vert">
      <w:tblPr/>
      <w:tcPr>
        <w:tcBorders>
          <w:left w:val="single" w:color="FFFFFF" w:themeColor="light1" w:sz="4" w:space="0"/>
          <w:right w:val="single" w:color="FFFFFF" w:themeColor="light1" w:sz="4" w:space="0"/>
        </w:tcBorders>
        <w:shd w:val="clear" w:color="D76CCB" w:fill="D76CC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76CCB" w:fill="D76CCB" w:themeFill="accent5" w:themeFillTint="9a"/>
      </w:tcPr>
    </w:tblStylePr>
    <w:tblStylePr w:type="band2Horz">
      <w:tblPr/>
      <w:tcPr>
        <w:tcBorders>
          <w:top w:val="single" w:color="FFFFFF" w:themeColor="light1" w:sz="4" w:space="0"/>
          <w:bottom w:val="single" w:color="FFFFFF" w:themeColor="light1" w:sz="4" w:space="0"/>
        </w:tcBorders>
        <w:shd w:val="clear" w:color="D76CCB" w:fill="D76CC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color="8ED873" w:themeColor="accent6" w:themeTint="98" w:sz="32" w:space="0"/>
        <w:left w:val="single" w:color="8ED873" w:themeColor="accent6" w:themeTint="98" w:sz="32" w:space="0"/>
        <w:bottom w:val="single" w:color="8ED873" w:themeColor="accent6" w:themeTint="98" w:sz="32" w:space="0"/>
        <w:right w:val="single" w:color="8ED873" w:themeColor="accent6"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4EA72E" w:themeColor="accent6" w:sz="32" w:space="0"/>
          <w:bottom w:val="single" w:color="FFFFFF" w:themeColor="light1" w:sz="12" w:space="0"/>
        </w:tcBorders>
        <w:shd w:val="clear" w:color="8ED873" w:fill="8ED873"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4EA72E" w:themeColor="accent6" w:sz="32" w:space="0"/>
          <w:right w:val="single" w:color="FFFFFF" w:themeColor="light1" w:sz="4" w:space="0"/>
        </w:tcBorders>
      </w:tcPr>
    </w:tblStylePr>
    <w:tblStylePr w:type="lastCol">
      <w:tblPr/>
      <w:tcPr>
        <w:tcBorders>
          <w:left w:val="single" w:color="FFFFFF" w:themeColor="light1" w:sz="4" w:space="0"/>
          <w:right w:val="single" w:color="4EA72E" w:themeColor="accent6" w:sz="32" w:space="0"/>
        </w:tcBorders>
      </w:tcPr>
    </w:tblStylePr>
    <w:tblStylePr w:type="band1Vert">
      <w:tblPr/>
      <w:tcPr>
        <w:tcBorders>
          <w:left w:val="single" w:color="FFFFFF" w:themeColor="light1" w:sz="4" w:space="0"/>
          <w:right w:val="single" w:color="FFFFFF" w:themeColor="light1" w:sz="4" w:space="0"/>
        </w:tcBorders>
        <w:shd w:val="clear" w:color="8ED873" w:fill="8ED873"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ED873" w:fill="8ED873" w:themeFill="accent6" w:themeFillTint="98"/>
      </w:tcPr>
    </w:tblStylePr>
    <w:tblStylePr w:type="band2Horz">
      <w:tblPr/>
      <w:tcPr>
        <w:tcBorders>
          <w:top w:val="single" w:color="FFFFFF" w:themeColor="light1" w:sz="4" w:space="0"/>
          <w:bottom w:val="single" w:color="FFFFFF" w:themeColor="light1" w:sz="4" w:space="0"/>
        </w:tcBorders>
        <w:shd w:val="clear" w:color="8ED873" w:fill="8ED873" w:themeFill="accent6" w:themeFillTint="98"/>
      </w:tcPr>
    </w:tblStylePr>
  </w:style>
  <w:style w:type="table" w:styleId="ListTable6Colorful">
    <w:name w:val="List Table 6 Colorful"/>
    <w:basedOn w:val="TableNormal"/>
    <w:uiPriority w:val="99"/>
    <w:tblPr>
      <w:tblStyleRowBandSize w:val="1"/>
      <w:tblStyleColBandSize w:val="1"/>
      <w:tblBorders>
        <w:top w:val="single" w:color="7F7F7F" w:themeColor="text1" w:themeTint="80" w:sz="4" w:space="0"/>
        <w:bottom w:val="single" w:color="7F7F7F" w:themeColor="text1" w:themeTint="80" w:sz="4" w:space="0"/>
      </w:tblBorders>
      <w:tblCellMar>
        <w:top w:w="0" w:type="dxa"/>
        <w:left w:w="108" w:type="dxa"/>
        <w:bottom w:w="0" w:type="dxa"/>
        <w:right w:w="108" w:type="dxa"/>
      </w:tblCellMar>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styleId="ListTable6Colorful-Accent1">
    <w:name w:val="List Table 6 Colorful Accent 1"/>
    <w:basedOn w:val="TableNormal"/>
    <w:uiPriority w:val="99"/>
    <w:tblPr>
      <w:tblStyleRowBandSize w:val="1"/>
      <w:tblStyleColBandSize w:val="1"/>
      <w:tblBorders>
        <w:top w:val="single" w:color="156082" w:themeColor="accent1" w:sz="4" w:space="0"/>
        <w:bottom w:val="single" w:color="156082" w:themeColor="accent1" w:sz="4" w:space="0"/>
      </w:tblBorders>
      <w:tblCellMar>
        <w:top w:w="0" w:type="dxa"/>
        <w:left w:w="108" w:type="dxa"/>
        <w:bottom w:w="0" w:type="dxa"/>
        <w:right w:w="108" w:type="dxa"/>
      </w:tblCellMar>
    </w:tblPr>
    <w:tblStylePr w:type="firstRow">
      <w:rPr>
        <w:b/>
        <w:color w:val="0c374b" w:themeColor="accent1" w:themeShade="95"/>
      </w:rPr>
      <w:tblPr/>
      <w:tcPr>
        <w:tcBorders>
          <w:bottom w:val="single" w:color="156082" w:themeColor="accent1" w:sz="4" w:space="0"/>
        </w:tcBorders>
      </w:tcPr>
    </w:tblStylePr>
    <w:tblStylePr w:type="lastRow">
      <w:rPr>
        <w:b/>
        <w:color w:val="0c374b" w:themeColor="accent1" w:themeShade="95"/>
      </w:rPr>
      <w:tblPr/>
      <w:tcPr>
        <w:tcBorders>
          <w:top w:val="single" w:color="156082" w:themeColor="accent1" w:sz="4" w:space="0"/>
        </w:tcBorders>
      </w:tcPr>
    </w:tblStylePr>
    <w:tblStylePr w:type="firstCol">
      <w:rPr>
        <w:b/>
        <w:color w:val="0c374b" w:themeColor="accent1" w:themeShade="95"/>
      </w:rPr>
      <w:tblPr/>
    </w:tblStylePr>
    <w:tblStylePr w:type="lastCol">
      <w:rPr>
        <w:b/>
        <w:color w:val="0c374b" w:themeColor="accent1" w:themeShade="95"/>
      </w:rPr>
      <w:tbl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Pr/>
    </w:tblStylePr>
  </w:style>
  <w:style w:type="table" w:styleId="ListTable6Colorful-Accent2">
    <w:name w:val="List Table 6 Colorful Accent 2"/>
    <w:basedOn w:val="TableNormal"/>
    <w:uiPriority w:val="99"/>
    <w:tblPr>
      <w:tblStyleRowBandSize w:val="1"/>
      <w:tblStyleColBandSize w:val="1"/>
      <w:tblBorders>
        <w:top w:val="single" w:color="F2AA85" w:themeColor="accent2" w:themeTint="97" w:sz="4" w:space="0"/>
        <w:bottom w:val="single" w:color="F2AA85" w:themeColor="accent2" w:themeTint="97" w:sz="4" w:space="0"/>
      </w:tblBorders>
      <w:tblCellMar>
        <w:top w:w="0" w:type="dxa"/>
        <w:left w:w="108" w:type="dxa"/>
        <w:bottom w:w="0" w:type="dxa"/>
        <w:right w:w="108" w:type="dxa"/>
      </w:tblCellMar>
    </w:tblPr>
    <w:tblStylePr w:type="firstRow">
      <w:rPr>
        <w:b/>
        <w:color w:val="f2aa85" w:themeColor="accent2" w:themeTint="97" w:themeShade="95"/>
      </w:rPr>
      <w:tblPr/>
      <w:tcPr>
        <w:tcBorders>
          <w:bottom w:val="single" w:color="E97132" w:themeColor="accent2" w:sz="4" w:space="0"/>
        </w:tcBorders>
      </w:tcPr>
    </w:tblStylePr>
    <w:tblStylePr w:type="lastRow">
      <w:rPr>
        <w:b/>
        <w:color w:val="f2aa85" w:themeColor="accent2" w:themeTint="97" w:themeShade="95"/>
      </w:rPr>
      <w:tblPr/>
      <w:tcPr>
        <w:tcBorders>
          <w:top w:val="single" w:color="E97132" w:themeColor="accent2" w:sz="4" w:space="0"/>
        </w:tcBorders>
      </w:tcPr>
    </w:tblStylePr>
    <w:tblStylePr w:type="firstCol">
      <w:rPr>
        <w:b/>
        <w:color w:val="f2aa85" w:themeColor="accent2" w:themeTint="97" w:themeShade="95"/>
      </w:rPr>
      <w:tblPr/>
    </w:tblStylePr>
    <w:tblStylePr w:type="lastCol">
      <w:rPr>
        <w:b/>
        <w:color w:val="f2aa85" w:themeColor="accent2" w:themeTint="97" w:themeShade="95"/>
      </w:rPr>
      <w:tbl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Pr/>
    </w:tblStylePr>
  </w:style>
  <w:style w:type="table" w:styleId="ListTable6Colorful-Accent3">
    <w:name w:val="List Table 6 Colorful Accent 3"/>
    <w:basedOn w:val="TableNormal"/>
    <w:uiPriority w:val="99"/>
    <w:tblPr>
      <w:tblStyleRowBandSize w:val="1"/>
      <w:tblStyleColBandSize w:val="1"/>
      <w:tblBorders>
        <w:top w:val="single" w:color="48D45B" w:themeColor="accent3" w:themeTint="98" w:sz="4" w:space="0"/>
        <w:bottom w:val="single" w:color="48D45B" w:themeColor="accent3" w:themeTint="98" w:sz="4" w:space="0"/>
      </w:tblBorders>
      <w:tblCellMar>
        <w:top w:w="0" w:type="dxa"/>
        <w:left w:w="108" w:type="dxa"/>
        <w:bottom w:w="0" w:type="dxa"/>
        <w:right w:w="108" w:type="dxa"/>
      </w:tblCellMar>
    </w:tblPr>
    <w:tblStylePr w:type="firstRow">
      <w:rPr>
        <w:b/>
        <w:color w:val="48d45b" w:themeColor="accent3" w:themeTint="98" w:themeShade="95"/>
      </w:rPr>
      <w:tblPr/>
      <w:tcPr>
        <w:tcBorders>
          <w:bottom w:val="single" w:color="196B24" w:themeColor="accent3" w:sz="4" w:space="0"/>
        </w:tcBorders>
      </w:tcPr>
    </w:tblStylePr>
    <w:tblStylePr w:type="lastRow">
      <w:rPr>
        <w:b/>
        <w:color w:val="48d45b" w:themeColor="accent3" w:themeTint="98" w:themeShade="95"/>
      </w:rPr>
      <w:tblPr/>
      <w:tcPr>
        <w:tcBorders>
          <w:top w:val="single" w:color="196B24" w:themeColor="accent3" w:sz="4" w:space="0"/>
        </w:tcBorders>
      </w:tcPr>
    </w:tblStylePr>
    <w:tblStylePr w:type="firstCol">
      <w:rPr>
        <w:b/>
        <w:color w:val="48d45b" w:themeColor="accent3" w:themeTint="98" w:themeShade="95"/>
      </w:rPr>
      <w:tblPr/>
    </w:tblStylePr>
    <w:tblStylePr w:type="lastCol">
      <w:rPr>
        <w:b/>
        <w:color w:val="48d45b" w:themeColor="accent3" w:themeTint="98" w:themeShade="95"/>
      </w:rPr>
      <w:tbl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Pr/>
    </w:tblStylePr>
  </w:style>
  <w:style w:type="table" w:styleId="ListTable6Colorful-Accent4">
    <w:name w:val="List Table 6 Colorful Accent 4"/>
    <w:basedOn w:val="TableNormal"/>
    <w:uiPriority w:val="99"/>
    <w:tblPr>
      <w:tblStyleRowBandSize w:val="1"/>
      <w:tblStyleColBandSize w:val="1"/>
      <w:tblBorders>
        <w:top w:val="single" w:color="5FCAF3" w:themeColor="accent4" w:themeTint="9a" w:sz="4" w:space="0"/>
        <w:bottom w:val="single" w:color="5FCAF3" w:themeColor="accent4" w:themeTint="9a" w:sz="4" w:space="0"/>
      </w:tblBorders>
      <w:tblCellMar>
        <w:top w:w="0" w:type="dxa"/>
        <w:left w:w="108" w:type="dxa"/>
        <w:bottom w:w="0" w:type="dxa"/>
        <w:right w:w="108" w:type="dxa"/>
      </w:tblCellMar>
    </w:tblPr>
    <w:tblStylePr w:type="firstRow">
      <w:rPr>
        <w:b/>
        <w:color w:val="5fcaf3" w:themeColor="accent4" w:themeTint="9a" w:themeShade="95"/>
      </w:rPr>
      <w:tblPr/>
      <w:tcPr>
        <w:tcBorders>
          <w:bottom w:val="single" w:color="0F9ED5" w:themeColor="accent4" w:sz="4" w:space="0"/>
        </w:tcBorders>
      </w:tcPr>
    </w:tblStylePr>
    <w:tblStylePr w:type="lastRow">
      <w:rPr>
        <w:b/>
        <w:color w:val="5fcaf3" w:themeColor="accent4" w:themeTint="9a" w:themeShade="95"/>
      </w:rPr>
      <w:tblPr/>
      <w:tcPr>
        <w:tcBorders>
          <w:top w:val="single" w:color="0F9ED5" w:themeColor="accent4" w:sz="4" w:space="0"/>
        </w:tcBorders>
      </w:tcPr>
    </w:tblStylePr>
    <w:tblStylePr w:type="firstCol">
      <w:rPr>
        <w:b/>
        <w:color w:val="5fcaf3" w:themeColor="accent4" w:themeTint="9a" w:themeShade="95"/>
      </w:rPr>
      <w:tblPr/>
    </w:tblStylePr>
    <w:tblStylePr w:type="lastCol">
      <w:rPr>
        <w:b/>
        <w:color w:val="5fcaf3" w:themeColor="accent4" w:themeTint="9a" w:themeShade="95"/>
      </w:rPr>
      <w:tbl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Pr/>
    </w:tblStylePr>
  </w:style>
  <w:style w:type="table" w:styleId="ListTable6Colorful-Accent5">
    <w:name w:val="List Table 6 Colorful Accent 5"/>
    <w:basedOn w:val="TableNormal"/>
    <w:uiPriority w:val="99"/>
    <w:tblPr>
      <w:tblStyleRowBandSize w:val="1"/>
      <w:tblStyleColBandSize w:val="1"/>
      <w:tblBorders>
        <w:top w:val="single" w:color="D76CCB" w:themeColor="accent5" w:themeTint="9a" w:sz="4" w:space="0"/>
        <w:bottom w:val="single" w:color="D76CCB" w:themeColor="accent5" w:themeTint="9a" w:sz="4" w:space="0"/>
      </w:tblBorders>
      <w:tblCellMar>
        <w:top w:w="0" w:type="dxa"/>
        <w:left w:w="108" w:type="dxa"/>
        <w:bottom w:w="0" w:type="dxa"/>
        <w:right w:w="108" w:type="dxa"/>
      </w:tblCellMar>
    </w:tblPr>
    <w:tblStylePr w:type="firstRow">
      <w:rPr>
        <w:b/>
        <w:color w:val="d76ccb" w:themeColor="accent5" w:themeTint="9a" w:themeShade="95"/>
      </w:rPr>
      <w:tblPr/>
      <w:tcPr>
        <w:tcBorders>
          <w:bottom w:val="single" w:color="A02B93" w:themeColor="accent5" w:sz="4" w:space="0"/>
        </w:tcBorders>
      </w:tcPr>
    </w:tblStylePr>
    <w:tblStylePr w:type="lastRow">
      <w:rPr>
        <w:b/>
        <w:color w:val="d76ccb" w:themeColor="accent5" w:themeTint="9a" w:themeShade="95"/>
      </w:rPr>
      <w:tblPr/>
      <w:tcPr>
        <w:tcBorders>
          <w:top w:val="single" w:color="A02B93" w:themeColor="accent5" w:sz="4" w:space="0"/>
        </w:tcBorders>
      </w:tcPr>
    </w:tblStylePr>
    <w:tblStylePr w:type="firstCol">
      <w:rPr>
        <w:b/>
        <w:color w:val="d76ccb" w:themeColor="accent5" w:themeTint="9a" w:themeShade="95"/>
      </w:rPr>
      <w:tblPr/>
    </w:tblStylePr>
    <w:tblStylePr w:type="lastCol">
      <w:rPr>
        <w:b/>
        <w:color w:val="d76ccb" w:themeColor="accent5" w:themeTint="9a" w:themeShade="95"/>
      </w:rPr>
      <w:tbl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Pr/>
    </w:tblStylePr>
  </w:style>
  <w:style w:type="table" w:styleId="ListTable6Colorful-Accent6">
    <w:name w:val="List Table 6 Colorful Accent 6"/>
    <w:basedOn w:val="TableNormal"/>
    <w:uiPriority w:val="99"/>
    <w:tblPr>
      <w:tblStyleRowBandSize w:val="1"/>
      <w:tblStyleColBandSize w:val="1"/>
      <w:tblBorders>
        <w:top w:val="single" w:color="8ED873" w:themeColor="accent6" w:themeTint="98" w:sz="4" w:space="0"/>
        <w:bottom w:val="single" w:color="8ED873" w:themeColor="accent6" w:themeTint="98" w:sz="4" w:space="0"/>
      </w:tblBorders>
      <w:tblCellMar>
        <w:top w:w="0" w:type="dxa"/>
        <w:left w:w="108" w:type="dxa"/>
        <w:bottom w:w="0" w:type="dxa"/>
        <w:right w:w="108" w:type="dxa"/>
      </w:tblCellMar>
    </w:tblPr>
    <w:tblStylePr w:type="firstRow">
      <w:rPr>
        <w:b/>
        <w:color w:val="8ed873" w:themeColor="accent6" w:themeTint="98" w:themeShade="95"/>
      </w:rPr>
      <w:tblPr/>
      <w:tcPr>
        <w:tcBorders>
          <w:bottom w:val="single" w:color="4EA72E" w:themeColor="accent6" w:sz="4" w:space="0"/>
        </w:tcBorders>
      </w:tcPr>
    </w:tblStylePr>
    <w:tblStylePr w:type="lastRow">
      <w:rPr>
        <w:b/>
        <w:color w:val="8ed873" w:themeColor="accent6" w:themeTint="98" w:themeShade="95"/>
      </w:rPr>
      <w:tblPr/>
      <w:tcPr>
        <w:tcBorders>
          <w:top w:val="single" w:color="4EA72E" w:themeColor="accent6" w:sz="4" w:space="0"/>
        </w:tcBorders>
      </w:tcPr>
    </w:tblStylePr>
    <w:tblStylePr w:type="firstCol">
      <w:rPr>
        <w:b/>
        <w:color w:val="8ed873" w:themeColor="accent6" w:themeTint="98" w:themeShade="95"/>
      </w:rPr>
      <w:tblPr/>
    </w:tblStylePr>
    <w:tblStylePr w:type="lastCol">
      <w:rPr>
        <w:b/>
        <w:color w:val="8ed873" w:themeColor="accent6" w:themeTint="98" w:themeShade="95"/>
      </w:rPr>
      <w:tbl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Pr/>
    </w:tblStylePr>
  </w:style>
  <w:style w:type="table" w:styleId="ListTable7Colorful">
    <w:name w:val="List Table 7 Colorful"/>
    <w:basedOn w:val="TableNormal"/>
    <w:uiPriority w:val="99"/>
    <w:tblPr>
      <w:tblStyleRowBandSize w:val="1"/>
      <w:tblStyleColBandSize w:val="1"/>
      <w:tblBorders>
        <w:right w:val="single" w:color="7F7F7F" w:themeColor="text1" w:themeTint="80" w:sz="4" w:space="0"/>
      </w:tblBorders>
      <w:tblCellMar>
        <w:top w:w="0" w:type="dxa"/>
        <w:left w:w="108" w:type="dxa"/>
        <w:bottom w:w="0" w:type="dxa"/>
        <w:right w:w="108" w:type="dxa"/>
      </w:tblCellMar>
    </w:tblPr>
    <w:tblStylePr w:type="firstRow">
      <w:rPr>
        <w:i/>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styleId="ListTable7Colorful-Accent1">
    <w:name w:val="List Table 7 Colorful Accent 1"/>
    <w:basedOn w:val="TableNormal"/>
    <w:uiPriority w:val="99"/>
    <w:tblPr>
      <w:tblStyleRowBandSize w:val="1"/>
      <w:tblStyleColBandSize w:val="1"/>
      <w:tblBorders>
        <w:right w:val="single" w:color="156082" w:themeColor="accent1" w:sz="4" w:space="0"/>
      </w:tblBorders>
      <w:tblCellMar>
        <w:top w:w="0" w:type="dxa"/>
        <w:left w:w="108" w:type="dxa"/>
        <w:bottom w:w="0" w:type="dxa"/>
        <w:right w:w="108" w:type="dxa"/>
      </w:tblCellMar>
    </w:tblPr>
    <w:tblStylePr w:type="firstRow">
      <w:rPr>
        <w:i/>
        <w:color w:val="0c374b" w:themeColor="accent1" w:themeShade="95"/>
        <w:sz w:val="22"/>
      </w:rPr>
      <w:tblPr/>
      <w:tcPr>
        <w:tcBorders>
          <w:top w:val="none" w:color="auto" w:sz="0" w:space="0"/>
          <w:left w:val="none" w:color="auto" w:sz="0" w:space="0"/>
          <w:bottom w:val="single" w:color="156082" w:themeColor="accent1" w:sz="4" w:space="0"/>
          <w:right w:val="none" w:color="auto" w:sz="0" w:space="0"/>
        </w:tcBorders>
        <w:shd w:val="clear" w:color="FFFFFF" w:fill="FFFFFF" w:themeFill="light1"/>
      </w:tcPr>
    </w:tblStylePr>
    <w:tblStylePr w:type="lastRow">
      <w:rPr>
        <w:i/>
        <w:color w:val="0c374b" w:themeColor="accent1" w:themeShade="95"/>
        <w:sz w:val="22"/>
      </w:rPr>
      <w:tblPr/>
      <w:tcPr>
        <w:tcBorders>
          <w:top w:val="single" w:color="156082"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0c374b" w:themeColor="accent1" w:themeShade="95"/>
        <w:sz w:val="22"/>
      </w:rPr>
      <w:tblPr/>
      <w:tcPr>
        <w:tcBorders>
          <w:top w:val="none" w:color="auto" w:sz="0" w:space="0"/>
          <w:left w:val="none" w:color="auto" w:sz="0" w:space="0"/>
          <w:bottom w:val="none" w:color="auto" w:sz="0" w:space="0"/>
          <w:right w:val="single" w:color="156082" w:themeColor="accent1" w:sz="4" w:space="0"/>
        </w:tcBorders>
        <w:shd w:val="clear" w:color="FFFFFF" w:fill="auto"/>
      </w:tcPr>
    </w:tblStylePr>
    <w:tblStylePr w:type="lastCol">
      <w:rPr>
        <w:i/>
        <w:color w:val="0c374b" w:themeColor="accent1" w:themeShade="95"/>
        <w:sz w:val="22"/>
      </w:rPr>
      <w:tblPr/>
      <w:tcPr>
        <w:tcBorders>
          <w:top w:val="none" w:color="auto" w:sz="0" w:space="0"/>
          <w:left w:val="single" w:color="156082" w:themeColor="accent1" w:sz="4" w:space="0"/>
          <w:bottom w:val="none" w:color="auto" w:sz="0" w:space="0"/>
          <w:right w:val="none" w:color="auto" w:sz="0" w:space="0"/>
        </w:tcBorders>
        <w:shd w:val="clear" w:color="FFFFFF" w:fill="auto"/>
      </w:tc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Pr/>
    </w:tblStylePr>
  </w:style>
  <w:style w:type="table" w:styleId="ListTable7Colorful-Accent2">
    <w:name w:val="List Table 7 Colorful Accent 2"/>
    <w:basedOn w:val="TableNormal"/>
    <w:uiPriority w:val="99"/>
    <w:tblPr>
      <w:tblStyleRowBandSize w:val="1"/>
      <w:tblStyleColBandSize w:val="1"/>
      <w:tblBorders>
        <w:right w:val="single" w:color="F2AA85" w:themeColor="accent2" w:themeTint="97" w:sz="4" w:space="0"/>
      </w:tblBorders>
      <w:tblCellMar>
        <w:top w:w="0" w:type="dxa"/>
        <w:left w:w="108" w:type="dxa"/>
        <w:bottom w:w="0" w:type="dxa"/>
        <w:right w:w="108" w:type="dxa"/>
      </w:tblCellMar>
    </w:tblPr>
    <w:tblStylePr w:type="firstRow">
      <w:rPr>
        <w:i/>
        <w:color w:val="f2aa85" w:themeColor="accent2" w:themeTint="97" w:themeShade="95"/>
        <w:sz w:val="22"/>
      </w:rPr>
      <w:tblPr/>
      <w:tcPr>
        <w:tcBorders>
          <w:top w:val="none" w:color="auto" w:sz="0" w:space="0"/>
          <w:left w:val="none" w:color="auto" w:sz="0" w:space="0"/>
          <w:bottom w:val="single" w:color="E97132" w:themeColor="accent2" w:sz="4" w:space="0"/>
          <w:right w:val="none" w:color="auto" w:sz="0" w:space="0"/>
        </w:tcBorders>
        <w:shd w:val="clear" w:color="FFFFFF" w:fill="FFFFFF" w:themeFill="light1"/>
      </w:tcPr>
    </w:tblStylePr>
    <w:tblStylePr w:type="lastRow">
      <w:rPr>
        <w:i/>
        <w:color w:val="f2aa85" w:themeColor="accent2" w:themeTint="97" w:themeShade="95"/>
        <w:sz w:val="22"/>
      </w:rPr>
      <w:tblPr/>
      <w:tcPr>
        <w:tcBorders>
          <w:top w:val="single" w:color="E97132"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2aa85" w:themeColor="accent2" w:themeTint="97" w:themeShade="95"/>
        <w:sz w:val="22"/>
      </w:rPr>
      <w:tblPr/>
      <w:tcPr>
        <w:tcBorders>
          <w:top w:val="none" w:color="auto" w:sz="0" w:space="0"/>
          <w:left w:val="none" w:color="auto" w:sz="0" w:space="0"/>
          <w:bottom w:val="none" w:color="auto" w:sz="0" w:space="0"/>
          <w:right w:val="single" w:color="E97132" w:themeColor="accent2" w:sz="4" w:space="0"/>
        </w:tcBorders>
        <w:shd w:val="clear" w:color="FFFFFF" w:fill="auto"/>
      </w:tcPr>
    </w:tblStylePr>
    <w:tblStylePr w:type="lastCol">
      <w:rPr>
        <w:i/>
        <w:color w:val="f2aa85" w:themeColor="accent2" w:themeTint="97" w:themeShade="95"/>
        <w:sz w:val="22"/>
      </w:rPr>
      <w:tblPr/>
      <w:tcPr>
        <w:tcBorders>
          <w:top w:val="none" w:color="auto" w:sz="0" w:space="0"/>
          <w:left w:val="single" w:color="E97132" w:themeColor="accent2" w:sz="4" w:space="0"/>
          <w:bottom w:val="none" w:color="auto" w:sz="0" w:space="0"/>
          <w:right w:val="none" w:color="auto" w:sz="0" w:space="0"/>
        </w:tcBorders>
        <w:shd w:val="clear" w:color="FFFFFF" w:fill="auto"/>
      </w:tc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Pr/>
    </w:tblStylePr>
  </w:style>
  <w:style w:type="table" w:styleId="ListTable7Colorful-Accent3">
    <w:name w:val="List Table 7 Colorful Accent 3"/>
    <w:basedOn w:val="TableNormal"/>
    <w:uiPriority w:val="99"/>
    <w:tblPr>
      <w:tblStyleRowBandSize w:val="1"/>
      <w:tblStyleColBandSize w:val="1"/>
      <w:tblBorders>
        <w:right w:val="single" w:color="48D45B" w:themeColor="accent3" w:themeTint="98" w:sz="4" w:space="0"/>
      </w:tblBorders>
      <w:tblCellMar>
        <w:top w:w="0" w:type="dxa"/>
        <w:left w:w="108" w:type="dxa"/>
        <w:bottom w:w="0" w:type="dxa"/>
        <w:right w:w="108" w:type="dxa"/>
      </w:tblCellMar>
    </w:tblPr>
    <w:tblStylePr w:type="firstRow">
      <w:rPr>
        <w:i/>
        <w:color w:val="48d45b" w:themeColor="accent3" w:themeTint="98" w:themeShade="95"/>
        <w:sz w:val="22"/>
      </w:rPr>
      <w:tblPr/>
      <w:tcPr>
        <w:tcBorders>
          <w:top w:val="none" w:color="auto" w:sz="0" w:space="0"/>
          <w:left w:val="none" w:color="auto" w:sz="0" w:space="0"/>
          <w:bottom w:val="single" w:color="196B24" w:themeColor="accent3" w:sz="4" w:space="0"/>
          <w:right w:val="none" w:color="auto" w:sz="0" w:space="0"/>
        </w:tcBorders>
        <w:shd w:val="clear" w:color="FFFFFF" w:fill="FFFFFF" w:themeFill="light1"/>
      </w:tcPr>
    </w:tblStylePr>
    <w:tblStylePr w:type="lastRow">
      <w:rPr>
        <w:i/>
        <w:color w:val="48d45b" w:themeColor="accent3" w:themeTint="98" w:themeShade="95"/>
        <w:sz w:val="22"/>
      </w:rPr>
      <w:tblPr/>
      <w:tcPr>
        <w:tcBorders>
          <w:top w:val="single" w:color="196B24"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8d45b" w:themeColor="accent3" w:themeTint="98" w:themeShade="95"/>
        <w:sz w:val="22"/>
      </w:rPr>
      <w:tblPr/>
      <w:tcPr>
        <w:tcBorders>
          <w:top w:val="none" w:color="auto" w:sz="0" w:space="0"/>
          <w:left w:val="none" w:color="auto" w:sz="0" w:space="0"/>
          <w:bottom w:val="none" w:color="auto" w:sz="0" w:space="0"/>
          <w:right w:val="single" w:color="196B24" w:themeColor="accent3" w:sz="4" w:space="0"/>
        </w:tcBorders>
        <w:shd w:val="clear" w:color="FFFFFF" w:fill="auto"/>
      </w:tcPr>
    </w:tblStylePr>
    <w:tblStylePr w:type="lastCol">
      <w:rPr>
        <w:i/>
        <w:color w:val="48d45b" w:themeColor="accent3" w:themeTint="98" w:themeShade="95"/>
        <w:sz w:val="22"/>
      </w:rPr>
      <w:tblPr/>
      <w:tcPr>
        <w:tcBorders>
          <w:top w:val="none" w:color="auto" w:sz="0" w:space="0"/>
          <w:left w:val="single" w:color="196B24" w:themeColor="accent3" w:sz="4" w:space="0"/>
          <w:bottom w:val="none" w:color="auto" w:sz="0" w:space="0"/>
          <w:right w:val="none" w:color="auto" w:sz="0" w:space="0"/>
        </w:tcBorders>
        <w:shd w:val="clear" w:color="FFFFFF" w:fill="auto"/>
      </w:tc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Pr/>
    </w:tblStylePr>
  </w:style>
  <w:style w:type="table" w:styleId="ListTable7Colorful-Accent4">
    <w:name w:val="List Table 7 Colorful Accent 4"/>
    <w:basedOn w:val="TableNormal"/>
    <w:uiPriority w:val="99"/>
    <w:tblPr>
      <w:tblStyleRowBandSize w:val="1"/>
      <w:tblStyleColBandSize w:val="1"/>
      <w:tblBorders>
        <w:right w:val="single" w:color="5FCAF3" w:themeColor="accent4" w:themeTint="9a" w:sz="4" w:space="0"/>
      </w:tblBorders>
      <w:tblCellMar>
        <w:top w:w="0" w:type="dxa"/>
        <w:left w:w="108" w:type="dxa"/>
        <w:bottom w:w="0" w:type="dxa"/>
        <w:right w:w="108" w:type="dxa"/>
      </w:tblCellMar>
    </w:tblPr>
    <w:tblStylePr w:type="firstRow">
      <w:rPr>
        <w:i/>
        <w:color w:val="5fcaf3" w:themeColor="accent4" w:themeTint="9a" w:themeShade="95"/>
        <w:sz w:val="22"/>
      </w:rPr>
      <w:tblPr/>
      <w:tcPr>
        <w:tcBorders>
          <w:top w:val="none" w:color="auto" w:sz="0" w:space="0"/>
          <w:left w:val="none" w:color="auto" w:sz="0" w:space="0"/>
          <w:bottom w:val="single" w:color="0F9ED5" w:themeColor="accent4" w:sz="4" w:space="0"/>
          <w:right w:val="none" w:color="auto" w:sz="0" w:space="0"/>
        </w:tcBorders>
        <w:shd w:val="clear" w:color="FFFFFF" w:fill="FFFFFF" w:themeFill="light1"/>
      </w:tcPr>
    </w:tblStylePr>
    <w:tblStylePr w:type="lastRow">
      <w:rPr>
        <w:i/>
        <w:color w:val="5fcaf3" w:themeColor="accent4" w:themeTint="9a" w:themeShade="95"/>
        <w:sz w:val="22"/>
      </w:rPr>
      <w:tblPr/>
      <w:tcPr>
        <w:tcBorders>
          <w:top w:val="single" w:color="0F9ED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5fcaf3" w:themeColor="accent4" w:themeTint="9a" w:themeShade="95"/>
        <w:sz w:val="22"/>
      </w:rPr>
      <w:tblPr/>
      <w:tcPr>
        <w:tcBorders>
          <w:top w:val="none" w:color="auto" w:sz="0" w:space="0"/>
          <w:left w:val="none" w:color="auto" w:sz="0" w:space="0"/>
          <w:bottom w:val="none" w:color="auto" w:sz="0" w:space="0"/>
          <w:right w:val="single" w:color="0F9ED5" w:themeColor="accent4" w:sz="4" w:space="0"/>
        </w:tcBorders>
        <w:shd w:val="clear" w:color="FFFFFF" w:fill="auto"/>
      </w:tcPr>
    </w:tblStylePr>
    <w:tblStylePr w:type="lastCol">
      <w:rPr>
        <w:i/>
        <w:color w:val="5fcaf3" w:themeColor="accent4" w:themeTint="9a" w:themeShade="95"/>
        <w:sz w:val="22"/>
      </w:rPr>
      <w:tblPr/>
      <w:tcPr>
        <w:tcBorders>
          <w:top w:val="none" w:color="auto" w:sz="0" w:space="0"/>
          <w:left w:val="single" w:color="0F9ED5" w:themeColor="accent4" w:sz="4" w:space="0"/>
          <w:bottom w:val="none" w:color="auto" w:sz="0" w:space="0"/>
          <w:right w:val="none" w:color="auto" w:sz="0" w:space="0"/>
        </w:tcBorders>
        <w:shd w:val="clear" w:color="FFFFFF" w:fill="auto"/>
      </w:tc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Pr/>
    </w:tblStylePr>
  </w:style>
  <w:style w:type="table" w:styleId="ListTable7Colorful-Accent5">
    <w:name w:val="List Table 7 Colorful Accent 5"/>
    <w:basedOn w:val="TableNormal"/>
    <w:uiPriority w:val="99"/>
    <w:tblPr>
      <w:tblStyleRowBandSize w:val="1"/>
      <w:tblStyleColBandSize w:val="1"/>
      <w:tblBorders>
        <w:right w:val="single" w:color="D76CCB" w:themeColor="accent5" w:themeTint="9a" w:sz="4" w:space="0"/>
      </w:tblBorders>
      <w:tblCellMar>
        <w:top w:w="0" w:type="dxa"/>
        <w:left w:w="108" w:type="dxa"/>
        <w:bottom w:w="0" w:type="dxa"/>
        <w:right w:w="108" w:type="dxa"/>
      </w:tblCellMar>
    </w:tblPr>
    <w:tblStylePr w:type="firstRow">
      <w:rPr>
        <w:i/>
        <w:color w:val="d76ccb" w:themeColor="accent5" w:themeTint="9a" w:themeShade="95"/>
        <w:sz w:val="22"/>
      </w:rPr>
      <w:tblPr/>
      <w:tcPr>
        <w:tcBorders>
          <w:top w:val="none" w:color="auto" w:sz="0" w:space="0"/>
          <w:left w:val="none" w:color="auto" w:sz="0" w:space="0"/>
          <w:bottom w:val="single" w:color="A02B93" w:themeColor="accent5" w:sz="4" w:space="0"/>
          <w:right w:val="none" w:color="auto" w:sz="0" w:space="0"/>
        </w:tcBorders>
        <w:shd w:val="clear" w:color="FFFFFF" w:fill="FFFFFF" w:themeFill="light1"/>
      </w:tcPr>
    </w:tblStylePr>
    <w:tblStylePr w:type="lastRow">
      <w:rPr>
        <w:i/>
        <w:color w:val="d76ccb" w:themeColor="accent5" w:themeTint="9a" w:themeShade="95"/>
        <w:sz w:val="22"/>
      </w:rPr>
      <w:tblPr/>
      <w:tcPr>
        <w:tcBorders>
          <w:top w:val="single" w:color="A02B93"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76ccb" w:themeColor="accent5" w:themeTint="9a" w:themeShade="95"/>
        <w:sz w:val="22"/>
      </w:rPr>
      <w:tblPr/>
      <w:tcPr>
        <w:tcBorders>
          <w:top w:val="none" w:color="auto" w:sz="0" w:space="0"/>
          <w:left w:val="none" w:color="auto" w:sz="0" w:space="0"/>
          <w:bottom w:val="none" w:color="auto" w:sz="0" w:space="0"/>
          <w:right w:val="single" w:color="A02B93" w:themeColor="accent5" w:sz="4" w:space="0"/>
        </w:tcBorders>
        <w:shd w:val="clear" w:color="FFFFFF" w:fill="auto"/>
      </w:tcPr>
    </w:tblStylePr>
    <w:tblStylePr w:type="lastCol">
      <w:rPr>
        <w:i/>
        <w:color w:val="d76ccb" w:themeColor="accent5" w:themeTint="9a" w:themeShade="95"/>
        <w:sz w:val="22"/>
      </w:rPr>
      <w:tblPr/>
      <w:tcPr>
        <w:tcBorders>
          <w:top w:val="none" w:color="auto" w:sz="0" w:space="0"/>
          <w:left w:val="single" w:color="A02B93" w:themeColor="accent5" w:sz="4" w:space="0"/>
          <w:bottom w:val="none" w:color="auto" w:sz="0" w:space="0"/>
          <w:right w:val="none" w:color="auto" w:sz="0" w:space="0"/>
        </w:tcBorders>
        <w:shd w:val="clear" w:color="FFFFFF" w:fill="auto"/>
      </w:tc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Pr/>
    </w:tblStylePr>
  </w:style>
  <w:style w:type="table" w:styleId="ListTable7Colorful-Accent6">
    <w:name w:val="List Table 7 Colorful Accent 6"/>
    <w:basedOn w:val="TableNormal"/>
    <w:uiPriority w:val="99"/>
    <w:tblPr>
      <w:tblStyleRowBandSize w:val="1"/>
      <w:tblStyleColBandSize w:val="1"/>
      <w:tblBorders>
        <w:right w:val="single" w:color="8ED873" w:themeColor="accent6" w:themeTint="98" w:sz="4" w:space="0"/>
      </w:tblBorders>
      <w:tblCellMar>
        <w:top w:w="0" w:type="dxa"/>
        <w:left w:w="108" w:type="dxa"/>
        <w:bottom w:w="0" w:type="dxa"/>
        <w:right w:w="108" w:type="dxa"/>
      </w:tblCellMar>
    </w:tblPr>
    <w:tblStylePr w:type="firstRow">
      <w:rPr>
        <w:i/>
        <w:color w:val="8ed873" w:themeColor="accent6" w:themeTint="98" w:themeShade="95"/>
        <w:sz w:val="22"/>
      </w:rPr>
      <w:tblPr/>
      <w:tcPr>
        <w:tcBorders>
          <w:top w:val="none" w:color="auto" w:sz="0" w:space="0"/>
          <w:left w:val="none" w:color="auto" w:sz="0" w:space="0"/>
          <w:bottom w:val="single" w:color="4EA72E" w:themeColor="accent6" w:sz="4" w:space="0"/>
          <w:right w:val="none" w:color="auto" w:sz="0" w:space="0"/>
        </w:tcBorders>
        <w:shd w:val="clear" w:color="FFFFFF" w:fill="FFFFFF" w:themeFill="light1"/>
      </w:tcPr>
    </w:tblStylePr>
    <w:tblStylePr w:type="lastRow">
      <w:rPr>
        <w:i/>
        <w:color w:val="8ed873" w:themeColor="accent6" w:themeTint="98" w:themeShade="95"/>
        <w:sz w:val="22"/>
      </w:rPr>
      <w:tblPr/>
      <w:tcPr>
        <w:tcBorders>
          <w:top w:val="single" w:color="4EA72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8ed873" w:themeColor="accent6" w:themeTint="98" w:themeShade="95"/>
        <w:sz w:val="22"/>
      </w:rPr>
      <w:tblPr/>
      <w:tcPr>
        <w:tcBorders>
          <w:top w:val="none" w:color="auto" w:sz="0" w:space="0"/>
          <w:left w:val="none" w:color="auto" w:sz="0" w:space="0"/>
          <w:bottom w:val="none" w:color="auto" w:sz="0" w:space="0"/>
          <w:right w:val="single" w:color="4EA72E" w:themeColor="accent6" w:sz="4" w:space="0"/>
        </w:tcBorders>
        <w:shd w:val="clear" w:color="FFFFFF" w:fill="auto"/>
      </w:tcPr>
    </w:tblStylePr>
    <w:tblStylePr w:type="lastCol">
      <w:rPr>
        <w:i/>
        <w:color w:val="8ed873" w:themeColor="accent6" w:themeTint="98" w:themeShade="95"/>
        <w:sz w:val="22"/>
      </w:rPr>
      <w:tblPr/>
      <w:tcPr>
        <w:tcBorders>
          <w:top w:val="none" w:color="auto" w:sz="0" w:space="0"/>
          <w:left w:val="single" w:color="4EA72E" w:themeColor="accent6" w:sz="4" w:space="0"/>
          <w:bottom w:val="none" w:color="auto" w:sz="0" w:space="0"/>
          <w:right w:val="none" w:color="auto" w:sz="0" w:space="0"/>
        </w:tcBorders>
        <w:shd w:val="clear" w:color="FFFFFF" w:fill="auto"/>
      </w:tc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Pr/>
    </w:tblStylePr>
  </w:style>
  <w:style w:type="table" w:customStyle="1" w:styleId="Lined-Accent">
    <w:name w:val="Lined - Accent"/>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19729B" w:fill="19729B" w:themeFill="accent1" w:themeFillTint="ea"/>
      </w:tcPr>
    </w:tblStylePr>
    <w:tblStylePr w:type="lastRow">
      <w:rPr>
        <w:sz w:val="22"/>
      </w:rPr>
      <w:tblPr/>
      <w:tcPr>
        <w:shd w:val="clear" w:color="19729B" w:fill="19729B" w:themeFill="accent1" w:themeFillTint="ea"/>
      </w:tcPr>
    </w:tblStylePr>
    <w:tblStylePr w:type="firstCol">
      <w:rPr>
        <w:sz w:val="22"/>
      </w:rPr>
      <w:tblPr/>
      <w:tcPr>
        <w:shd w:val="clear" w:color="19729B" w:fill="19729B" w:themeFill="accent1" w:themeFillTint="ea"/>
      </w:tcPr>
    </w:tblStylePr>
    <w:tblStylePr w:type="lastCol">
      <w:rPr>
        <w:sz w:val="22"/>
      </w:rPr>
      <w:tblPr/>
      <w:tcPr>
        <w:shd w:val="clear" w:color="19729B" w:fill="19729B" w:themeFill="accent1" w:themeFillTint="ea"/>
      </w:tcPr>
    </w:tblStylePr>
    <w:tblStylePr w:type="band1Vert">
      <w:rPr>
        <w:sz w:val="22"/>
      </w:rPr>
      <w:tblPr/>
    </w:tblStylePr>
    <w:tblStylePr w:type="band2Vert">
      <w:rPr>
        <w:sz w:val="22"/>
      </w:rPr>
      <w:tblPr/>
      <w:tcPr>
        <w:shd w:val="clear" w:color="9ED5EF" w:fill="9ED5EF" w:themeFill="accent1" w:themeFillTint="50"/>
      </w:tcPr>
    </w:tblStylePr>
    <w:tblStylePr w:type="band1Horz">
      <w:rPr>
        <w:sz w:val="22"/>
      </w:rPr>
      <w:tblPr/>
    </w:tblStylePr>
    <w:tblStylePr w:type="band2Horz">
      <w:rPr>
        <w:sz w:val="22"/>
      </w:rPr>
      <w:tblPr/>
      <w:tcPr>
        <w:shd w:val="clear" w:color="9ED5EF" w:fill="9ED5EF" w:themeFill="accent1" w:themeFillTint="50"/>
      </w:tcPr>
    </w:tblStylePr>
  </w:style>
  <w:style w:type="table" w:customStyle="1" w:styleId="Lined-Accent2">
    <w:name w:val="Lined - Accent 2"/>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F2AA85" w:fill="F2AA85" w:themeFill="accent2" w:themeFillTint="97"/>
      </w:tcPr>
    </w:tblStylePr>
    <w:tblStylePr w:type="lastRow">
      <w:rPr>
        <w:sz w:val="22"/>
      </w:rPr>
      <w:tblPr/>
      <w:tcPr>
        <w:shd w:val="clear" w:color="F2AA85" w:fill="F2AA85" w:themeFill="accent2" w:themeFillTint="97"/>
      </w:tcPr>
    </w:tblStylePr>
    <w:tblStylePr w:type="firstCol">
      <w:rPr>
        <w:sz w:val="22"/>
      </w:rPr>
      <w:tblPr/>
      <w:tcPr>
        <w:shd w:val="clear" w:color="F2AA85" w:fill="F2AA85" w:themeFill="accent2" w:themeFillTint="97"/>
      </w:tcPr>
    </w:tblStylePr>
    <w:tblStylePr w:type="lastCol">
      <w:rPr>
        <w:sz w:val="22"/>
      </w:rPr>
      <w:tblPr/>
      <w:tcPr>
        <w:shd w:val="clear" w:color="F2AA85" w:fill="F2AA85" w:themeFill="accent2" w:themeFillTint="97"/>
      </w:tcPr>
    </w:tblStylePr>
    <w:tblStylePr w:type="band1Vert">
      <w:rPr>
        <w:sz w:val="22"/>
      </w:rPr>
      <w:tblPr/>
    </w:tblStylePr>
    <w:tblStylePr w:type="band2Vert">
      <w:rPr>
        <w:sz w:val="22"/>
      </w:rPr>
      <w:tblPr/>
      <w:tcPr>
        <w:shd w:val="clear" w:color="FAE2D6" w:fill="FAE2D6" w:themeFill="accent2" w:themeFillTint="32"/>
      </w:tcPr>
    </w:tblStylePr>
    <w:tblStylePr w:type="band1Horz">
      <w:rPr>
        <w:sz w:val="22"/>
      </w:rPr>
      <w:tblPr/>
    </w:tblStylePr>
    <w:tblStylePr w:type="band2Horz">
      <w:rPr>
        <w:sz w:val="22"/>
      </w:rPr>
      <w:tblPr/>
      <w:tcPr>
        <w:shd w:val="clear" w:color="FAE2D6" w:fill="FAE2D6" w:themeFill="accent2" w:themeFillTint="32"/>
      </w:tcPr>
    </w:tblStylePr>
  </w:style>
  <w:style w:type="table" w:customStyle="1" w:styleId="Lined-Accent3">
    <w:name w:val="Lined - Accent 3"/>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196C24" w:fill="196C24" w:themeFill="accent3" w:themeFillTint="fe"/>
      </w:tcPr>
    </w:tblStylePr>
    <w:tblStylePr w:type="lastRow">
      <w:rPr>
        <w:sz w:val="22"/>
      </w:rPr>
      <w:tblPr/>
      <w:tcPr>
        <w:shd w:val="clear" w:color="196C24" w:fill="196C24" w:themeFill="accent3" w:themeFillTint="fe"/>
      </w:tcPr>
    </w:tblStylePr>
    <w:tblStylePr w:type="firstCol">
      <w:rPr>
        <w:sz w:val="22"/>
      </w:rPr>
      <w:tblPr/>
      <w:tcPr>
        <w:shd w:val="clear" w:color="196C24" w:fill="196C24" w:themeFill="accent3" w:themeFillTint="fe"/>
      </w:tcPr>
    </w:tblStylePr>
    <w:tblStylePr w:type="lastCol">
      <w:rPr>
        <w:sz w:val="22"/>
      </w:rPr>
      <w:tblPr/>
      <w:tcPr>
        <w:shd w:val="clear" w:color="196C24" w:fill="196C24" w:themeFill="accent3" w:themeFillTint="fe"/>
      </w:tcPr>
    </w:tblStylePr>
    <w:tblStylePr w:type="band1Vert">
      <w:rPr>
        <w:sz w:val="22"/>
      </w:rPr>
      <w:tblPr/>
    </w:tblStylePr>
    <w:tblStylePr w:type="band2Vert">
      <w:rPr>
        <w:sz w:val="22"/>
      </w:rPr>
      <w:tblPr/>
      <w:tcPr>
        <w:shd w:val="clear" w:color="C0F0C6" w:fill="C0F0C6" w:themeFill="accent3" w:themeFillTint="34"/>
      </w:tcPr>
    </w:tblStylePr>
    <w:tblStylePr w:type="band1Horz">
      <w:rPr>
        <w:sz w:val="22"/>
      </w:rPr>
      <w:tblPr/>
    </w:tblStylePr>
    <w:tblStylePr w:type="band2Horz">
      <w:rPr>
        <w:sz w:val="22"/>
      </w:rPr>
      <w:tblPr/>
      <w:tcPr>
        <w:shd w:val="clear" w:color="C0F0C6" w:fill="C0F0C6" w:themeFill="accent3" w:themeFillTint="34"/>
      </w:tcPr>
    </w:tblStylePr>
  </w:style>
  <w:style w:type="table" w:customStyle="1" w:styleId="Lined-Accent4">
    <w:name w:val="Lined - Accent 4"/>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5FCAF3" w:fill="5FCAF3" w:themeFill="accent4" w:themeFillTint="9a"/>
      </w:tcPr>
    </w:tblStylePr>
    <w:tblStylePr w:type="lastRow">
      <w:rPr>
        <w:sz w:val="22"/>
      </w:rPr>
      <w:tblPr/>
      <w:tcPr>
        <w:shd w:val="clear" w:color="5FCAF3" w:fill="5FCAF3" w:themeFill="accent4" w:themeFillTint="9a"/>
      </w:tcPr>
    </w:tblStylePr>
    <w:tblStylePr w:type="firstCol">
      <w:rPr>
        <w:sz w:val="22"/>
      </w:rPr>
      <w:tblPr/>
      <w:tcPr>
        <w:shd w:val="clear" w:color="5FCAF3" w:fill="5FCAF3" w:themeFill="accent4" w:themeFillTint="9a"/>
      </w:tcPr>
    </w:tblStylePr>
    <w:tblStylePr w:type="lastCol">
      <w:rPr>
        <w:sz w:val="22"/>
      </w:rPr>
      <w:tblPr/>
      <w:tcPr>
        <w:shd w:val="clear" w:color="5FCAF3" w:fill="5FCAF3" w:themeFill="accent4" w:themeFillTint="9a"/>
      </w:tcPr>
    </w:tblStylePr>
    <w:tblStylePr w:type="band1Vert">
      <w:rPr>
        <w:sz w:val="22"/>
      </w:rPr>
      <w:tblPr/>
    </w:tblStylePr>
    <w:tblStylePr w:type="band2Vert">
      <w:rPr>
        <w:sz w:val="22"/>
      </w:rPr>
      <w:tblPr/>
      <w:tcPr>
        <w:shd w:val="clear" w:color="C9EDFB" w:fill="C9EDFB" w:themeFill="accent4" w:themeFillTint="34"/>
      </w:tcPr>
    </w:tblStylePr>
    <w:tblStylePr w:type="band1Horz">
      <w:rPr>
        <w:sz w:val="22"/>
      </w:rPr>
      <w:tblPr/>
    </w:tblStylePr>
    <w:tblStylePr w:type="band2Horz">
      <w:rPr>
        <w:sz w:val="22"/>
      </w:rPr>
      <w:tblPr/>
      <w:tcPr>
        <w:shd w:val="clear" w:color="C9EDFB" w:fill="C9EDFB" w:themeFill="accent4" w:themeFillTint="34"/>
      </w:tcPr>
    </w:tblStylePr>
  </w:style>
  <w:style w:type="table" w:customStyle="1" w:styleId="Lined-Accent5">
    <w:name w:val="Lined - Accent 5"/>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A02B93" w:fill="A02B93" w:themeFill="accent5"/>
      </w:tcPr>
    </w:tblStylePr>
    <w:tblStylePr w:type="lastRow">
      <w:rPr>
        <w:sz w:val="22"/>
      </w:rPr>
      <w:tblPr/>
      <w:tcPr>
        <w:shd w:val="clear" w:color="A02B93" w:fill="A02B93" w:themeFill="accent5"/>
      </w:tcPr>
    </w:tblStylePr>
    <w:tblStylePr w:type="firstCol">
      <w:rPr>
        <w:sz w:val="22"/>
      </w:rPr>
      <w:tblPr/>
      <w:tcPr>
        <w:shd w:val="clear" w:color="A02B93" w:fill="A02B93" w:themeFill="accent5"/>
      </w:tcPr>
    </w:tblStylePr>
    <w:tblStylePr w:type="lastCol">
      <w:rPr>
        <w:sz w:val="22"/>
      </w:rPr>
      <w:tblPr/>
      <w:tcPr>
        <w:shd w:val="clear" w:color="A02B93" w:fill="A02B93" w:themeFill="accent5"/>
      </w:tcPr>
    </w:tblStylePr>
    <w:tblStylePr w:type="band1Vert">
      <w:rPr>
        <w:sz w:val="22"/>
      </w:rPr>
      <w:tblPr/>
    </w:tblStylePr>
    <w:tblStylePr w:type="band2Vert">
      <w:rPr>
        <w:sz w:val="22"/>
      </w:rPr>
      <w:tblPr/>
      <w:tcPr>
        <w:shd w:val="clear" w:color="F1CDED" w:fill="F1CDED" w:themeFill="accent5" w:themeFillTint="34"/>
      </w:tcPr>
    </w:tblStylePr>
    <w:tblStylePr w:type="band1Horz">
      <w:rPr>
        <w:sz w:val="22"/>
      </w:rPr>
      <w:tblPr/>
    </w:tblStylePr>
    <w:tblStylePr w:type="band2Horz">
      <w:rPr>
        <w:sz w:val="22"/>
      </w:rPr>
      <w:tblPr/>
      <w:tcPr>
        <w:shd w:val="clear" w:color="F1CDED" w:fill="F1CDED" w:themeFill="accent5" w:themeFillTint="34"/>
      </w:tcPr>
    </w:tblStylePr>
  </w:style>
  <w:style w:type="table" w:customStyle="1" w:styleId="Lined-Accent6">
    <w:name w:val="Lined - Accent 6"/>
    <w:basedOn w:val="TableNormal"/>
    <w:uiPriority w:val="99"/>
    <w:rPr>
      <w:sz w:val="20"/>
      <w:szCs w:val="20"/>
      <w:lang w:eastAsia="en-GB"/>
    </w:rPr>
    <w:tblPr>
      <w:tblStyleRowBandSize w:val="1"/>
      <w:tblStyleColBandSize w:val="1"/>
      <w:tblCellMar>
        <w:top w:w="0" w:type="dxa"/>
        <w:left w:w="108" w:type="dxa"/>
        <w:bottom w:w="0" w:type="dxa"/>
        <w:right w:w="108" w:type="dxa"/>
      </w:tblCellMar>
    </w:tblPr>
    <w:tblStylePr w:type="firstRow">
      <w:rPr>
        <w:sz w:val="22"/>
      </w:rPr>
      <w:tblPr/>
      <w:tcPr>
        <w:shd w:val="clear" w:color="4EA72E" w:fill="4EA72E" w:themeFill="accent6"/>
      </w:tcPr>
    </w:tblStylePr>
    <w:tblStylePr w:type="lastRow">
      <w:rPr>
        <w:sz w:val="22"/>
      </w:rPr>
      <w:tblPr/>
      <w:tcPr>
        <w:shd w:val="clear" w:color="4EA72E" w:fill="4EA72E" w:themeFill="accent6"/>
      </w:tcPr>
    </w:tblStylePr>
    <w:tblStylePr w:type="firstCol">
      <w:rPr>
        <w:sz w:val="22"/>
      </w:rPr>
      <w:tblPr/>
      <w:tcPr>
        <w:shd w:val="clear" w:color="4EA72E" w:fill="4EA72E" w:themeFill="accent6"/>
      </w:tcPr>
    </w:tblStylePr>
    <w:tblStylePr w:type="lastCol">
      <w:rPr>
        <w:sz w:val="22"/>
      </w:rPr>
      <w:tblPr/>
      <w:tcPr>
        <w:shd w:val="clear" w:color="4EA72E" w:fill="4EA72E" w:themeFill="accent6"/>
      </w:tcPr>
    </w:tblStylePr>
    <w:tblStylePr w:type="band1Vert">
      <w:rPr>
        <w:sz w:val="22"/>
      </w:rPr>
      <w:tblPr/>
    </w:tblStylePr>
    <w:tblStylePr w:type="band2Vert">
      <w:rPr>
        <w:sz w:val="22"/>
      </w:rPr>
      <w:tblPr/>
      <w:tcPr>
        <w:shd w:val="clear" w:color="D8F2CF" w:fill="D8F2CF" w:themeFill="accent6" w:themeFillTint="34"/>
      </w:tcPr>
    </w:tblStylePr>
    <w:tblStylePr w:type="band1Horz">
      <w:rPr>
        <w:sz w:val="22"/>
      </w:rPr>
      <w:tblPr/>
    </w:tblStylePr>
    <w:tblStylePr w:type="band2Horz">
      <w:rPr>
        <w:sz w:val="22"/>
      </w:rPr>
      <w:tblPr/>
      <w:tcPr>
        <w:shd w:val="clear" w:color="D8F2CF" w:fill="D8F2CF" w:themeFill="accent6" w:themeFillTint="34"/>
      </w:tcPr>
    </w:tblStylePr>
  </w:style>
  <w:style w:type="table" w:customStyle="1" w:styleId="BorderedLined-Accent">
    <w:name w:val="Bordered &amp; Lined - Accent"/>
    <w:basedOn w:val="TableNormal"/>
    <w:uiPriority w:val="99"/>
    <w:rPr>
      <w:sz w:val="20"/>
      <w:szCs w:val="20"/>
      <w:lang w:eastAsia="en-GB"/>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TableNormal"/>
    <w:uiPriority w:val="99"/>
    <w:rPr>
      <w:sz w:val="20"/>
      <w:szCs w:val="20"/>
      <w:lang w:eastAsia="en-GB"/>
    </w:r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insideH w:val="single" w:color="156082" w:themeColor="accent1" w:sz="4" w:space="0"/>
        <w:insideV w:val="single" w:color="156082" w:themeColor="accent1" w:sz="4" w:space="0"/>
      </w:tblBorders>
      <w:tblCellMar>
        <w:top w:w="0" w:type="dxa"/>
        <w:left w:w="108" w:type="dxa"/>
        <w:bottom w:w="0" w:type="dxa"/>
        <w:right w:w="108" w:type="dxa"/>
      </w:tblCellMar>
    </w:tblPr>
    <w:tblStylePr w:type="firstRow">
      <w:rPr>
        <w:sz w:val="22"/>
      </w:rPr>
      <w:tblPr/>
      <w:tcPr>
        <w:shd w:val="clear" w:color="19729B" w:fill="19729B" w:themeFill="accent1" w:themeFillTint="ea"/>
      </w:tcPr>
    </w:tblStylePr>
    <w:tblStylePr w:type="lastRow">
      <w:rPr>
        <w:sz w:val="22"/>
      </w:rPr>
      <w:tblPr/>
      <w:tcPr>
        <w:shd w:val="clear" w:color="19729B" w:fill="19729B" w:themeFill="accent1" w:themeFillTint="ea"/>
      </w:tcPr>
    </w:tblStylePr>
    <w:tblStylePr w:type="firstCol">
      <w:rPr>
        <w:sz w:val="22"/>
      </w:rPr>
      <w:tblPr/>
      <w:tcPr>
        <w:shd w:val="clear" w:color="19729B" w:fill="19729B" w:themeFill="accent1" w:themeFillTint="ea"/>
      </w:tcPr>
    </w:tblStylePr>
    <w:tblStylePr w:type="lastCol">
      <w:rPr>
        <w:sz w:val="22"/>
      </w:rPr>
      <w:tblPr/>
      <w:tcPr>
        <w:shd w:val="clear" w:color="19729B" w:fill="19729B" w:themeFill="accent1" w:themeFillTint="ea"/>
      </w:tcPr>
    </w:tblStylePr>
    <w:tblStylePr w:type="band1Vert">
      <w:rPr>
        <w:sz w:val="22"/>
      </w:rPr>
      <w:tblPr/>
    </w:tblStylePr>
    <w:tblStylePr w:type="band2Vert">
      <w:rPr>
        <w:sz w:val="22"/>
      </w:rPr>
      <w:tblPr/>
      <w:tcPr>
        <w:shd w:val="clear" w:color="9ED5EF" w:fill="9ED5EF" w:themeFill="accent1" w:themeFillTint="50"/>
      </w:tcPr>
    </w:tblStylePr>
    <w:tblStylePr w:type="band1Horz">
      <w:rPr>
        <w:sz w:val="22"/>
      </w:rPr>
      <w:tblPr/>
    </w:tblStylePr>
    <w:tblStylePr w:type="band2Horz">
      <w:rPr>
        <w:sz w:val="22"/>
      </w:rPr>
      <w:tblPr/>
      <w:tcPr>
        <w:shd w:val="clear" w:color="9ED5EF" w:fill="9ED5EF" w:themeFill="accent1" w:themeFillTint="50"/>
      </w:tcPr>
    </w:tblStylePr>
  </w:style>
  <w:style w:type="table" w:customStyle="1" w:styleId="BorderedLined-Accent2">
    <w:name w:val="Bordered &amp; Lined - Accent 2"/>
    <w:basedOn w:val="TableNormal"/>
    <w:uiPriority w:val="99"/>
    <w:rPr>
      <w:sz w:val="20"/>
      <w:szCs w:val="20"/>
      <w:lang w:eastAsia="en-GB"/>
    </w:r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insideH w:val="single" w:color="E97132" w:themeColor="accent2" w:sz="4" w:space="0"/>
        <w:insideV w:val="single" w:color="E97132" w:themeColor="accent2" w:sz="4" w:space="0"/>
      </w:tblBorders>
      <w:tblCellMar>
        <w:top w:w="0" w:type="dxa"/>
        <w:left w:w="108" w:type="dxa"/>
        <w:bottom w:w="0" w:type="dxa"/>
        <w:right w:w="108" w:type="dxa"/>
      </w:tblCellMar>
    </w:tblPr>
    <w:tblStylePr w:type="firstRow">
      <w:rPr>
        <w:sz w:val="22"/>
      </w:rPr>
      <w:tblPr/>
      <w:tcPr>
        <w:shd w:val="clear" w:color="F2AA85" w:fill="F2AA85" w:themeFill="accent2" w:themeFillTint="97"/>
      </w:tcPr>
    </w:tblStylePr>
    <w:tblStylePr w:type="lastRow">
      <w:rPr>
        <w:sz w:val="22"/>
      </w:rPr>
      <w:tblPr/>
      <w:tcPr>
        <w:shd w:val="clear" w:color="F2AA85" w:fill="F2AA85" w:themeFill="accent2" w:themeFillTint="97"/>
      </w:tcPr>
    </w:tblStylePr>
    <w:tblStylePr w:type="firstCol">
      <w:rPr>
        <w:sz w:val="22"/>
      </w:rPr>
      <w:tblPr/>
      <w:tcPr>
        <w:shd w:val="clear" w:color="F2AA85" w:fill="F2AA85" w:themeFill="accent2" w:themeFillTint="97"/>
      </w:tcPr>
    </w:tblStylePr>
    <w:tblStylePr w:type="lastCol">
      <w:rPr>
        <w:sz w:val="22"/>
      </w:rPr>
      <w:tblPr/>
      <w:tcPr>
        <w:shd w:val="clear" w:color="F2AA85" w:fill="F2AA85" w:themeFill="accent2" w:themeFillTint="97"/>
      </w:tcPr>
    </w:tblStylePr>
    <w:tblStylePr w:type="band1Vert">
      <w:rPr>
        <w:sz w:val="22"/>
      </w:rPr>
      <w:tblPr/>
    </w:tblStylePr>
    <w:tblStylePr w:type="band2Vert">
      <w:rPr>
        <w:sz w:val="22"/>
      </w:rPr>
      <w:tblPr/>
      <w:tcPr>
        <w:shd w:val="clear" w:color="FAE2D6" w:fill="FAE2D6" w:themeFill="accent2" w:themeFillTint="32"/>
      </w:tcPr>
    </w:tblStylePr>
    <w:tblStylePr w:type="band1Horz">
      <w:rPr>
        <w:sz w:val="22"/>
      </w:rPr>
      <w:tblPr/>
    </w:tblStylePr>
    <w:tblStylePr w:type="band2Horz">
      <w:rPr>
        <w:sz w:val="22"/>
      </w:rPr>
      <w:tblPr/>
      <w:tcPr>
        <w:shd w:val="clear" w:color="FAE2D6" w:fill="FAE2D6" w:themeFill="accent2" w:themeFillTint="32"/>
      </w:tcPr>
    </w:tblStylePr>
  </w:style>
  <w:style w:type="table" w:customStyle="1" w:styleId="BorderedLined-Accent3">
    <w:name w:val="Bordered &amp; Lined - Accent 3"/>
    <w:basedOn w:val="TableNormal"/>
    <w:uiPriority w:val="99"/>
    <w:rPr>
      <w:sz w:val="20"/>
      <w:szCs w:val="20"/>
      <w:lang w:eastAsia="en-GB"/>
    </w:r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insideH w:val="single" w:color="196B24" w:themeColor="accent3" w:sz="4" w:space="0"/>
        <w:insideV w:val="single" w:color="196B24" w:themeColor="accent3" w:sz="4" w:space="0"/>
      </w:tblBorders>
      <w:tblCellMar>
        <w:top w:w="0" w:type="dxa"/>
        <w:left w:w="108" w:type="dxa"/>
        <w:bottom w:w="0" w:type="dxa"/>
        <w:right w:w="108" w:type="dxa"/>
      </w:tblCellMar>
    </w:tblPr>
    <w:tblStylePr w:type="firstRow">
      <w:rPr>
        <w:sz w:val="22"/>
      </w:rPr>
      <w:tblPr/>
      <w:tcPr>
        <w:shd w:val="clear" w:color="196C24" w:fill="196C24" w:themeFill="accent3" w:themeFillTint="fe"/>
      </w:tcPr>
    </w:tblStylePr>
    <w:tblStylePr w:type="lastRow">
      <w:rPr>
        <w:sz w:val="22"/>
      </w:rPr>
      <w:tblPr/>
      <w:tcPr>
        <w:shd w:val="clear" w:color="196C24" w:fill="196C24" w:themeFill="accent3" w:themeFillTint="fe"/>
      </w:tcPr>
    </w:tblStylePr>
    <w:tblStylePr w:type="firstCol">
      <w:rPr>
        <w:sz w:val="22"/>
      </w:rPr>
      <w:tblPr/>
      <w:tcPr>
        <w:shd w:val="clear" w:color="196C24" w:fill="196C24" w:themeFill="accent3" w:themeFillTint="fe"/>
      </w:tcPr>
    </w:tblStylePr>
    <w:tblStylePr w:type="lastCol">
      <w:rPr>
        <w:sz w:val="22"/>
      </w:rPr>
      <w:tblPr/>
      <w:tcPr>
        <w:shd w:val="clear" w:color="196C24" w:fill="196C24" w:themeFill="accent3" w:themeFillTint="fe"/>
      </w:tcPr>
    </w:tblStylePr>
    <w:tblStylePr w:type="band1Vert">
      <w:rPr>
        <w:sz w:val="22"/>
      </w:rPr>
      <w:tblPr/>
    </w:tblStylePr>
    <w:tblStylePr w:type="band2Vert">
      <w:rPr>
        <w:sz w:val="22"/>
      </w:rPr>
      <w:tblPr/>
      <w:tcPr>
        <w:shd w:val="clear" w:color="C0F0C6" w:fill="C0F0C6" w:themeFill="accent3" w:themeFillTint="34"/>
      </w:tcPr>
    </w:tblStylePr>
    <w:tblStylePr w:type="band1Horz">
      <w:rPr>
        <w:sz w:val="22"/>
      </w:rPr>
      <w:tblPr/>
    </w:tblStylePr>
    <w:tblStylePr w:type="band2Horz">
      <w:rPr>
        <w:sz w:val="22"/>
      </w:rPr>
      <w:tblPr/>
      <w:tcPr>
        <w:shd w:val="clear" w:color="C0F0C6" w:fill="C0F0C6" w:themeFill="accent3" w:themeFillTint="34"/>
      </w:tcPr>
    </w:tblStylePr>
  </w:style>
  <w:style w:type="table" w:customStyle="1" w:styleId="BorderedLined-Accent4">
    <w:name w:val="Bordered &amp; Lined - Accent 4"/>
    <w:basedOn w:val="TableNormal"/>
    <w:uiPriority w:val="99"/>
    <w:rPr>
      <w:sz w:val="20"/>
      <w:szCs w:val="20"/>
      <w:lang w:eastAsia="en-GB"/>
    </w:r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insideH w:val="single" w:color="0F9ED5" w:themeColor="accent4" w:sz="4" w:space="0"/>
        <w:insideV w:val="single" w:color="0F9ED5" w:themeColor="accent4" w:sz="4" w:space="0"/>
      </w:tblBorders>
      <w:tblCellMar>
        <w:top w:w="0" w:type="dxa"/>
        <w:left w:w="108" w:type="dxa"/>
        <w:bottom w:w="0" w:type="dxa"/>
        <w:right w:w="108" w:type="dxa"/>
      </w:tblCellMar>
    </w:tblPr>
    <w:tblStylePr w:type="firstRow">
      <w:rPr>
        <w:sz w:val="22"/>
      </w:rPr>
      <w:tblPr/>
      <w:tcPr>
        <w:shd w:val="clear" w:color="5FCAF3" w:fill="5FCAF3" w:themeFill="accent4" w:themeFillTint="9a"/>
      </w:tcPr>
    </w:tblStylePr>
    <w:tblStylePr w:type="lastRow">
      <w:rPr>
        <w:sz w:val="22"/>
      </w:rPr>
      <w:tblPr/>
      <w:tcPr>
        <w:shd w:val="clear" w:color="5FCAF3" w:fill="5FCAF3" w:themeFill="accent4" w:themeFillTint="9a"/>
      </w:tcPr>
    </w:tblStylePr>
    <w:tblStylePr w:type="firstCol">
      <w:rPr>
        <w:sz w:val="22"/>
      </w:rPr>
      <w:tblPr/>
      <w:tcPr>
        <w:shd w:val="clear" w:color="5FCAF3" w:fill="5FCAF3" w:themeFill="accent4" w:themeFillTint="9a"/>
      </w:tcPr>
    </w:tblStylePr>
    <w:tblStylePr w:type="lastCol">
      <w:rPr>
        <w:sz w:val="22"/>
      </w:rPr>
      <w:tblPr/>
      <w:tcPr>
        <w:shd w:val="clear" w:color="5FCAF3" w:fill="5FCAF3" w:themeFill="accent4" w:themeFillTint="9a"/>
      </w:tcPr>
    </w:tblStylePr>
    <w:tblStylePr w:type="band1Vert">
      <w:rPr>
        <w:sz w:val="22"/>
      </w:rPr>
      <w:tblPr/>
    </w:tblStylePr>
    <w:tblStylePr w:type="band2Vert">
      <w:rPr>
        <w:sz w:val="22"/>
      </w:rPr>
      <w:tblPr/>
      <w:tcPr>
        <w:shd w:val="clear" w:color="C9EDFB" w:fill="C9EDFB" w:themeFill="accent4" w:themeFillTint="34"/>
      </w:tcPr>
    </w:tblStylePr>
    <w:tblStylePr w:type="band1Horz">
      <w:rPr>
        <w:sz w:val="22"/>
      </w:rPr>
      <w:tblPr/>
    </w:tblStylePr>
    <w:tblStylePr w:type="band2Horz">
      <w:rPr>
        <w:sz w:val="22"/>
      </w:rPr>
      <w:tblPr/>
      <w:tcPr>
        <w:shd w:val="clear" w:color="C9EDFB" w:fill="C9EDFB" w:themeFill="accent4" w:themeFillTint="34"/>
      </w:tcPr>
    </w:tblStylePr>
  </w:style>
  <w:style w:type="table" w:customStyle="1" w:styleId="BorderedLined-Accent5">
    <w:name w:val="Bordered &amp; Lined - Accent 5"/>
    <w:basedOn w:val="TableNormal"/>
    <w:uiPriority w:val="99"/>
    <w:rPr>
      <w:sz w:val="20"/>
      <w:szCs w:val="20"/>
      <w:lang w:eastAsia="en-GB"/>
    </w:r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CellMar>
        <w:top w:w="0" w:type="dxa"/>
        <w:left w:w="108" w:type="dxa"/>
        <w:bottom w:w="0" w:type="dxa"/>
        <w:right w:w="108" w:type="dxa"/>
      </w:tblCellMar>
    </w:tblPr>
    <w:tblStylePr w:type="firstRow">
      <w:rPr>
        <w:sz w:val="22"/>
      </w:rPr>
      <w:tblPr/>
      <w:tcPr>
        <w:shd w:val="clear" w:color="A02B93" w:fill="A02B93" w:themeFill="accent5"/>
      </w:tcPr>
    </w:tblStylePr>
    <w:tblStylePr w:type="lastRow">
      <w:rPr>
        <w:sz w:val="22"/>
      </w:rPr>
      <w:tblPr/>
      <w:tcPr>
        <w:shd w:val="clear" w:color="A02B93" w:fill="A02B93" w:themeFill="accent5"/>
      </w:tcPr>
    </w:tblStylePr>
    <w:tblStylePr w:type="firstCol">
      <w:rPr>
        <w:sz w:val="22"/>
      </w:rPr>
      <w:tblPr/>
      <w:tcPr>
        <w:shd w:val="clear" w:color="A02B93" w:fill="A02B93" w:themeFill="accent5"/>
      </w:tcPr>
    </w:tblStylePr>
    <w:tblStylePr w:type="lastCol">
      <w:rPr>
        <w:sz w:val="22"/>
      </w:rPr>
      <w:tblPr/>
      <w:tcPr>
        <w:shd w:val="clear" w:color="A02B93" w:fill="A02B93" w:themeFill="accent5"/>
      </w:tcPr>
    </w:tblStylePr>
    <w:tblStylePr w:type="band1Vert">
      <w:rPr>
        <w:sz w:val="22"/>
      </w:rPr>
      <w:tblPr/>
    </w:tblStylePr>
    <w:tblStylePr w:type="band2Vert">
      <w:rPr>
        <w:sz w:val="22"/>
      </w:rPr>
      <w:tblPr/>
      <w:tcPr>
        <w:shd w:val="clear" w:color="F1CDED" w:fill="F1CDED" w:themeFill="accent5" w:themeFillTint="34"/>
      </w:tcPr>
    </w:tblStylePr>
    <w:tblStylePr w:type="band1Horz">
      <w:rPr>
        <w:sz w:val="22"/>
      </w:rPr>
      <w:tblPr/>
    </w:tblStylePr>
    <w:tblStylePr w:type="band2Horz">
      <w:rPr>
        <w:sz w:val="22"/>
      </w:rPr>
      <w:tblPr/>
      <w:tcPr>
        <w:shd w:val="clear" w:color="F1CDED" w:fill="F1CDED" w:themeFill="accent5" w:themeFillTint="34"/>
      </w:tcPr>
    </w:tblStylePr>
  </w:style>
  <w:style w:type="table" w:customStyle="1" w:styleId="BorderedLined-Accent6">
    <w:name w:val="Bordered &amp; Lined - Accent 6"/>
    <w:basedOn w:val="TableNormal"/>
    <w:uiPriority w:val="99"/>
    <w:rPr>
      <w:sz w:val="20"/>
      <w:szCs w:val="20"/>
      <w:lang w:eastAsia="en-GB"/>
    </w:r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CellMar>
        <w:top w:w="0" w:type="dxa"/>
        <w:left w:w="108" w:type="dxa"/>
        <w:bottom w:w="0" w:type="dxa"/>
        <w:right w:w="108" w:type="dxa"/>
      </w:tblCellMar>
    </w:tblPr>
    <w:tblStylePr w:type="firstRow">
      <w:rPr>
        <w:sz w:val="22"/>
      </w:rPr>
      <w:tblPr/>
      <w:tcPr>
        <w:shd w:val="clear" w:color="4EA72E" w:fill="4EA72E" w:themeFill="accent6"/>
      </w:tcPr>
    </w:tblStylePr>
    <w:tblStylePr w:type="lastRow">
      <w:rPr>
        <w:sz w:val="22"/>
      </w:rPr>
      <w:tblPr/>
      <w:tcPr>
        <w:shd w:val="clear" w:color="4EA72E" w:fill="4EA72E" w:themeFill="accent6"/>
      </w:tcPr>
    </w:tblStylePr>
    <w:tblStylePr w:type="firstCol">
      <w:rPr>
        <w:sz w:val="22"/>
      </w:rPr>
      <w:tblPr/>
      <w:tcPr>
        <w:shd w:val="clear" w:color="4EA72E" w:fill="4EA72E" w:themeFill="accent6"/>
      </w:tcPr>
    </w:tblStylePr>
    <w:tblStylePr w:type="lastCol">
      <w:rPr>
        <w:sz w:val="22"/>
      </w:rPr>
      <w:tblPr/>
      <w:tcPr>
        <w:shd w:val="clear" w:color="4EA72E" w:fill="4EA72E" w:themeFill="accent6"/>
      </w:tcPr>
    </w:tblStylePr>
    <w:tblStylePr w:type="band1Vert">
      <w:rPr>
        <w:sz w:val="22"/>
      </w:rPr>
      <w:tblPr/>
    </w:tblStylePr>
    <w:tblStylePr w:type="band2Vert">
      <w:rPr>
        <w:sz w:val="22"/>
      </w:rPr>
      <w:tblPr/>
      <w:tcPr>
        <w:shd w:val="clear" w:color="D8F2CF" w:fill="D8F2CF" w:themeFill="accent6" w:themeFillTint="34"/>
      </w:tcPr>
    </w:tblStylePr>
    <w:tblStylePr w:type="band1Horz">
      <w:rPr>
        <w:sz w:val="22"/>
      </w:rPr>
      <w:tblPr/>
    </w:tblStylePr>
    <w:tblStylePr w:type="band2Horz">
      <w:rPr>
        <w:sz w:val="22"/>
      </w:rPr>
      <w:tblPr/>
      <w:tcPr>
        <w:shd w:val="clear" w:color="D8F2CF" w:fill="D8F2CF" w:themeFill="accent6" w:themeFillTint="34"/>
      </w:tcPr>
    </w:tblStylePr>
  </w:style>
  <w:style w:type="table" w:customStyle="1" w:styleId="Bordered">
    <w:name w:val="Bordered"/>
    <w:basedOn w:val="TableNormal"/>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108" w:type="dxa"/>
        <w:bottom w:w="0" w:type="dxa"/>
        <w:right w:w="108" w:type="dxa"/>
      </w:tblCellMar>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TableNormal"/>
    <w:uiPriority w:val="99"/>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CellMar>
        <w:top w:w="0" w:type="dxa"/>
        <w:left w:w="108" w:type="dxa"/>
        <w:bottom w:w="0" w:type="dxa"/>
        <w:right w:w="108" w:type="dxa"/>
      </w:tblCellMar>
    </w:tblPr>
    <w:tblStylePr w:type="firstRow">
      <w:rPr>
        <w:sz w:val="22"/>
      </w:rPr>
      <w:tblPr/>
      <w:tcPr>
        <w:tcBorders>
          <w:bottom w:val="single" w:color="156082" w:themeColor="accent1" w:sz="12" w:space="0"/>
        </w:tcBorders>
      </w:tcPr>
    </w:tblStylePr>
    <w:tblStylePr w:type="lastRow">
      <w:rPr>
        <w:sz w:val="22"/>
      </w:rPr>
      <w:tblPr/>
      <w:tcPr>
        <w:tcBorders>
          <w:top w:val="single" w:color="156082" w:themeColor="accent1" w:sz="12" w:space="0"/>
        </w:tcBorders>
      </w:tcPr>
    </w:tblStylePr>
    <w:tblStylePr w:type="firstCol">
      <w:rPr>
        <w:sz w:val="22"/>
      </w:rPr>
      <w:tblPr/>
    </w:tblStylePr>
    <w:tblStylePr w:type="lastCol">
      <w:rPr>
        <w:sz w:val="22"/>
      </w:rPr>
      <w:tblPr/>
      <w:tcPr>
        <w:tcBorders>
          <w:left w:val="single" w:color="156082" w:themeColor="accent1" w:sz="12" w:space="0"/>
        </w:tcBorders>
      </w:tcPr>
    </w:tblStylePr>
    <w:tblStylePr w:type="band1Horz">
      <w:rPr>
        <w:sz w:val="22"/>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tcBorders>
      </w:tcPr>
    </w:tblStylePr>
  </w:style>
  <w:style w:type="table" w:customStyle="1" w:styleId="Bordered-Accent2">
    <w:name w:val="Bordered - Accent 2"/>
    <w:basedOn w:val="TableNormal"/>
    <w:uiPriority w:val="99"/>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CellMar>
        <w:top w:w="0" w:type="dxa"/>
        <w:left w:w="108" w:type="dxa"/>
        <w:bottom w:w="0" w:type="dxa"/>
        <w:right w:w="108" w:type="dxa"/>
      </w:tblCellMar>
    </w:tblPr>
    <w:tblStylePr w:type="firstRow">
      <w:rPr>
        <w:sz w:val="22"/>
      </w:rPr>
      <w:tblPr/>
      <w:tcPr>
        <w:tcBorders>
          <w:bottom w:val="single" w:color="E97132" w:themeColor="accent2" w:sz="12" w:space="0"/>
        </w:tcBorders>
      </w:tcPr>
    </w:tblStylePr>
    <w:tblStylePr w:type="lastRow">
      <w:rPr>
        <w:sz w:val="22"/>
      </w:rPr>
      <w:tblPr/>
      <w:tcPr>
        <w:tcBorders>
          <w:top w:val="single" w:color="E97132" w:themeColor="accent2" w:sz="12" w:space="0"/>
        </w:tcBorders>
      </w:tcPr>
    </w:tblStylePr>
    <w:tblStylePr w:type="firstCol">
      <w:rPr>
        <w:sz w:val="22"/>
      </w:rPr>
      <w:tblPr/>
    </w:tblStylePr>
    <w:tblStylePr w:type="lastCol">
      <w:rPr>
        <w:sz w:val="22"/>
      </w:rPr>
      <w:tblPr/>
      <w:tcPr>
        <w:tcBorders>
          <w:left w:val="single" w:color="E97132" w:themeColor="accent2" w:sz="12" w:space="0"/>
        </w:tcBorders>
      </w:tcPr>
    </w:tblStylePr>
    <w:tblStylePr w:type="band1Horz">
      <w:rPr>
        <w:sz w:val="22"/>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tcBorders>
      </w:tcPr>
    </w:tblStylePr>
  </w:style>
  <w:style w:type="table" w:customStyle="1" w:styleId="Bordered-Accent3">
    <w:name w:val="Bordered - Accent 3"/>
    <w:basedOn w:val="TableNormal"/>
    <w:uiPriority w:val="99"/>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CellMar>
        <w:top w:w="0" w:type="dxa"/>
        <w:left w:w="108" w:type="dxa"/>
        <w:bottom w:w="0" w:type="dxa"/>
        <w:right w:w="108" w:type="dxa"/>
      </w:tblCellMar>
    </w:tblPr>
    <w:tblStylePr w:type="firstRow">
      <w:rPr>
        <w:sz w:val="22"/>
      </w:rPr>
      <w:tblPr/>
      <w:tcPr>
        <w:tcBorders>
          <w:bottom w:val="single" w:color="196B24" w:themeColor="accent3" w:sz="12" w:space="0"/>
        </w:tcBorders>
      </w:tcPr>
    </w:tblStylePr>
    <w:tblStylePr w:type="lastRow">
      <w:rPr>
        <w:sz w:val="22"/>
      </w:rPr>
      <w:tblPr/>
      <w:tcPr>
        <w:tcBorders>
          <w:top w:val="single" w:color="196B24" w:themeColor="accent3" w:sz="12" w:space="0"/>
        </w:tcBorders>
      </w:tcPr>
    </w:tblStylePr>
    <w:tblStylePr w:type="firstCol">
      <w:rPr>
        <w:sz w:val="22"/>
      </w:rPr>
      <w:tblPr/>
    </w:tblStylePr>
    <w:tblStylePr w:type="lastCol">
      <w:rPr>
        <w:sz w:val="22"/>
      </w:rPr>
      <w:tblPr/>
      <w:tcPr>
        <w:tcBorders>
          <w:left w:val="single" w:color="196B24" w:themeColor="accent3" w:sz="12" w:space="0"/>
        </w:tcBorders>
      </w:tcPr>
    </w:tblStylePr>
    <w:tblStylePr w:type="band1Horz">
      <w:rPr>
        <w:sz w:val="22"/>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tcBorders>
      </w:tcPr>
    </w:tblStylePr>
  </w:style>
  <w:style w:type="table" w:customStyle="1" w:styleId="Bordered-Accent4">
    <w:name w:val="Bordered - Accent 4"/>
    <w:basedOn w:val="TableNormal"/>
    <w:uiPriority w:val="99"/>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CellMar>
        <w:top w:w="0" w:type="dxa"/>
        <w:left w:w="108" w:type="dxa"/>
        <w:bottom w:w="0" w:type="dxa"/>
        <w:right w:w="108" w:type="dxa"/>
      </w:tblCellMar>
    </w:tblPr>
    <w:tblStylePr w:type="firstRow">
      <w:rPr>
        <w:sz w:val="22"/>
      </w:rPr>
      <w:tblPr/>
      <w:tcPr>
        <w:tcBorders>
          <w:bottom w:val="single" w:color="0F9ED5" w:themeColor="accent4" w:sz="12" w:space="0"/>
        </w:tcBorders>
      </w:tcPr>
    </w:tblStylePr>
    <w:tblStylePr w:type="lastRow">
      <w:rPr>
        <w:sz w:val="22"/>
      </w:rPr>
      <w:tblPr/>
      <w:tcPr>
        <w:tcBorders>
          <w:top w:val="single" w:color="0F9ED5" w:themeColor="accent4" w:sz="12" w:space="0"/>
        </w:tcBorders>
      </w:tcPr>
    </w:tblStylePr>
    <w:tblStylePr w:type="firstCol">
      <w:rPr>
        <w:sz w:val="22"/>
      </w:rPr>
      <w:tblPr/>
    </w:tblStylePr>
    <w:tblStylePr w:type="lastCol">
      <w:rPr>
        <w:sz w:val="22"/>
      </w:rPr>
      <w:tblPr/>
      <w:tcPr>
        <w:tcBorders>
          <w:left w:val="single" w:color="0F9ED5" w:themeColor="accent4" w:sz="12" w:space="0"/>
        </w:tcBorders>
      </w:tcPr>
    </w:tblStylePr>
    <w:tblStylePr w:type="band1Horz">
      <w:rPr>
        <w:sz w:val="22"/>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tcBorders>
      </w:tcPr>
    </w:tblStylePr>
  </w:style>
  <w:style w:type="table" w:customStyle="1" w:styleId="Bordered-Accent5">
    <w:name w:val="Bordered - Accent 5"/>
    <w:basedOn w:val="TableNormal"/>
    <w:uiPriority w:val="99"/>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CellMar>
        <w:top w:w="0" w:type="dxa"/>
        <w:left w:w="108" w:type="dxa"/>
        <w:bottom w:w="0" w:type="dxa"/>
        <w:right w:w="108" w:type="dxa"/>
      </w:tblCellMar>
    </w:tblPr>
    <w:tblStylePr w:type="firstRow">
      <w:rPr>
        <w:sz w:val="22"/>
      </w:rPr>
      <w:tblPr/>
      <w:tcPr>
        <w:tcBorders>
          <w:bottom w:val="single" w:color="A02B93" w:themeColor="accent5" w:sz="12" w:space="0"/>
        </w:tcBorders>
      </w:tcPr>
    </w:tblStylePr>
    <w:tblStylePr w:type="lastRow">
      <w:rPr>
        <w:sz w:val="22"/>
      </w:rPr>
      <w:tblPr/>
      <w:tcPr>
        <w:tcBorders>
          <w:top w:val="single" w:color="A02B93" w:themeColor="accent5" w:sz="12" w:space="0"/>
        </w:tcBorders>
      </w:tcPr>
    </w:tblStylePr>
    <w:tblStylePr w:type="firstCol">
      <w:rPr>
        <w:sz w:val="22"/>
      </w:rPr>
      <w:tblPr/>
    </w:tblStylePr>
    <w:tblStylePr w:type="lastCol">
      <w:rPr>
        <w:sz w:val="22"/>
      </w:rPr>
      <w:tblPr/>
      <w:tcPr>
        <w:tcBorders>
          <w:left w:val="single" w:color="A02B93" w:themeColor="accent5" w:sz="12" w:space="0"/>
        </w:tcBorders>
      </w:tcPr>
    </w:tblStylePr>
    <w:tblStylePr w:type="band1Horz">
      <w:rPr>
        <w:sz w:val="22"/>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style>
  <w:style w:type="table" w:customStyle="1" w:styleId="Bordered-Accent6">
    <w:name w:val="Bordered - Accent 6"/>
    <w:basedOn w:val="TableNormal"/>
    <w:uiPriority w:val="99"/>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CellMar>
        <w:top w:w="0" w:type="dxa"/>
        <w:left w:w="108" w:type="dxa"/>
        <w:bottom w:w="0" w:type="dxa"/>
        <w:right w:w="108" w:type="dxa"/>
      </w:tblCellMar>
    </w:tblPr>
    <w:tblStylePr w:type="firstRow">
      <w:rPr>
        <w:sz w:val="22"/>
      </w:rPr>
      <w:tblPr/>
      <w:tcPr>
        <w:tcBorders>
          <w:bottom w:val="single" w:color="4EA72E" w:themeColor="accent6" w:sz="12" w:space="0"/>
        </w:tcBorders>
      </w:tcPr>
    </w:tblStylePr>
    <w:tblStylePr w:type="lastRow">
      <w:rPr>
        <w:sz w:val="22"/>
      </w:rPr>
      <w:tblPr/>
      <w:tcPr>
        <w:tcBorders>
          <w:top w:val="single" w:color="4EA72E" w:themeColor="accent6" w:sz="12" w:space="0"/>
        </w:tcBorders>
      </w:tcPr>
    </w:tblStylePr>
    <w:tblStylePr w:type="firstCol">
      <w:rPr>
        <w:sz w:val="22"/>
      </w:rPr>
      <w:tblPr/>
    </w:tblStylePr>
    <w:tblStylePr w:type="lastCol">
      <w:rPr>
        <w:sz w:val="22"/>
      </w:rPr>
      <w:tblPr/>
      <w:tcPr>
        <w:tcBorders>
          <w:left w:val="single" w:color="4EA72E" w:themeColor="accent6" w:sz="12" w:space="0"/>
        </w:tcBorders>
      </w:tcPr>
    </w:tblStylePr>
    <w:tblStylePr w:type="band1Horz">
      <w:rPr>
        <w:sz w:val="22"/>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style>
</w:style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ustomXml" Target="../customXml/item4.xml"/><Relationship Id="rId3" Type="http://schemas.openxmlformats.org/officeDocument/2006/relationships/footer" Target="footer1.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image" Target="media/image1.png"/><Relationship Id="rId1" Type="http://schemas.openxmlformats.org/officeDocument/2006/relationships/styles" Target="styles.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footer" Target="footer3.xml"/><Relationship Id="rId10" Type="http://schemas.openxmlformats.org/officeDocument/2006/relationships/customXml" Target="../customXml/item1.xml"/><Relationship Id="rId4" Type="http://schemas.openxmlformats.org/officeDocument/2006/relationships/footer" Target="footer2.xml"/><Relationship Id="rId9" Type="http://schemas.openxmlformats.org/officeDocument/2006/relationships/theme" Target="theme/theme1.xml"/></Relationships>
</file>

<file path=word/_rels/footnotes.xml.rels><?xml version="1.0" encoding="UTF-8"?>
<Relationships xmlns="http://schemas.openxmlformats.org/package/2006/relationships"><Relationship Id="rId1" Type="http://schemas.openxmlformats.org/officeDocument/2006/relationships/hyperlink" Target="https://www.apc.org/en/about/who-we-are" TargetMode="External"/><Relationship Id="rId2" Type="http://schemas.openxmlformats.org/officeDocument/2006/relationships/hyperlink" Target="https://www.apc.org/en/glossary/technology-facilitated-gender-based-violence" TargetMode="External"/><Relationship Id="rId3" Type="http://schemas.openxmlformats.org/officeDocument/2006/relationships/hyperlink" Target="https://www.apc.org/sites/default/files/ai-and-tfgbv-research_final.pdf?utm_source=chatgpt.com" TargetMode="External"/><Relationship Id="rId4" Type="http://schemas.openxmlformats.org/officeDocument/2006/relationships/hyperlink" Target="https://www.ohchr.org/sites/default/files/documents/hrbodies/ccpr/cfis/gc38-22/subm-general-comment-un-enti-85-un-wg-disc-ag-girls.docx?utm_source=chatgpt.com" TargetMode="External"/><Relationship Id="rId5" Type="http://schemas.openxmlformats.org/officeDocument/2006/relationships/hyperlink" Target="https://www.ohchr.org/sites/default/files/documents/form/digital-surveillance-chilling-effects-shadows-erosion-freedom-1-en.pdf?utm_source=chatgpt.com" TargetMode="External"/><Relationship Id="rId6" Type="http://schemas.openxmlformats.org/officeDocument/2006/relationships/hyperlink" Target="https://docs.un.org/en/A/HRC/41/41?utm_source=chatgpt.com" TargetMode="External"/><Relationship Id="rId7" Type="http://schemas.openxmlformats.org/officeDocument/2006/relationships/hyperlink" Target="https://www.apc.org/en/pubs/ecosystem-digital-repression-silencing-women-human-rights-defenders-and-other-pro-democracy?utm_source=chatgpt.com" TargetMode="External"/><Relationship Id="rId8" Type="http://schemas.openxmlformats.org/officeDocument/2006/relationships/hyperlink" Target="https://www.apc.org/en/glossary/community-centred-connectivity" TargetMode="External"/><Relationship Id="rId9" Type="http://schemas.openxmlformats.org/officeDocument/2006/relationships/hyperlink" Target="https://www.apc.org/en/pubs/hrc47-joint-oral-statement-internet-shutdowns-context-protests?utm_source=chatgpt.com" TargetMode="External"/><Relationship Id="rId10" Type="http://schemas.openxmlformats.org/officeDocument/2006/relationships/hyperlink" Target="https://blogs.icrc.org/law-and-policy/2025/07/03/international-humanitarian-law-and-connectivity-disruptions-during-armed-conflict/" TargetMode="External"/><Relationship Id="rId11" Type="http://schemas.openxmlformats.org/officeDocument/2006/relationships/hyperlink" Target="https://www.apc.org/en/pubs/apc-submission-protection-against-violence-and-discrimination-based-sexual-orientation-and?utm_source=chatgpt.com" TargetMode="External"/><Relationship Id="rId12" Type="http://schemas.openxmlformats.org/officeDocument/2006/relationships/hyperlink" Target="https://www.apc.org/en/pubs/apc-submission-office-high-commissioner-human-rights-input-report-human-rights-defenders-and?utm_source=chatgpt.com" TargetMode="External"/><Relationship Id="rId13" Type="http://schemas.openxmlformats.org/officeDocument/2006/relationships/hyperlink" Target="https://www.apc.org/en/pubs/apc-submission-un-working-group-business-and-human-rights-issue-procurement-and-deployment-ai?utm_source=chatgpt.com" TargetMode="External"/><Relationship Id="rId14" Type="http://schemas.openxmlformats.org/officeDocument/2006/relationships/hyperlink" Target="https://www.ohchr.org/sites/default/files/documents/cfi-subm/2026/359-gc38-22/subm-comments-general-cso-54-intern-icnl-icnl.docx?utm_source=chatgpt.com"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Arial" pitchFamily="0" charset="1"/>
        <a:cs typeface="Arial" pitchFamily="0" charset="1"/>
      </a:majorFont>
      <a:minorFont>
        <a:latin typeface="Aptos"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CSOs</Category>
    <Filename xmlns="d42e65b2-cf21-49c1-b27d-d23f90380c0e" xsi:nil="true"/>
    <Doctype xmlns="d42e65b2-cf21-49c1-b27d-d23f90380c0e">input</Doctype>
    <Contributor xmlns="d42e65b2-cf21-49c1-b27d-d23f90380c0e">Association for Progressive Communications (APC)</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2660FE57-1C88-5843-8C06-80759CDA2A24}">
  <ds:schemaRefs>
    <ds:schemaRef ds:uri="http://schemas.openxmlformats.org/officeDocument/2006/bibliography"/>
  </ds:schemaRefs>
</ds:datastoreItem>
</file>

<file path=customXml/itemProps2.xml><?xml version="1.0" encoding="utf-8"?>
<ds:datastoreItem xmlns:ds="http://schemas.openxmlformats.org/officeDocument/2006/customXml" ds:itemID="{2EC5DF57-E57F-4292-9E97-BE6D7AC8652C}"/>
</file>

<file path=customXml/itemProps3.xml><?xml version="1.0" encoding="utf-8"?>
<ds:datastoreItem xmlns:ds="http://schemas.openxmlformats.org/officeDocument/2006/customXml" ds:itemID="{998F02C1-DF38-40B3-B027-3BD70C4F5324}"/>
</file>

<file path=customXml/itemProps4.xml><?xml version="1.0" encoding="utf-8"?>
<ds:datastoreItem xmlns:ds="http://schemas.openxmlformats.org/officeDocument/2006/customXml" ds:itemID="{ABE7B371-A562-4BC9-B24F-807C753EF732}"/>
</file>

<file path=docProps/app.xml><?xml version="1.0" encoding="utf-8"?>
<Properties xmlns="http://schemas.openxmlformats.org/officeDocument/2006/extended-properties" xmlns:vt="http://schemas.openxmlformats.org/officeDocument/2006/docPropsVTypes">
  <Template>Normal.dotm</Template>
  <TotalTime>3</TotalTime>
  <Application>LibreOffice/26.2.1.2$MacOSX_AARCH64 LibreOffice_project/8399f6259d8c87f40e7255cdb3c9b958f5e08948</Application>
  <AppVersion>15.0000</AppVersion>
  <Pages>14</Pages>
  <Words>3656</Words>
  <Characters>24531</Characters>
  <CharactersWithSpaces>28138</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Sheetal Kumar</dc:creator>
  <dc:description/>
  <cp:lastModifiedBy/>
  <cp:revision>4</cp:revision>
  <dcterms:created xsi:type="dcterms:W3CDTF">2026-07-15T16:29:00Z</dcterms:created>
  <dcterms:modified xsi:type="dcterms:W3CDTF">2026-07-15T13:36:47Z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