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7FAF7" w14:textId="77777777" w:rsidR="00F878F9" w:rsidRDefault="00F878F9" w:rsidP="00F878F9">
      <w:pPr>
        <w:spacing w:after="0" w:line="240" w:lineRule="auto"/>
        <w:jc w:val="center"/>
        <w:rPr>
          <w:rFonts w:asciiTheme="majorBidi" w:hAnsiTheme="majorBidi" w:cstheme="majorBidi"/>
          <w:b/>
          <w:bCs/>
        </w:rPr>
      </w:pPr>
    </w:p>
    <w:p w14:paraId="7CE3A2FA" w14:textId="77777777" w:rsidR="00F878F9" w:rsidRDefault="00F878F9" w:rsidP="00F878F9">
      <w:pPr>
        <w:spacing w:after="0" w:line="240" w:lineRule="auto"/>
        <w:jc w:val="center"/>
        <w:rPr>
          <w:rFonts w:asciiTheme="majorBidi" w:hAnsiTheme="majorBidi" w:cstheme="majorBidi"/>
          <w:b/>
          <w:bCs/>
        </w:rPr>
      </w:pPr>
    </w:p>
    <w:p w14:paraId="43F05B70" w14:textId="77777777" w:rsidR="00F878F9" w:rsidRDefault="00F878F9" w:rsidP="00F878F9">
      <w:pPr>
        <w:spacing w:after="0" w:line="240" w:lineRule="auto"/>
        <w:jc w:val="center"/>
        <w:rPr>
          <w:rFonts w:asciiTheme="majorBidi" w:hAnsiTheme="majorBidi" w:cstheme="majorBidi"/>
          <w:b/>
          <w:bCs/>
        </w:rPr>
      </w:pPr>
    </w:p>
    <w:p w14:paraId="76F0B306" w14:textId="77777777" w:rsidR="00F878F9" w:rsidRDefault="00F878F9" w:rsidP="00F878F9">
      <w:pPr>
        <w:spacing w:after="0" w:line="240" w:lineRule="auto"/>
        <w:jc w:val="center"/>
        <w:rPr>
          <w:rFonts w:asciiTheme="majorBidi" w:hAnsiTheme="majorBidi" w:cstheme="majorBidi"/>
          <w:b/>
          <w:bCs/>
        </w:rPr>
      </w:pPr>
    </w:p>
    <w:p w14:paraId="0B10D722" w14:textId="77777777" w:rsidR="00F878F9" w:rsidRDefault="00F878F9" w:rsidP="00F878F9">
      <w:pPr>
        <w:spacing w:after="80"/>
        <w:jc w:val="center"/>
        <w:rPr>
          <w:b/>
          <w:bCs/>
          <w:sz w:val="32"/>
          <w:szCs w:val="32"/>
        </w:rPr>
      </w:pPr>
      <w:r>
        <w:rPr>
          <w:noProof/>
        </w:rPr>
        <w:drawing>
          <wp:inline distT="0" distB="0" distL="0" distR="0" wp14:anchorId="3B9718C1" wp14:editId="2E9D6D9F">
            <wp:extent cx="2722729" cy="2237740"/>
            <wp:effectExtent l="0" t="0" r="1905" b="0"/>
            <wp:docPr id="641662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443" cy="2254764"/>
                    </a:xfrm>
                    <a:prstGeom prst="rect">
                      <a:avLst/>
                    </a:prstGeom>
                    <a:noFill/>
                    <a:ln>
                      <a:noFill/>
                    </a:ln>
                  </pic:spPr>
                </pic:pic>
              </a:graphicData>
            </a:graphic>
          </wp:inline>
        </w:drawing>
      </w:r>
    </w:p>
    <w:p w14:paraId="2019E0D6" w14:textId="77777777" w:rsidR="00F878F9" w:rsidRDefault="00F878F9" w:rsidP="00F878F9">
      <w:pPr>
        <w:spacing w:after="80"/>
        <w:jc w:val="center"/>
        <w:rPr>
          <w:b/>
          <w:bCs/>
          <w:sz w:val="32"/>
          <w:szCs w:val="32"/>
        </w:rPr>
      </w:pPr>
    </w:p>
    <w:p w14:paraId="1BD32F09" w14:textId="77777777" w:rsidR="00F878F9" w:rsidRDefault="00F878F9" w:rsidP="00F878F9">
      <w:pPr>
        <w:spacing w:after="80"/>
        <w:jc w:val="center"/>
        <w:rPr>
          <w:b/>
          <w:bCs/>
          <w:sz w:val="32"/>
          <w:szCs w:val="32"/>
        </w:rPr>
      </w:pPr>
    </w:p>
    <w:p w14:paraId="0FC03614" w14:textId="77777777" w:rsidR="00F878F9" w:rsidRPr="00C346D7" w:rsidRDefault="00F878F9" w:rsidP="00F878F9">
      <w:pPr>
        <w:spacing w:after="0" w:line="240" w:lineRule="auto"/>
        <w:jc w:val="center"/>
        <w:rPr>
          <w:rFonts w:asciiTheme="majorBidi" w:hAnsiTheme="majorBidi" w:cstheme="majorBidi"/>
          <w:b/>
          <w:bCs/>
          <w:sz w:val="25"/>
          <w:szCs w:val="25"/>
        </w:rPr>
      </w:pPr>
      <w:r w:rsidRPr="00C346D7">
        <w:rPr>
          <w:rFonts w:asciiTheme="majorBidi" w:hAnsiTheme="majorBidi" w:cstheme="majorBidi"/>
          <w:b/>
          <w:bCs/>
          <w:sz w:val="25"/>
          <w:szCs w:val="25"/>
        </w:rPr>
        <w:t>Written Submission to the UN Human Rights Committee on</w:t>
      </w:r>
    </w:p>
    <w:p w14:paraId="5BE74D85" w14:textId="77777777" w:rsidR="00F878F9" w:rsidRPr="00C346D7" w:rsidRDefault="00F878F9" w:rsidP="00F878F9">
      <w:pPr>
        <w:spacing w:after="0" w:line="240" w:lineRule="auto"/>
        <w:jc w:val="center"/>
        <w:rPr>
          <w:rFonts w:asciiTheme="majorBidi" w:hAnsiTheme="majorBidi" w:cstheme="majorBidi"/>
          <w:b/>
          <w:bCs/>
          <w:sz w:val="25"/>
          <w:szCs w:val="25"/>
        </w:rPr>
      </w:pPr>
      <w:r w:rsidRPr="00C346D7">
        <w:rPr>
          <w:rFonts w:asciiTheme="majorBidi" w:hAnsiTheme="majorBidi" w:cstheme="majorBidi"/>
          <w:b/>
          <w:bCs/>
          <w:sz w:val="25"/>
          <w:szCs w:val="25"/>
        </w:rPr>
        <w:t xml:space="preserve"> Draft General Comment No. 38 on Article 22 of the ICCPR </w:t>
      </w:r>
    </w:p>
    <w:p w14:paraId="5395C041" w14:textId="77777777" w:rsidR="00F878F9" w:rsidRPr="00C346D7" w:rsidRDefault="00F878F9" w:rsidP="00F878F9">
      <w:pPr>
        <w:spacing w:after="0" w:line="240" w:lineRule="auto"/>
        <w:jc w:val="center"/>
        <w:rPr>
          <w:rFonts w:asciiTheme="majorBidi" w:hAnsiTheme="majorBidi" w:cstheme="majorBidi"/>
          <w:b/>
          <w:bCs/>
          <w:sz w:val="25"/>
          <w:szCs w:val="25"/>
        </w:rPr>
      </w:pPr>
      <w:r w:rsidRPr="00C346D7">
        <w:rPr>
          <w:rFonts w:asciiTheme="majorBidi" w:hAnsiTheme="majorBidi" w:cstheme="majorBidi"/>
          <w:b/>
          <w:bCs/>
          <w:sz w:val="25"/>
          <w:szCs w:val="25"/>
        </w:rPr>
        <w:t>(Right to Freedom of Association)</w:t>
      </w:r>
    </w:p>
    <w:p w14:paraId="32FD6EC2" w14:textId="77777777" w:rsidR="00F878F9" w:rsidRDefault="00F878F9" w:rsidP="00F878F9">
      <w:pPr>
        <w:spacing w:after="0" w:line="240" w:lineRule="auto"/>
        <w:jc w:val="center"/>
        <w:rPr>
          <w:rFonts w:asciiTheme="majorBidi" w:hAnsiTheme="majorBidi" w:cstheme="majorBidi"/>
          <w:b/>
          <w:bCs/>
        </w:rPr>
      </w:pPr>
    </w:p>
    <w:p w14:paraId="3F8EC698" w14:textId="77777777" w:rsidR="00F878F9" w:rsidRDefault="00F878F9" w:rsidP="00F878F9">
      <w:pPr>
        <w:spacing w:after="0" w:line="240" w:lineRule="auto"/>
        <w:jc w:val="center"/>
        <w:rPr>
          <w:rFonts w:asciiTheme="majorBidi" w:hAnsiTheme="majorBidi" w:cstheme="majorBidi"/>
          <w:b/>
          <w:bCs/>
        </w:rPr>
      </w:pPr>
    </w:p>
    <w:p w14:paraId="63657EF2" w14:textId="77777777" w:rsidR="00F878F9" w:rsidRDefault="00F878F9" w:rsidP="00F878F9">
      <w:pPr>
        <w:spacing w:after="0" w:line="240" w:lineRule="auto"/>
        <w:jc w:val="center"/>
        <w:rPr>
          <w:rFonts w:asciiTheme="majorBidi" w:hAnsiTheme="majorBidi" w:cstheme="majorBidi"/>
          <w:b/>
          <w:bCs/>
        </w:rPr>
      </w:pPr>
    </w:p>
    <w:p w14:paraId="47C3FFED" w14:textId="77777777" w:rsidR="00F878F9" w:rsidRDefault="00F878F9" w:rsidP="00F878F9">
      <w:pPr>
        <w:spacing w:after="0" w:line="240" w:lineRule="auto"/>
        <w:jc w:val="center"/>
        <w:rPr>
          <w:rFonts w:asciiTheme="majorBidi" w:hAnsiTheme="majorBidi" w:cstheme="majorBidi"/>
          <w:b/>
          <w:bCs/>
        </w:rPr>
      </w:pPr>
      <w:r>
        <w:rPr>
          <w:rFonts w:asciiTheme="majorBidi" w:hAnsiTheme="majorBidi" w:cstheme="majorBidi"/>
          <w:b/>
          <w:bCs/>
        </w:rPr>
        <w:t>Submitted July 15, 2026</w:t>
      </w:r>
    </w:p>
    <w:p w14:paraId="453E0429" w14:textId="77777777" w:rsidR="00F878F9" w:rsidRDefault="00F878F9" w:rsidP="00F878F9">
      <w:pPr>
        <w:spacing w:after="0" w:line="240" w:lineRule="auto"/>
        <w:jc w:val="center"/>
        <w:rPr>
          <w:rFonts w:asciiTheme="majorBidi" w:hAnsiTheme="majorBidi" w:cstheme="majorBidi"/>
          <w:b/>
          <w:bCs/>
        </w:rPr>
      </w:pPr>
    </w:p>
    <w:p w14:paraId="7732634C" w14:textId="77777777" w:rsidR="00F878F9" w:rsidRDefault="00F878F9" w:rsidP="00F878F9">
      <w:pPr>
        <w:spacing w:after="0" w:line="240" w:lineRule="auto"/>
        <w:jc w:val="center"/>
        <w:rPr>
          <w:rFonts w:asciiTheme="majorBidi" w:hAnsiTheme="majorBidi" w:cstheme="majorBidi"/>
          <w:b/>
          <w:bCs/>
        </w:rPr>
      </w:pPr>
    </w:p>
    <w:p w14:paraId="6318429C" w14:textId="77777777" w:rsidR="00F878F9" w:rsidRDefault="00F878F9" w:rsidP="00F878F9">
      <w:pPr>
        <w:spacing w:after="0" w:line="240" w:lineRule="auto"/>
        <w:jc w:val="center"/>
        <w:rPr>
          <w:rFonts w:asciiTheme="majorBidi" w:hAnsiTheme="majorBidi" w:cstheme="majorBidi"/>
          <w:b/>
          <w:bCs/>
        </w:rPr>
      </w:pPr>
    </w:p>
    <w:p w14:paraId="34C03902" w14:textId="77777777" w:rsidR="00F878F9" w:rsidRDefault="00F878F9" w:rsidP="00F878F9">
      <w:pPr>
        <w:spacing w:after="0" w:line="240" w:lineRule="auto"/>
        <w:jc w:val="center"/>
        <w:rPr>
          <w:rFonts w:asciiTheme="majorBidi" w:hAnsiTheme="majorBidi" w:cstheme="majorBidi"/>
          <w:b/>
          <w:bCs/>
        </w:rPr>
      </w:pPr>
    </w:p>
    <w:p w14:paraId="4D57CF80" w14:textId="77777777" w:rsidR="00F878F9" w:rsidRDefault="00F878F9" w:rsidP="00F878F9">
      <w:pPr>
        <w:spacing w:after="0" w:line="240" w:lineRule="auto"/>
        <w:jc w:val="center"/>
        <w:rPr>
          <w:rFonts w:asciiTheme="majorBidi" w:hAnsiTheme="majorBidi" w:cstheme="majorBidi"/>
          <w:b/>
          <w:bCs/>
        </w:rPr>
      </w:pPr>
    </w:p>
    <w:p w14:paraId="3CC0502B" w14:textId="77777777" w:rsidR="00F878F9" w:rsidRDefault="00F878F9" w:rsidP="00F878F9">
      <w:pPr>
        <w:spacing w:after="0" w:line="240" w:lineRule="auto"/>
        <w:jc w:val="center"/>
        <w:rPr>
          <w:rFonts w:asciiTheme="majorBidi" w:hAnsiTheme="majorBidi" w:cstheme="majorBidi"/>
          <w:b/>
          <w:bCs/>
        </w:rPr>
      </w:pPr>
    </w:p>
    <w:p w14:paraId="38D06653" w14:textId="77777777" w:rsidR="00F878F9" w:rsidRDefault="00F878F9" w:rsidP="00F878F9">
      <w:pPr>
        <w:spacing w:after="0" w:line="240" w:lineRule="auto"/>
        <w:jc w:val="center"/>
        <w:rPr>
          <w:rFonts w:asciiTheme="majorBidi" w:hAnsiTheme="majorBidi" w:cstheme="majorBidi"/>
          <w:b/>
          <w:bCs/>
        </w:rPr>
      </w:pPr>
    </w:p>
    <w:p w14:paraId="2DF25CCA" w14:textId="77777777" w:rsidR="00F878F9" w:rsidRDefault="00F878F9" w:rsidP="00F878F9">
      <w:pPr>
        <w:spacing w:after="0" w:line="240" w:lineRule="auto"/>
        <w:rPr>
          <w:rFonts w:asciiTheme="majorBidi" w:hAnsiTheme="majorBidi" w:cstheme="majorBidi"/>
          <w:b/>
          <w:bCs/>
        </w:rPr>
      </w:pPr>
    </w:p>
    <w:p w14:paraId="45DE74AB" w14:textId="77777777" w:rsidR="00F878F9" w:rsidRDefault="00F878F9" w:rsidP="00F878F9">
      <w:pPr>
        <w:spacing w:after="0" w:line="240" w:lineRule="auto"/>
        <w:rPr>
          <w:rFonts w:asciiTheme="majorBidi" w:hAnsiTheme="majorBidi" w:cstheme="majorBidi"/>
          <w:b/>
          <w:bCs/>
        </w:rPr>
      </w:pPr>
    </w:p>
    <w:p w14:paraId="022EA24F" w14:textId="77777777" w:rsidR="00F878F9" w:rsidRDefault="00F878F9" w:rsidP="00F878F9">
      <w:pPr>
        <w:spacing w:after="0" w:line="240" w:lineRule="auto"/>
        <w:rPr>
          <w:rFonts w:asciiTheme="majorBidi" w:hAnsiTheme="majorBidi" w:cstheme="majorBidi"/>
          <w:b/>
          <w:bCs/>
        </w:rPr>
      </w:pPr>
    </w:p>
    <w:p w14:paraId="5215708A" w14:textId="77777777" w:rsidR="00F878F9" w:rsidRPr="00A42C90" w:rsidRDefault="00F878F9" w:rsidP="00F878F9">
      <w:pPr>
        <w:spacing w:after="0" w:line="240" w:lineRule="auto"/>
        <w:rPr>
          <w:rFonts w:asciiTheme="majorBidi" w:hAnsiTheme="majorBidi" w:cstheme="majorBidi"/>
          <w:sz w:val="20"/>
          <w:szCs w:val="20"/>
        </w:rPr>
      </w:pPr>
      <w:r w:rsidRPr="00A42C90">
        <w:rPr>
          <w:rFonts w:asciiTheme="majorBidi" w:hAnsiTheme="majorBidi" w:cstheme="majorBidi"/>
          <w:b/>
          <w:bCs/>
          <w:sz w:val="20"/>
          <w:szCs w:val="20"/>
        </w:rPr>
        <w:t>Submitted by: The Carter Center</w:t>
      </w:r>
    </w:p>
    <w:p w14:paraId="1B8B2EB0" w14:textId="77777777" w:rsidR="00F878F9" w:rsidRPr="00A42C90" w:rsidRDefault="00F878F9" w:rsidP="00F878F9">
      <w:pPr>
        <w:spacing w:after="0" w:line="240" w:lineRule="auto"/>
        <w:rPr>
          <w:rFonts w:asciiTheme="majorBidi" w:hAnsiTheme="majorBidi" w:cstheme="majorBidi"/>
          <w:sz w:val="20"/>
          <w:szCs w:val="20"/>
        </w:rPr>
      </w:pPr>
      <w:r w:rsidRPr="00A42C90">
        <w:rPr>
          <w:rFonts w:asciiTheme="majorBidi" w:hAnsiTheme="majorBidi" w:cstheme="majorBidi"/>
          <w:b/>
          <w:bCs/>
          <w:sz w:val="20"/>
          <w:szCs w:val="20"/>
        </w:rPr>
        <w:t>Contact name: Avery Davis-Roberts, Director, Democracy Program</w:t>
      </w:r>
    </w:p>
    <w:p w14:paraId="458AC42B" w14:textId="77777777" w:rsidR="00F878F9" w:rsidRPr="00A42C90" w:rsidRDefault="00F878F9" w:rsidP="00F878F9">
      <w:pPr>
        <w:spacing w:after="0" w:line="240" w:lineRule="auto"/>
        <w:rPr>
          <w:rFonts w:asciiTheme="majorBidi" w:hAnsiTheme="majorBidi" w:cstheme="majorBidi"/>
          <w:sz w:val="20"/>
          <w:szCs w:val="20"/>
        </w:rPr>
      </w:pPr>
      <w:r w:rsidRPr="00A42C90">
        <w:rPr>
          <w:rFonts w:asciiTheme="majorBidi" w:hAnsiTheme="majorBidi" w:cstheme="majorBidi"/>
          <w:b/>
          <w:bCs/>
          <w:sz w:val="20"/>
          <w:szCs w:val="20"/>
        </w:rPr>
        <w:t xml:space="preserve">Contact email: </w:t>
      </w:r>
      <w:r>
        <w:rPr>
          <w:rFonts w:asciiTheme="majorBidi" w:hAnsiTheme="majorBidi" w:cstheme="majorBidi"/>
          <w:b/>
          <w:bCs/>
          <w:sz w:val="20"/>
          <w:szCs w:val="20"/>
        </w:rPr>
        <w:t>avery.davis-roberts@cartercenter.org</w:t>
      </w:r>
    </w:p>
    <w:p w14:paraId="7794823B" w14:textId="77777777" w:rsidR="00F878F9" w:rsidRPr="00A42C90" w:rsidRDefault="00F878F9" w:rsidP="00F878F9">
      <w:pPr>
        <w:spacing w:after="0" w:line="240" w:lineRule="auto"/>
        <w:rPr>
          <w:rFonts w:asciiTheme="majorBidi" w:hAnsiTheme="majorBidi" w:cstheme="majorBidi"/>
          <w:b/>
          <w:bCs/>
          <w:sz w:val="20"/>
          <w:szCs w:val="20"/>
        </w:rPr>
      </w:pPr>
      <w:r w:rsidRPr="00A42C90">
        <w:rPr>
          <w:rFonts w:asciiTheme="majorBidi" w:hAnsiTheme="majorBidi" w:cstheme="majorBidi"/>
          <w:b/>
          <w:bCs/>
          <w:sz w:val="20"/>
          <w:szCs w:val="20"/>
        </w:rPr>
        <w:t xml:space="preserve">Website: </w:t>
      </w:r>
      <w:hyperlink r:id="rId6" w:history="1">
        <w:r w:rsidRPr="00A42C90">
          <w:rPr>
            <w:rStyle w:val="Hyperlink"/>
            <w:rFonts w:asciiTheme="majorBidi" w:hAnsiTheme="majorBidi" w:cstheme="majorBidi"/>
            <w:b/>
            <w:bCs/>
            <w:sz w:val="20"/>
            <w:szCs w:val="20"/>
          </w:rPr>
          <w:t>www.cartercenter.org</w:t>
        </w:r>
      </w:hyperlink>
    </w:p>
    <w:p w14:paraId="1754FEC2" w14:textId="77777777" w:rsidR="00F878F9" w:rsidRPr="00A42C90" w:rsidRDefault="00F878F9" w:rsidP="00F878F9">
      <w:pPr>
        <w:rPr>
          <w:b/>
          <w:bCs/>
          <w:sz w:val="20"/>
          <w:szCs w:val="20"/>
        </w:rPr>
      </w:pPr>
      <w:r w:rsidRPr="00A42C90">
        <w:rPr>
          <w:b/>
          <w:bCs/>
          <w:sz w:val="20"/>
          <w:szCs w:val="20"/>
        </w:rPr>
        <w:br w:type="page"/>
      </w:r>
    </w:p>
    <w:p w14:paraId="32BE0C8E" w14:textId="77777777" w:rsidR="00F878F9" w:rsidRDefault="00F878F9" w:rsidP="00F878F9">
      <w:pPr>
        <w:spacing w:after="0" w:line="240" w:lineRule="auto"/>
        <w:jc w:val="center"/>
        <w:rPr>
          <w:rFonts w:asciiTheme="majorBidi" w:hAnsiTheme="majorBidi" w:cstheme="majorBidi"/>
          <w:b/>
          <w:bCs/>
        </w:rPr>
      </w:pPr>
    </w:p>
    <w:p w14:paraId="3FF46047" w14:textId="77777777" w:rsidR="00F878F9" w:rsidRDefault="00F878F9" w:rsidP="00F878F9">
      <w:pPr>
        <w:spacing w:after="0" w:line="240" w:lineRule="auto"/>
        <w:jc w:val="center"/>
        <w:rPr>
          <w:rFonts w:asciiTheme="majorBidi" w:hAnsiTheme="majorBidi" w:cstheme="majorBidi"/>
          <w:b/>
          <w:bCs/>
        </w:rPr>
      </w:pPr>
      <w:r w:rsidRPr="008D60A8">
        <w:rPr>
          <w:rFonts w:asciiTheme="majorBidi" w:hAnsiTheme="majorBidi" w:cstheme="majorBidi"/>
          <w:b/>
          <w:bCs/>
        </w:rPr>
        <w:t xml:space="preserve">Submission </w:t>
      </w:r>
      <w:r>
        <w:rPr>
          <w:rFonts w:asciiTheme="majorBidi" w:hAnsiTheme="majorBidi" w:cstheme="majorBidi"/>
          <w:b/>
          <w:bCs/>
        </w:rPr>
        <w:t>to the UN Human Rights Committee on</w:t>
      </w:r>
    </w:p>
    <w:p w14:paraId="1D1E6294" w14:textId="77777777" w:rsidR="00F878F9" w:rsidRDefault="00F878F9" w:rsidP="00F878F9">
      <w:pPr>
        <w:spacing w:after="0" w:line="240" w:lineRule="auto"/>
        <w:jc w:val="center"/>
        <w:rPr>
          <w:rFonts w:asciiTheme="majorBidi" w:hAnsiTheme="majorBidi" w:cstheme="majorBidi"/>
          <w:b/>
          <w:bCs/>
        </w:rPr>
      </w:pPr>
      <w:r w:rsidRPr="008D60A8">
        <w:rPr>
          <w:rFonts w:asciiTheme="majorBidi" w:hAnsiTheme="majorBidi" w:cstheme="majorBidi"/>
          <w:b/>
          <w:bCs/>
        </w:rPr>
        <w:t xml:space="preserve"> Draft General Comment No. 38 on Article 22 of the ICCPR </w:t>
      </w:r>
    </w:p>
    <w:p w14:paraId="31B898FD" w14:textId="77777777" w:rsidR="00F878F9" w:rsidRDefault="00F878F9" w:rsidP="00F878F9">
      <w:pPr>
        <w:spacing w:after="0" w:line="240" w:lineRule="auto"/>
        <w:jc w:val="center"/>
        <w:rPr>
          <w:rFonts w:asciiTheme="majorBidi" w:hAnsiTheme="majorBidi" w:cstheme="majorBidi"/>
          <w:b/>
          <w:bCs/>
        </w:rPr>
      </w:pPr>
      <w:r w:rsidRPr="008D60A8">
        <w:rPr>
          <w:rFonts w:asciiTheme="majorBidi" w:hAnsiTheme="majorBidi" w:cstheme="majorBidi"/>
          <w:b/>
          <w:bCs/>
        </w:rPr>
        <w:t>(Right to Freedom of Association)</w:t>
      </w:r>
    </w:p>
    <w:p w14:paraId="11D1F7DB" w14:textId="77777777" w:rsidR="00F878F9" w:rsidRPr="008D60A8" w:rsidRDefault="00F878F9" w:rsidP="00F878F9">
      <w:pPr>
        <w:jc w:val="both"/>
        <w:rPr>
          <w:rFonts w:asciiTheme="majorBidi" w:hAnsiTheme="majorBidi" w:cstheme="majorBidi"/>
          <w:b/>
          <w:bCs/>
        </w:rPr>
      </w:pPr>
    </w:p>
    <w:p w14:paraId="3F1E4D26" w14:textId="77777777" w:rsidR="00F878F9" w:rsidRPr="00577CB3" w:rsidRDefault="00F878F9" w:rsidP="00F878F9">
      <w:pPr>
        <w:pStyle w:val="ListParagraph"/>
        <w:numPr>
          <w:ilvl w:val="0"/>
          <w:numId w:val="1"/>
        </w:numPr>
        <w:spacing w:line="240" w:lineRule="auto"/>
        <w:jc w:val="both"/>
        <w:rPr>
          <w:rFonts w:asciiTheme="majorBidi" w:hAnsiTheme="majorBidi" w:cstheme="majorBidi"/>
          <w:b/>
          <w:bCs/>
          <w:sz w:val="26"/>
          <w:szCs w:val="26"/>
        </w:rPr>
      </w:pPr>
      <w:r w:rsidRPr="00577CB3">
        <w:rPr>
          <w:rFonts w:asciiTheme="majorBidi" w:hAnsiTheme="majorBidi" w:cstheme="majorBidi"/>
          <w:b/>
          <w:bCs/>
          <w:sz w:val="26"/>
          <w:szCs w:val="26"/>
        </w:rPr>
        <w:t xml:space="preserve">Introduction </w:t>
      </w:r>
    </w:p>
    <w:p w14:paraId="08827450" w14:textId="77777777" w:rsidR="00F878F9" w:rsidRDefault="00F878F9" w:rsidP="00F878F9">
      <w:pPr>
        <w:spacing w:line="240" w:lineRule="auto"/>
        <w:jc w:val="both"/>
        <w:rPr>
          <w:rFonts w:asciiTheme="majorBidi" w:hAnsiTheme="majorBidi" w:cstheme="majorBidi"/>
        </w:rPr>
      </w:pPr>
      <w:r w:rsidRPr="000C624D">
        <w:rPr>
          <w:rFonts w:asciiTheme="majorBidi" w:hAnsiTheme="majorBidi" w:cstheme="majorBidi"/>
        </w:rPr>
        <w:t xml:space="preserve">The Carter Center is a not-for-profit, nongovernmental organization that has helped to improve life for people in more than 80 countries by resolving conflicts; advancing democracy, human rights, and economic opportunity; preventing diseases; and improving mental health care. The Carter Center was founded in 1982 by former U.S. President Jimmy Carter and his wife, Rosalynn, in partnership with Emory University to advance peace and health worldwide.  </w:t>
      </w:r>
    </w:p>
    <w:p w14:paraId="0FB4DBCF" w14:textId="77777777" w:rsidR="00F878F9" w:rsidRDefault="00F878F9" w:rsidP="00F878F9">
      <w:pPr>
        <w:spacing w:line="240" w:lineRule="auto"/>
        <w:jc w:val="both"/>
        <w:rPr>
          <w:rFonts w:asciiTheme="majorBidi" w:hAnsiTheme="majorBidi" w:cstheme="majorBidi"/>
        </w:rPr>
      </w:pPr>
      <w:r w:rsidRPr="000C624D">
        <w:rPr>
          <w:rFonts w:asciiTheme="majorBidi" w:hAnsiTheme="majorBidi" w:cstheme="majorBidi"/>
        </w:rPr>
        <w:t>The Carter Center’s Democracy Program works globally to promote democratic elections and governance consistent with human rights. The Center has observed more than 1</w:t>
      </w:r>
      <w:r>
        <w:rPr>
          <w:rFonts w:asciiTheme="majorBidi" w:hAnsiTheme="majorBidi" w:cstheme="majorBidi"/>
        </w:rPr>
        <w:t>28</w:t>
      </w:r>
      <w:r w:rsidRPr="000C624D">
        <w:rPr>
          <w:rFonts w:asciiTheme="majorBidi" w:hAnsiTheme="majorBidi" w:cstheme="majorBidi"/>
        </w:rPr>
        <w:t xml:space="preserve"> elections in </w:t>
      </w:r>
      <w:r>
        <w:rPr>
          <w:rFonts w:asciiTheme="majorBidi" w:hAnsiTheme="majorBidi" w:cstheme="majorBidi"/>
        </w:rPr>
        <w:t>over 40</w:t>
      </w:r>
      <w:r w:rsidRPr="000C624D">
        <w:rPr>
          <w:rFonts w:asciiTheme="majorBidi" w:hAnsiTheme="majorBidi" w:cstheme="majorBidi"/>
        </w:rPr>
        <w:t xml:space="preserve"> countries since 1989, forging many of the techniques now common to the field. Recognizing that democratic transitions involve much more than elections, the Center also conducts long-term monitoring of political transitions and works to strengthen civil society organizations to support democratic governance.</w:t>
      </w:r>
      <w:r>
        <w:rPr>
          <w:rFonts w:asciiTheme="majorBidi" w:hAnsiTheme="majorBidi" w:cstheme="majorBidi"/>
        </w:rPr>
        <w:t xml:space="preserve"> The </w:t>
      </w:r>
      <w:r w:rsidRPr="00B46997">
        <w:rPr>
          <w:rFonts w:asciiTheme="majorBidi" w:hAnsiTheme="majorBidi" w:cstheme="majorBidi"/>
        </w:rPr>
        <w:t>Center’s election observation methodology is grounded in international human rights principles</w:t>
      </w:r>
      <w:r>
        <w:rPr>
          <w:rFonts w:asciiTheme="majorBidi" w:hAnsiTheme="majorBidi" w:cstheme="majorBidi"/>
        </w:rPr>
        <w:t xml:space="preserve"> and supports assessing the credibility of elections against applicable</w:t>
      </w:r>
      <w:r w:rsidRPr="00B46997">
        <w:rPr>
          <w:rFonts w:asciiTheme="majorBidi" w:hAnsiTheme="majorBidi" w:cstheme="majorBidi"/>
        </w:rPr>
        <w:t xml:space="preserve"> international </w:t>
      </w:r>
      <w:r>
        <w:rPr>
          <w:rFonts w:asciiTheme="majorBidi" w:hAnsiTheme="majorBidi" w:cstheme="majorBidi"/>
        </w:rPr>
        <w:t xml:space="preserve">human rights </w:t>
      </w:r>
      <w:r w:rsidRPr="00B46997">
        <w:rPr>
          <w:rFonts w:asciiTheme="majorBidi" w:hAnsiTheme="majorBidi" w:cstheme="majorBidi"/>
        </w:rPr>
        <w:t>obligations and standards for democratic elections, including the International Covenant on Civil and Political Rights</w:t>
      </w:r>
      <w:r>
        <w:rPr>
          <w:rFonts w:asciiTheme="majorBidi" w:hAnsiTheme="majorBidi" w:cstheme="majorBidi"/>
        </w:rPr>
        <w:t xml:space="preserve"> (ICCPR). </w:t>
      </w:r>
    </w:p>
    <w:p w14:paraId="28615743"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rPr>
        <w:t>Through this work, the Center pioneered the development of obligations and standards for democratic elections and maintains a database of over 300 sources of international law related to human rights and elections. The contributions and inputs below are drawn from the Center experience and work on human rights and elections.</w:t>
      </w:r>
    </w:p>
    <w:p w14:paraId="395D6E9F" w14:textId="77777777" w:rsidR="00F878F9" w:rsidRDefault="00F878F9" w:rsidP="00F878F9">
      <w:pPr>
        <w:spacing w:line="240" w:lineRule="auto"/>
        <w:jc w:val="both"/>
        <w:rPr>
          <w:rFonts w:asciiTheme="majorBidi" w:hAnsiTheme="majorBidi" w:cstheme="majorBidi"/>
        </w:rPr>
      </w:pPr>
      <w:r>
        <w:rPr>
          <w:rFonts w:asciiTheme="majorBidi" w:hAnsiTheme="majorBidi" w:cstheme="majorBidi"/>
        </w:rPr>
        <w:t>We welcome the Human Rights Committee’s decision at its 144</w:t>
      </w:r>
      <w:r w:rsidRPr="00120F00">
        <w:rPr>
          <w:rFonts w:asciiTheme="majorBidi" w:hAnsiTheme="majorBidi" w:cstheme="majorBidi"/>
          <w:vertAlign w:val="superscript"/>
        </w:rPr>
        <w:t>th</w:t>
      </w:r>
      <w:r>
        <w:rPr>
          <w:rFonts w:asciiTheme="majorBidi" w:hAnsiTheme="majorBidi" w:cstheme="majorBidi"/>
        </w:rPr>
        <w:t xml:space="preserve"> session </w:t>
      </w:r>
      <w:r w:rsidRPr="00497851">
        <w:rPr>
          <w:rFonts w:asciiTheme="majorBidi" w:hAnsiTheme="majorBidi" w:cstheme="majorBidi"/>
        </w:rPr>
        <w:t xml:space="preserve">to develop a General Comment on article 22 of the </w:t>
      </w:r>
      <w:r>
        <w:rPr>
          <w:rFonts w:asciiTheme="majorBidi" w:hAnsiTheme="majorBidi" w:cstheme="majorBidi"/>
        </w:rPr>
        <w:t xml:space="preserve">ICCPR and congratulate the Committee on the draft. The General Comment will be a valuable source of interpretation for the right to freedom of association.  </w:t>
      </w:r>
    </w:p>
    <w:p w14:paraId="506995F7" w14:textId="77777777" w:rsidR="00F878F9" w:rsidRPr="00577CB3" w:rsidRDefault="00F878F9" w:rsidP="00F878F9">
      <w:pPr>
        <w:pStyle w:val="ListParagraph"/>
        <w:numPr>
          <w:ilvl w:val="0"/>
          <w:numId w:val="1"/>
        </w:numPr>
        <w:spacing w:before="240" w:line="240" w:lineRule="auto"/>
        <w:jc w:val="both"/>
        <w:rPr>
          <w:rFonts w:asciiTheme="majorBidi" w:hAnsiTheme="majorBidi" w:cstheme="majorBidi"/>
          <w:b/>
          <w:bCs/>
          <w:sz w:val="26"/>
          <w:szCs w:val="26"/>
        </w:rPr>
      </w:pPr>
      <w:r w:rsidRPr="00577CB3">
        <w:rPr>
          <w:rFonts w:asciiTheme="majorBidi" w:hAnsiTheme="majorBidi" w:cstheme="majorBidi"/>
          <w:b/>
          <w:bCs/>
          <w:sz w:val="26"/>
          <w:szCs w:val="26"/>
        </w:rPr>
        <w:t>General Comments</w:t>
      </w:r>
    </w:p>
    <w:p w14:paraId="7DAAF427" w14:textId="77777777" w:rsidR="00F878F9" w:rsidRDefault="00F878F9" w:rsidP="00F878F9">
      <w:pPr>
        <w:spacing w:line="240" w:lineRule="auto"/>
        <w:jc w:val="both"/>
        <w:rPr>
          <w:rFonts w:asciiTheme="majorBidi" w:hAnsiTheme="majorBidi" w:cstheme="majorBidi"/>
        </w:rPr>
      </w:pPr>
      <w:r w:rsidRPr="1D1D47D8">
        <w:rPr>
          <w:rFonts w:asciiTheme="majorBidi" w:hAnsiTheme="majorBidi" w:cstheme="majorBidi"/>
        </w:rPr>
        <w:t xml:space="preserve">The draft General Comment is comprehensive and covers key aspects of the right to freedom of association that are relevant to practice in the field. We particularly value the emphasis on the reinforcing links between the right to freedom of association and other rights (such as the right to peaceful assembly; the right to privacy, the right to participate in public affairs, freedom of conscience and others); the attention to the formal and informal components of the right to freedom of association; the recognition of the online dimensions of association; the clarification that restrictions or interferences with freedom of association pose increased negative impact on specific communities; the spotlight on the need for interpretations of article 22 to be cognizant of structural barriers; and the emphasis on both the negative and positive obligations of States. </w:t>
      </w:r>
    </w:p>
    <w:p w14:paraId="22656AB0" w14:textId="77777777" w:rsidR="00F878F9" w:rsidRDefault="00F878F9" w:rsidP="00F878F9">
      <w:pPr>
        <w:spacing w:line="240" w:lineRule="auto"/>
        <w:jc w:val="both"/>
        <w:rPr>
          <w:rFonts w:ascii="Times New Roman" w:hAnsi="Times New Roman"/>
        </w:rPr>
      </w:pPr>
      <w:r>
        <w:rPr>
          <w:rFonts w:ascii="Times New Roman" w:hAnsi="Times New Roman"/>
        </w:rPr>
        <w:t>We</w:t>
      </w:r>
      <w:r>
        <w:rPr>
          <w:rFonts w:asciiTheme="majorBidi" w:hAnsiTheme="majorBidi" w:cstheme="majorBidi"/>
        </w:rPr>
        <w:t xml:space="preserve"> offer overarching observations before providing specific suggestions in </w:t>
      </w:r>
      <w:r>
        <w:rPr>
          <w:rFonts w:ascii="Times New Roman" w:hAnsi="Times New Roman"/>
        </w:rPr>
        <w:t xml:space="preserve">response to </w:t>
      </w:r>
      <w:r>
        <w:rPr>
          <w:rFonts w:asciiTheme="majorBidi" w:hAnsiTheme="majorBidi" w:cstheme="majorBidi"/>
        </w:rPr>
        <w:t>the call for comments</w:t>
      </w:r>
      <w:r>
        <w:rPr>
          <w:rFonts w:ascii="Times New Roman" w:hAnsi="Times New Roman"/>
        </w:rPr>
        <w:t>.</w:t>
      </w:r>
      <w:r>
        <w:rPr>
          <w:rFonts w:asciiTheme="majorBidi" w:hAnsiTheme="majorBidi" w:cstheme="majorBidi"/>
        </w:rPr>
        <w:t xml:space="preserve"> While the</w:t>
      </w:r>
      <w:r w:rsidRPr="192CBE06">
        <w:rPr>
          <w:rFonts w:asciiTheme="majorBidi" w:hAnsiTheme="majorBidi" w:cstheme="majorBidi"/>
        </w:rPr>
        <w:t xml:space="preserve"> draft</w:t>
      </w:r>
      <w:r>
        <w:rPr>
          <w:rFonts w:asciiTheme="majorBidi" w:hAnsiTheme="majorBidi" w:cstheme="majorBidi"/>
        </w:rPr>
        <w:t xml:space="preserve"> General Comment notes the interdependence between </w:t>
      </w:r>
      <w:r>
        <w:rPr>
          <w:rFonts w:ascii="Times New Roman" w:hAnsi="Times New Roman"/>
        </w:rPr>
        <w:t xml:space="preserve">freedom of </w:t>
      </w:r>
      <w:r>
        <w:rPr>
          <w:rFonts w:asciiTheme="majorBidi" w:hAnsiTheme="majorBidi" w:cstheme="majorBidi"/>
        </w:rPr>
        <w:t xml:space="preserve">association and meaningful participation in public affairs </w:t>
      </w:r>
      <w:r>
        <w:rPr>
          <w:rFonts w:ascii="Times New Roman" w:hAnsi="Times New Roman"/>
        </w:rPr>
        <w:t>under article</w:t>
      </w:r>
      <w:r>
        <w:rPr>
          <w:rFonts w:asciiTheme="majorBidi" w:hAnsiTheme="majorBidi" w:cstheme="majorBidi"/>
        </w:rPr>
        <w:t xml:space="preserve"> 25</w:t>
      </w:r>
      <w:r>
        <w:rPr>
          <w:rFonts w:ascii="Times New Roman" w:hAnsi="Times New Roman"/>
        </w:rPr>
        <w:t>,</w:t>
      </w:r>
      <w:r>
        <w:rPr>
          <w:rFonts w:asciiTheme="majorBidi" w:hAnsiTheme="majorBidi" w:cstheme="majorBidi"/>
        </w:rPr>
        <w:t xml:space="preserve"> it </w:t>
      </w:r>
      <w:r>
        <w:rPr>
          <w:rFonts w:ascii="Times New Roman" w:hAnsi="Times New Roman"/>
        </w:rPr>
        <w:t>could provide</w:t>
      </w:r>
      <w:r>
        <w:rPr>
          <w:rFonts w:asciiTheme="majorBidi" w:hAnsiTheme="majorBidi" w:cstheme="majorBidi"/>
        </w:rPr>
        <w:t xml:space="preserve"> a </w:t>
      </w:r>
      <w:r>
        <w:rPr>
          <w:rFonts w:asciiTheme="majorBidi" w:hAnsiTheme="majorBidi" w:cstheme="majorBidi"/>
        </w:rPr>
        <w:lastRenderedPageBreak/>
        <w:t xml:space="preserve">stronger normative clarification </w:t>
      </w:r>
      <w:r>
        <w:rPr>
          <w:rFonts w:ascii="Times New Roman" w:hAnsi="Times New Roman"/>
        </w:rPr>
        <w:t>on</w:t>
      </w:r>
      <w:r>
        <w:rPr>
          <w:rFonts w:asciiTheme="majorBidi" w:hAnsiTheme="majorBidi" w:cstheme="majorBidi"/>
        </w:rPr>
        <w:t xml:space="preserve"> the foundational role freedom of association plays in public participation, particularly</w:t>
      </w:r>
      <w:r>
        <w:rPr>
          <w:rFonts w:ascii="Times New Roman" w:hAnsi="Times New Roman"/>
        </w:rPr>
        <w:t xml:space="preserve"> with reference to the rights</w:t>
      </w:r>
      <w:r>
        <w:rPr>
          <w:rFonts w:asciiTheme="majorBidi" w:hAnsiTheme="majorBidi" w:cstheme="majorBidi"/>
        </w:rPr>
        <w:t xml:space="preserve"> to vote and </w:t>
      </w:r>
      <w:r>
        <w:rPr>
          <w:rFonts w:ascii="Times New Roman" w:hAnsi="Times New Roman"/>
        </w:rPr>
        <w:t xml:space="preserve">to </w:t>
      </w:r>
      <w:r>
        <w:rPr>
          <w:rFonts w:asciiTheme="majorBidi" w:hAnsiTheme="majorBidi" w:cstheme="majorBidi"/>
        </w:rPr>
        <w:t xml:space="preserve">be </w:t>
      </w:r>
      <w:r>
        <w:rPr>
          <w:rFonts w:ascii="Times New Roman" w:hAnsi="Times New Roman"/>
        </w:rPr>
        <w:t xml:space="preserve">elected. </w:t>
      </w:r>
    </w:p>
    <w:p w14:paraId="27BAB8C8" w14:textId="77777777" w:rsidR="00F878F9" w:rsidRPr="006806D6" w:rsidRDefault="00F878F9" w:rsidP="00F878F9">
      <w:pPr>
        <w:spacing w:line="240" w:lineRule="auto"/>
        <w:jc w:val="both"/>
        <w:rPr>
          <w:rFonts w:ascii="Times New Roman" w:hAnsi="Times New Roman"/>
        </w:rPr>
      </w:pPr>
      <w:r>
        <w:rPr>
          <w:rFonts w:ascii="Times New Roman" w:hAnsi="Times New Roman"/>
        </w:rPr>
        <w:t>Elections are the primary means for actualizing the rights to vote and to be elected. Nonpartisan election observers work as human rights defenders and civil society actors to safeguard the integrity of election processes, providing transparency and independent information about</w:t>
      </w:r>
      <w:r w:rsidRPr="51E50B73">
        <w:rPr>
          <w:rFonts w:ascii="Times New Roman" w:hAnsi="Times New Roman"/>
        </w:rPr>
        <w:t xml:space="preserve"> elections for</w:t>
      </w:r>
      <w:r>
        <w:rPr>
          <w:rFonts w:ascii="Times New Roman" w:hAnsi="Times New Roman"/>
        </w:rPr>
        <w:t xml:space="preserve"> key international and local audiences. The right to freedom of association is central to this endeavor. As several of the specific comments suggested below illustrate, providing a stronger clarification on the links between freedom of association and the rights to vote and to be elected can provide an important basis for</w:t>
      </w:r>
      <w:r>
        <w:rPr>
          <w:rFonts w:asciiTheme="majorBidi" w:hAnsiTheme="majorBidi" w:cstheme="majorBidi"/>
        </w:rPr>
        <w:t xml:space="preserve"> reflecting key elements of genuine elections and the practice of election observation in relevant paragraphs across the General Comment. </w:t>
      </w:r>
    </w:p>
    <w:p w14:paraId="414F9823" w14:textId="77777777" w:rsidR="00F878F9" w:rsidRPr="00577CB3" w:rsidRDefault="00F878F9" w:rsidP="00F878F9">
      <w:pPr>
        <w:pStyle w:val="ListParagraph"/>
        <w:numPr>
          <w:ilvl w:val="0"/>
          <w:numId w:val="1"/>
        </w:numPr>
        <w:spacing w:before="240" w:line="240" w:lineRule="auto"/>
        <w:jc w:val="both"/>
        <w:rPr>
          <w:rFonts w:asciiTheme="majorBidi" w:hAnsiTheme="majorBidi" w:cstheme="majorBidi"/>
          <w:b/>
          <w:bCs/>
          <w:sz w:val="26"/>
          <w:szCs w:val="26"/>
        </w:rPr>
      </w:pPr>
      <w:r w:rsidRPr="00577CB3">
        <w:rPr>
          <w:rFonts w:asciiTheme="majorBidi" w:hAnsiTheme="majorBidi" w:cstheme="majorBidi"/>
          <w:b/>
          <w:bCs/>
          <w:sz w:val="26"/>
          <w:szCs w:val="26"/>
        </w:rPr>
        <w:t>S</w:t>
      </w:r>
      <w:r>
        <w:rPr>
          <w:rFonts w:asciiTheme="majorBidi" w:hAnsiTheme="majorBidi" w:cstheme="majorBidi"/>
          <w:b/>
          <w:bCs/>
          <w:sz w:val="26"/>
          <w:szCs w:val="26"/>
        </w:rPr>
        <w:t>pecific Comments</w:t>
      </w:r>
      <w:r w:rsidRPr="00577CB3">
        <w:rPr>
          <w:rFonts w:asciiTheme="majorBidi" w:hAnsiTheme="majorBidi" w:cstheme="majorBidi"/>
          <w:b/>
          <w:bCs/>
          <w:sz w:val="26"/>
          <w:szCs w:val="26"/>
        </w:rPr>
        <w:t xml:space="preserve"> for </w:t>
      </w:r>
      <w:r>
        <w:rPr>
          <w:rFonts w:asciiTheme="majorBidi" w:hAnsiTheme="majorBidi" w:cstheme="majorBidi"/>
          <w:b/>
          <w:bCs/>
          <w:sz w:val="26"/>
          <w:szCs w:val="26"/>
        </w:rPr>
        <w:t>C</w:t>
      </w:r>
      <w:r w:rsidRPr="00577CB3">
        <w:rPr>
          <w:rFonts w:asciiTheme="majorBidi" w:hAnsiTheme="majorBidi" w:cstheme="majorBidi"/>
          <w:b/>
          <w:bCs/>
          <w:sz w:val="26"/>
          <w:szCs w:val="26"/>
        </w:rPr>
        <w:t xml:space="preserve">onsideration </w:t>
      </w:r>
    </w:p>
    <w:p w14:paraId="258C5B7F" w14:textId="77777777" w:rsidR="00F878F9" w:rsidRPr="00994534" w:rsidRDefault="00F878F9" w:rsidP="00F878F9">
      <w:pPr>
        <w:spacing w:before="240" w:line="240" w:lineRule="auto"/>
        <w:jc w:val="both"/>
        <w:rPr>
          <w:rFonts w:asciiTheme="majorBidi" w:hAnsiTheme="majorBidi" w:cstheme="majorBidi"/>
          <w:b/>
          <w:i/>
          <w:sz w:val="25"/>
          <w:szCs w:val="25"/>
        </w:rPr>
      </w:pPr>
      <w:r w:rsidRPr="00994534">
        <w:rPr>
          <w:rFonts w:asciiTheme="majorBidi" w:hAnsiTheme="majorBidi" w:cstheme="majorBidi"/>
          <w:b/>
          <w:i/>
          <w:sz w:val="25"/>
          <w:szCs w:val="25"/>
        </w:rPr>
        <w:t>Paragraph 2</w:t>
      </w:r>
    </w:p>
    <w:p w14:paraId="149ED661"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rPr>
        <w:t xml:space="preserve">The reference to article 25 is important. Nonetheless, the paragraph could provide normatively that the right to freedom of association is a precondition for genuine electoral competition, including the rights to vote and to be elected as contained in article 25. </w:t>
      </w:r>
    </w:p>
    <w:p w14:paraId="2C930668" w14:textId="77777777" w:rsidR="00F878F9" w:rsidRPr="00164E44" w:rsidRDefault="00F878F9" w:rsidP="00F878F9">
      <w:pPr>
        <w:spacing w:line="240" w:lineRule="auto"/>
        <w:jc w:val="both"/>
        <w:rPr>
          <w:rFonts w:asciiTheme="majorBidi" w:hAnsiTheme="majorBidi" w:cstheme="majorBidi"/>
        </w:rPr>
      </w:pPr>
      <w:r w:rsidRPr="00164E44">
        <w:rPr>
          <w:rFonts w:asciiTheme="majorBidi" w:hAnsiTheme="majorBidi" w:cstheme="majorBidi"/>
          <w:i/>
          <w:iCs/>
          <w:u w:val="single"/>
        </w:rPr>
        <w:t>Suggested addition:</w:t>
      </w:r>
      <w:r w:rsidRPr="00C624EA">
        <w:rPr>
          <w:rFonts w:asciiTheme="majorBidi" w:hAnsiTheme="majorBidi" w:cstheme="majorBidi"/>
          <w:i/>
          <w:iCs/>
        </w:rPr>
        <w:t xml:space="preserve"> </w:t>
      </w:r>
      <w:r>
        <w:rPr>
          <w:rFonts w:asciiTheme="majorBidi" w:hAnsiTheme="majorBidi" w:cstheme="majorBidi"/>
        </w:rPr>
        <w:t>a</w:t>
      </w:r>
      <w:r w:rsidRPr="00765CB8">
        <w:rPr>
          <w:rFonts w:asciiTheme="majorBidi" w:hAnsiTheme="majorBidi" w:cstheme="majorBidi"/>
        </w:rPr>
        <w:t>rt</w:t>
      </w:r>
      <w:r>
        <w:rPr>
          <w:rFonts w:asciiTheme="majorBidi" w:hAnsiTheme="majorBidi" w:cstheme="majorBidi"/>
        </w:rPr>
        <w:t>icle 22 should be understood as protecting the associational infrastructure required for participation in public affairs and genuine elections</w:t>
      </w:r>
      <w:r w:rsidRPr="00164E44">
        <w:rPr>
          <w:rFonts w:asciiTheme="majorBidi" w:hAnsiTheme="majorBidi" w:cstheme="majorBidi"/>
        </w:rPr>
        <w:t xml:space="preserve">, including candidate nomination, </w:t>
      </w:r>
      <w:r>
        <w:rPr>
          <w:rFonts w:asciiTheme="majorBidi" w:hAnsiTheme="majorBidi" w:cstheme="majorBidi"/>
        </w:rPr>
        <w:t xml:space="preserve">political </w:t>
      </w:r>
      <w:r w:rsidRPr="00164E44">
        <w:rPr>
          <w:rFonts w:asciiTheme="majorBidi" w:hAnsiTheme="majorBidi" w:cstheme="majorBidi"/>
        </w:rPr>
        <w:t>party</w:t>
      </w:r>
      <w:r>
        <w:rPr>
          <w:rFonts w:asciiTheme="majorBidi" w:hAnsiTheme="majorBidi" w:cstheme="majorBidi"/>
        </w:rPr>
        <w:t xml:space="preserve"> </w:t>
      </w:r>
      <w:r w:rsidRPr="00164E44">
        <w:rPr>
          <w:rFonts w:asciiTheme="majorBidi" w:hAnsiTheme="majorBidi" w:cstheme="majorBidi"/>
        </w:rPr>
        <w:t>organization, campaign activit</w:t>
      </w:r>
      <w:r>
        <w:rPr>
          <w:rFonts w:asciiTheme="majorBidi" w:hAnsiTheme="majorBidi" w:cstheme="majorBidi"/>
        </w:rPr>
        <w:t>ies</w:t>
      </w:r>
      <w:r w:rsidRPr="00164E44">
        <w:rPr>
          <w:rFonts w:asciiTheme="majorBidi" w:hAnsiTheme="majorBidi" w:cstheme="majorBidi"/>
        </w:rPr>
        <w:t>, voter mobilization, election observation, civic education, and</w:t>
      </w:r>
      <w:r>
        <w:rPr>
          <w:rFonts w:asciiTheme="majorBidi" w:hAnsiTheme="majorBidi" w:cstheme="majorBidi"/>
        </w:rPr>
        <w:t xml:space="preserve"> </w:t>
      </w:r>
      <w:r w:rsidRPr="00164E44">
        <w:rPr>
          <w:rFonts w:asciiTheme="majorBidi" w:hAnsiTheme="majorBidi" w:cstheme="majorBidi"/>
        </w:rPr>
        <w:t xml:space="preserve">peaceful challenges to electoral </w:t>
      </w:r>
      <w:r>
        <w:rPr>
          <w:rFonts w:asciiTheme="majorBidi" w:hAnsiTheme="majorBidi" w:cstheme="majorBidi"/>
        </w:rPr>
        <w:t xml:space="preserve">processes and </w:t>
      </w:r>
      <w:r w:rsidRPr="00164E44">
        <w:rPr>
          <w:rFonts w:asciiTheme="majorBidi" w:hAnsiTheme="majorBidi" w:cstheme="majorBidi"/>
        </w:rPr>
        <w:t>outcomes.</w:t>
      </w:r>
    </w:p>
    <w:p w14:paraId="1F697BFB" w14:textId="77777777" w:rsidR="00F878F9" w:rsidRPr="00994534" w:rsidRDefault="00F878F9" w:rsidP="00F878F9">
      <w:pPr>
        <w:spacing w:before="240" w:line="240" w:lineRule="auto"/>
        <w:jc w:val="both"/>
        <w:rPr>
          <w:rFonts w:asciiTheme="majorBidi" w:hAnsiTheme="majorBidi" w:cstheme="majorBidi"/>
          <w:b/>
          <w:i/>
          <w:sz w:val="25"/>
          <w:szCs w:val="25"/>
        </w:rPr>
      </w:pPr>
      <w:r w:rsidRPr="00994534">
        <w:rPr>
          <w:rFonts w:asciiTheme="majorBidi" w:hAnsiTheme="majorBidi" w:cstheme="majorBidi"/>
          <w:b/>
          <w:i/>
          <w:sz w:val="25"/>
          <w:szCs w:val="25"/>
        </w:rPr>
        <w:t>Paragraphs 8 and 12</w:t>
      </w:r>
    </w:p>
    <w:p w14:paraId="2CC60881"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rPr>
        <w:t>We support the express recognition of political parties as “associations” within the purview of article 22, even though the article does not name them expressly. However, electoral processes and competitions are often not limited to traditional political parties. They include independent candidate networks, party alliances, coalitions, referendum campaign groups, and others. The paragraph</w:t>
      </w:r>
      <w:r>
        <w:rPr>
          <w:rFonts w:asciiTheme="majorBidi" w:hAnsiTheme="majorBidi" w:cstheme="majorBidi"/>
        </w:rPr>
        <w:t>s</w:t>
      </w:r>
      <w:r w:rsidRPr="53DEEE8E">
        <w:rPr>
          <w:rFonts w:asciiTheme="majorBidi" w:hAnsiTheme="majorBidi" w:cstheme="majorBidi"/>
        </w:rPr>
        <w:t xml:space="preserve"> can be strengthened by expressly stating that the concept of “association” under article 22 includes political parties and independent or unregistered political groups or networks.</w:t>
      </w:r>
    </w:p>
    <w:p w14:paraId="4440F8CE"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i/>
          <w:iCs/>
          <w:u w:val="single"/>
        </w:rPr>
        <w:t>Suggested addition</w:t>
      </w:r>
      <w:r w:rsidRPr="53DEEE8E">
        <w:rPr>
          <w:rFonts w:asciiTheme="majorBidi" w:hAnsiTheme="majorBidi" w:cstheme="majorBidi"/>
          <w:i/>
          <w:iCs/>
        </w:rPr>
        <w:t xml:space="preserve">: </w:t>
      </w:r>
      <w:r w:rsidRPr="53DEEE8E">
        <w:rPr>
          <w:rFonts w:asciiTheme="majorBidi" w:hAnsiTheme="majorBidi" w:cstheme="majorBidi"/>
        </w:rPr>
        <w:t>that the concept of “association” includes political parties, independent candidate support networks, and referendum campaign groups regardless of national legal definitions or qualifications.</w:t>
      </w:r>
    </w:p>
    <w:p w14:paraId="0B95DCAB" w14:textId="77777777" w:rsidR="00F878F9" w:rsidRPr="00994534" w:rsidRDefault="00F878F9" w:rsidP="00F878F9">
      <w:pPr>
        <w:spacing w:before="240" w:line="240" w:lineRule="auto"/>
        <w:jc w:val="both"/>
        <w:rPr>
          <w:rFonts w:asciiTheme="majorBidi" w:hAnsiTheme="majorBidi" w:cstheme="majorBidi"/>
          <w:b/>
          <w:i/>
          <w:sz w:val="25"/>
          <w:szCs w:val="25"/>
        </w:rPr>
      </w:pPr>
      <w:r w:rsidRPr="00994534">
        <w:rPr>
          <w:rFonts w:asciiTheme="majorBidi" w:hAnsiTheme="majorBidi" w:cstheme="majorBidi"/>
          <w:b/>
          <w:i/>
          <w:sz w:val="25"/>
          <w:szCs w:val="25"/>
        </w:rPr>
        <w:t xml:space="preserve">Paragraph 9 </w:t>
      </w:r>
    </w:p>
    <w:p w14:paraId="0F3F39D5"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rPr>
        <w:t xml:space="preserve">The paragraph </w:t>
      </w:r>
      <w:r w:rsidRPr="53DEEE8E">
        <w:rPr>
          <w:rFonts w:ascii="Times New Roman" w:hAnsi="Times New Roman"/>
        </w:rPr>
        <w:t>rightly affirms</w:t>
      </w:r>
      <w:r w:rsidRPr="53DEEE8E">
        <w:rPr>
          <w:rFonts w:asciiTheme="majorBidi" w:hAnsiTheme="majorBidi" w:cstheme="majorBidi"/>
        </w:rPr>
        <w:t xml:space="preserve"> that article 22 applies to everyone</w:t>
      </w:r>
      <w:r w:rsidRPr="53DEEE8E">
        <w:rPr>
          <w:rFonts w:ascii="Times New Roman" w:hAnsi="Times New Roman"/>
        </w:rPr>
        <w:t xml:space="preserve"> and</w:t>
      </w:r>
      <w:r w:rsidRPr="53DEEE8E">
        <w:rPr>
          <w:rFonts w:asciiTheme="majorBidi" w:hAnsiTheme="majorBidi" w:cstheme="majorBidi"/>
        </w:rPr>
        <w:t xml:space="preserve"> </w:t>
      </w:r>
      <w:r w:rsidRPr="53DEEE8E">
        <w:rPr>
          <w:rFonts w:ascii="Times New Roman" w:hAnsi="Times New Roman"/>
        </w:rPr>
        <w:t>recognizes</w:t>
      </w:r>
      <w:r w:rsidRPr="53DEEE8E">
        <w:rPr>
          <w:rFonts w:asciiTheme="majorBidi" w:hAnsiTheme="majorBidi" w:cstheme="majorBidi"/>
        </w:rPr>
        <w:t xml:space="preserve"> that </w:t>
      </w:r>
      <w:r w:rsidRPr="53DEEE8E">
        <w:rPr>
          <w:rFonts w:ascii="Times New Roman" w:hAnsi="Times New Roman"/>
        </w:rPr>
        <w:t>interference with,</w:t>
      </w:r>
      <w:r w:rsidRPr="53DEEE8E">
        <w:rPr>
          <w:rFonts w:asciiTheme="majorBidi" w:hAnsiTheme="majorBidi" w:cstheme="majorBidi"/>
        </w:rPr>
        <w:t xml:space="preserve"> or restrictions on</w:t>
      </w:r>
      <w:r w:rsidRPr="53DEEE8E">
        <w:rPr>
          <w:rFonts w:ascii="Times New Roman" w:hAnsi="Times New Roman"/>
        </w:rPr>
        <w:t>,</w:t>
      </w:r>
      <w:r w:rsidRPr="53DEEE8E">
        <w:rPr>
          <w:rFonts w:asciiTheme="majorBidi" w:hAnsiTheme="majorBidi" w:cstheme="majorBidi"/>
        </w:rPr>
        <w:t xml:space="preserve"> the right to freedom of association disproportionately </w:t>
      </w:r>
      <w:r w:rsidRPr="53DEEE8E">
        <w:rPr>
          <w:rFonts w:ascii="Times New Roman" w:hAnsi="Times New Roman"/>
        </w:rPr>
        <w:t>affect</w:t>
      </w:r>
      <w:r w:rsidRPr="53DEEE8E">
        <w:rPr>
          <w:rFonts w:asciiTheme="majorBidi" w:hAnsiTheme="majorBidi" w:cstheme="majorBidi"/>
        </w:rPr>
        <w:t xml:space="preserve"> </w:t>
      </w:r>
      <w:r w:rsidRPr="53DEEE8E">
        <w:rPr>
          <w:rFonts w:ascii="Times New Roman" w:hAnsi="Times New Roman"/>
        </w:rPr>
        <w:t>certain</w:t>
      </w:r>
      <w:r w:rsidRPr="53DEEE8E">
        <w:rPr>
          <w:rFonts w:asciiTheme="majorBidi" w:hAnsiTheme="majorBidi" w:cstheme="majorBidi"/>
        </w:rPr>
        <w:t xml:space="preserve"> groups or communities</w:t>
      </w:r>
      <w:r w:rsidRPr="53DEEE8E">
        <w:rPr>
          <w:rFonts w:ascii="Times New Roman" w:hAnsi="Times New Roman"/>
        </w:rPr>
        <w:t>. It further affirms that article</w:t>
      </w:r>
      <w:r w:rsidRPr="53DEEE8E">
        <w:rPr>
          <w:rFonts w:asciiTheme="majorBidi" w:hAnsiTheme="majorBidi" w:cstheme="majorBidi"/>
        </w:rPr>
        <w:t xml:space="preserve"> 22 should </w:t>
      </w:r>
      <w:r w:rsidRPr="53DEEE8E">
        <w:rPr>
          <w:rFonts w:ascii="Times New Roman" w:hAnsi="Times New Roman"/>
        </w:rPr>
        <w:t xml:space="preserve">therefore </w:t>
      </w:r>
      <w:r w:rsidRPr="53DEEE8E">
        <w:rPr>
          <w:rFonts w:asciiTheme="majorBidi" w:hAnsiTheme="majorBidi" w:cstheme="majorBidi"/>
        </w:rPr>
        <w:t xml:space="preserve">be interpreted with due consideration to the structural barriers </w:t>
      </w:r>
      <w:r w:rsidRPr="53DEEE8E">
        <w:rPr>
          <w:rFonts w:ascii="Times New Roman" w:hAnsi="Times New Roman"/>
        </w:rPr>
        <w:t>these</w:t>
      </w:r>
      <w:r w:rsidRPr="53DEEE8E">
        <w:rPr>
          <w:rFonts w:asciiTheme="majorBidi" w:hAnsiTheme="majorBidi" w:cstheme="majorBidi"/>
        </w:rPr>
        <w:t xml:space="preserve"> groups</w:t>
      </w:r>
      <w:r w:rsidRPr="53DEEE8E">
        <w:rPr>
          <w:rFonts w:ascii="Times New Roman" w:hAnsi="Times New Roman"/>
        </w:rPr>
        <w:t xml:space="preserve"> face.</w:t>
      </w:r>
      <w:r w:rsidRPr="53DEEE8E">
        <w:rPr>
          <w:rFonts w:asciiTheme="majorBidi" w:hAnsiTheme="majorBidi" w:cstheme="majorBidi"/>
        </w:rPr>
        <w:t xml:space="preserve"> However, we believe that the reference to “members of political parties, especially when they are in opposition to the Government” among the groups listed </w:t>
      </w:r>
      <w:r w:rsidRPr="53DEEE8E">
        <w:rPr>
          <w:rFonts w:ascii="Times New Roman" w:hAnsi="Times New Roman"/>
        </w:rPr>
        <w:t>could be</w:t>
      </w:r>
      <w:r w:rsidRPr="53DEEE8E">
        <w:rPr>
          <w:rFonts w:asciiTheme="majorBidi" w:hAnsiTheme="majorBidi" w:cstheme="majorBidi"/>
        </w:rPr>
        <w:t xml:space="preserve"> further clarified to include political aspirants and political groups that are not affiliated with a political party. </w:t>
      </w:r>
    </w:p>
    <w:p w14:paraId="079A4C37"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rPr>
        <w:t xml:space="preserve">This will reflect a stronger alignment with paragraphs 7, 13, and 18 of the draft General Comment, which rightly states that the right to freedom of association implies that individuals can choose to </w:t>
      </w:r>
      <w:r w:rsidRPr="53DEEE8E">
        <w:rPr>
          <w:rFonts w:asciiTheme="majorBidi" w:hAnsiTheme="majorBidi" w:cstheme="majorBidi"/>
        </w:rPr>
        <w:lastRenderedPageBreak/>
        <w:t xml:space="preserve">exercise their collective activities as part of a formal organization, an informal association or to not associate. In our experience, unregistered political groups or associations, such as independent political aspirants or candidates and their networks, are often negatively impacted by restrictions or structural barriers to the right of freedom of association. This is a common challenge in situations where political party membership is required to stand for </w:t>
      </w:r>
      <w:r>
        <w:rPr>
          <w:rFonts w:asciiTheme="majorBidi" w:hAnsiTheme="majorBidi" w:cstheme="majorBidi"/>
        </w:rPr>
        <w:t xml:space="preserve">or contest </w:t>
      </w:r>
      <w:r w:rsidRPr="53DEEE8E">
        <w:rPr>
          <w:rFonts w:asciiTheme="majorBidi" w:hAnsiTheme="majorBidi" w:cstheme="majorBidi"/>
        </w:rPr>
        <w:t xml:space="preserve">elections.  </w:t>
      </w:r>
    </w:p>
    <w:p w14:paraId="456A976C" w14:textId="77777777" w:rsidR="00F878F9" w:rsidRDefault="00F878F9" w:rsidP="00F878F9">
      <w:pPr>
        <w:spacing w:line="240" w:lineRule="auto"/>
        <w:jc w:val="both"/>
        <w:rPr>
          <w:rFonts w:asciiTheme="majorBidi" w:hAnsiTheme="majorBidi" w:cstheme="majorBidi"/>
        </w:rPr>
      </w:pPr>
      <w:r w:rsidRPr="008B4C90">
        <w:rPr>
          <w:rFonts w:asciiTheme="majorBidi" w:hAnsiTheme="majorBidi" w:cstheme="majorBidi"/>
          <w:i/>
          <w:iCs/>
          <w:u w:val="single"/>
        </w:rPr>
        <w:t>Suggested addition:</w:t>
      </w:r>
      <w:r w:rsidRPr="008B4C90">
        <w:rPr>
          <w:rFonts w:asciiTheme="majorBidi" w:hAnsiTheme="majorBidi" w:cstheme="majorBidi"/>
          <w:i/>
          <w:iCs/>
        </w:rPr>
        <w:t xml:space="preserve"> </w:t>
      </w:r>
      <w:r>
        <w:rPr>
          <w:rFonts w:asciiTheme="majorBidi" w:hAnsiTheme="majorBidi" w:cstheme="majorBidi"/>
        </w:rPr>
        <w:t>independent political aspirants or candidates who are not members of a registered political party should be expressly included in the list of particularly affected individuals.</w:t>
      </w:r>
    </w:p>
    <w:p w14:paraId="253FE1FA" w14:textId="77777777" w:rsidR="00F878F9" w:rsidRPr="00FB4A2E" w:rsidRDefault="00F878F9" w:rsidP="00F878F9">
      <w:pPr>
        <w:spacing w:before="240" w:line="240" w:lineRule="auto"/>
        <w:jc w:val="both"/>
        <w:rPr>
          <w:rFonts w:asciiTheme="majorBidi" w:hAnsiTheme="majorBidi" w:cstheme="majorBidi"/>
          <w:b/>
          <w:bCs/>
          <w:i/>
          <w:iCs/>
        </w:rPr>
      </w:pPr>
      <w:r w:rsidRPr="00FB4A2E">
        <w:rPr>
          <w:rFonts w:asciiTheme="majorBidi" w:hAnsiTheme="majorBidi" w:cstheme="majorBidi"/>
          <w:b/>
          <w:bCs/>
          <w:i/>
          <w:iCs/>
        </w:rPr>
        <w:t>Paragraph 10</w:t>
      </w:r>
    </w:p>
    <w:p w14:paraId="37B7A799" w14:textId="77777777" w:rsidR="00042C27" w:rsidRDefault="00F878F9" w:rsidP="00F878F9">
      <w:pPr>
        <w:spacing w:line="240" w:lineRule="auto"/>
        <w:jc w:val="both"/>
        <w:rPr>
          <w:rFonts w:asciiTheme="majorBidi" w:hAnsiTheme="majorBidi" w:cstheme="majorBidi"/>
        </w:rPr>
      </w:pPr>
      <w:r w:rsidRPr="006737D4">
        <w:rPr>
          <w:rFonts w:asciiTheme="majorBidi" w:hAnsiTheme="majorBidi" w:cstheme="majorBidi"/>
        </w:rPr>
        <w:t xml:space="preserve">We appreciate the clarification that the right to freedom of association is not limited to activities, programs and discourses that align with governments or the majority but rather extends to those that challenge governments or the </w:t>
      </w:r>
      <w:r>
        <w:rPr>
          <w:rFonts w:asciiTheme="majorBidi" w:hAnsiTheme="majorBidi" w:cstheme="majorBidi"/>
        </w:rPr>
        <w:t xml:space="preserve">views of the </w:t>
      </w:r>
      <w:r w:rsidRPr="006737D4">
        <w:rPr>
          <w:rFonts w:asciiTheme="majorBidi" w:hAnsiTheme="majorBidi" w:cstheme="majorBidi"/>
        </w:rPr>
        <w:t xml:space="preserve">majority. However, we believe that the paragraph should expressly reference </w:t>
      </w:r>
      <w:r>
        <w:rPr>
          <w:rFonts w:asciiTheme="majorBidi" w:hAnsiTheme="majorBidi" w:cstheme="majorBidi"/>
        </w:rPr>
        <w:t>“</w:t>
      </w:r>
      <w:r w:rsidRPr="006737D4">
        <w:rPr>
          <w:rFonts w:asciiTheme="majorBidi" w:hAnsiTheme="majorBidi" w:cstheme="majorBidi"/>
        </w:rPr>
        <w:t>election observation.</w:t>
      </w:r>
      <w:r>
        <w:rPr>
          <w:rFonts w:asciiTheme="majorBidi" w:hAnsiTheme="majorBidi" w:cstheme="majorBidi"/>
        </w:rPr>
        <w:t xml:space="preserve">” </w:t>
      </w:r>
      <w:r w:rsidRPr="006737D4">
        <w:rPr>
          <w:rFonts w:asciiTheme="majorBidi" w:hAnsiTheme="majorBidi" w:cstheme="majorBidi"/>
        </w:rPr>
        <w:t xml:space="preserve">This will be in addition to </w:t>
      </w:r>
      <w:r>
        <w:rPr>
          <w:rFonts w:asciiTheme="majorBidi" w:hAnsiTheme="majorBidi" w:cstheme="majorBidi"/>
        </w:rPr>
        <w:t>“</w:t>
      </w:r>
      <w:r w:rsidRPr="006737D4">
        <w:rPr>
          <w:rFonts w:asciiTheme="majorBidi" w:hAnsiTheme="majorBidi" w:cstheme="majorBidi"/>
        </w:rPr>
        <w:t xml:space="preserve">human rights, the denunciation of corruption and other politically sensitive issues.” </w:t>
      </w:r>
    </w:p>
    <w:p w14:paraId="1ECD0233" w14:textId="27FA26C4" w:rsidR="00F878F9" w:rsidRDefault="00F878F9" w:rsidP="00F878F9">
      <w:pPr>
        <w:spacing w:line="240" w:lineRule="auto"/>
        <w:jc w:val="both"/>
        <w:rPr>
          <w:rFonts w:asciiTheme="majorBidi" w:hAnsiTheme="majorBidi" w:cstheme="majorBidi"/>
        </w:rPr>
      </w:pPr>
      <w:r>
        <w:rPr>
          <w:rFonts w:asciiTheme="majorBidi" w:hAnsiTheme="majorBidi" w:cstheme="majorBidi"/>
        </w:rPr>
        <w:t>Election observation plays a uniquely important role in democratic societ</w:t>
      </w:r>
      <w:r w:rsidR="008651B6">
        <w:rPr>
          <w:rFonts w:asciiTheme="majorBidi" w:hAnsiTheme="majorBidi" w:cstheme="majorBidi"/>
        </w:rPr>
        <w:t>ies</w:t>
      </w:r>
      <w:r>
        <w:rPr>
          <w:rFonts w:asciiTheme="majorBidi" w:hAnsiTheme="majorBidi" w:cstheme="majorBidi"/>
        </w:rPr>
        <w:t xml:space="preserve">, safeguarding election credibility as well as promoting transparency and accountability in electoral processes. Moreover, </w:t>
      </w:r>
      <w:r w:rsidRPr="00E11806">
        <w:rPr>
          <w:rFonts w:asciiTheme="majorBidi" w:hAnsiTheme="majorBidi" w:cstheme="majorBidi"/>
        </w:rPr>
        <w:t xml:space="preserve">the growing recognition of election observers as human rights defenders by international bodies </w:t>
      </w:r>
      <w:r>
        <w:rPr>
          <w:rFonts w:asciiTheme="majorBidi" w:hAnsiTheme="majorBidi" w:cstheme="majorBidi"/>
        </w:rPr>
        <w:t xml:space="preserve">and mechanisms </w:t>
      </w:r>
      <w:r w:rsidRPr="00E11806">
        <w:rPr>
          <w:rFonts w:asciiTheme="majorBidi" w:hAnsiTheme="majorBidi" w:cstheme="majorBidi"/>
        </w:rPr>
        <w:t>demonstrates that election observation should be named explicitly.</w:t>
      </w:r>
    </w:p>
    <w:p w14:paraId="39DA11DB" w14:textId="22996335" w:rsidR="00F878F9" w:rsidRDefault="00F878F9" w:rsidP="00F878F9">
      <w:pPr>
        <w:spacing w:line="240" w:lineRule="auto"/>
        <w:jc w:val="both"/>
        <w:rPr>
          <w:rFonts w:asciiTheme="majorBidi" w:hAnsiTheme="majorBidi" w:cstheme="majorBidi"/>
        </w:rPr>
      </w:pPr>
      <w:r w:rsidRPr="00951F75">
        <w:rPr>
          <w:rFonts w:asciiTheme="majorBidi" w:hAnsiTheme="majorBidi" w:cstheme="majorBidi"/>
          <w:i/>
          <w:iCs/>
          <w:u w:val="single"/>
        </w:rPr>
        <w:t xml:space="preserve">Suggested addition in </w:t>
      </w:r>
      <w:r>
        <w:rPr>
          <w:rFonts w:asciiTheme="majorBidi" w:hAnsiTheme="majorBidi" w:cstheme="majorBidi"/>
          <w:i/>
          <w:iCs/>
          <w:u w:val="single"/>
        </w:rPr>
        <w:t>b</w:t>
      </w:r>
      <w:r w:rsidRPr="00951F75">
        <w:rPr>
          <w:rFonts w:asciiTheme="majorBidi" w:hAnsiTheme="majorBidi" w:cstheme="majorBidi"/>
          <w:i/>
          <w:iCs/>
          <w:u w:val="single"/>
        </w:rPr>
        <w:t>old:</w:t>
      </w:r>
      <w:r w:rsidRPr="00951F75">
        <w:rPr>
          <w:rFonts w:asciiTheme="majorBidi" w:hAnsiTheme="majorBidi" w:cstheme="majorBidi"/>
        </w:rPr>
        <w:t xml:space="preserve"> “The right to freedom of association applies also to ideas, activities and actions that might be seen as controversial, dissent or disruptive, including human rights, </w:t>
      </w:r>
      <w:r>
        <w:rPr>
          <w:rFonts w:asciiTheme="majorBidi" w:hAnsiTheme="majorBidi" w:cstheme="majorBidi"/>
        </w:rPr>
        <w:t>[</w:t>
      </w:r>
      <w:r w:rsidRPr="00951F75">
        <w:rPr>
          <w:rFonts w:asciiTheme="majorBidi" w:hAnsiTheme="majorBidi" w:cstheme="majorBidi"/>
          <w:b/>
          <w:bCs/>
        </w:rPr>
        <w:t>election observation</w:t>
      </w:r>
      <w:r>
        <w:rPr>
          <w:rFonts w:asciiTheme="majorBidi" w:hAnsiTheme="majorBidi" w:cstheme="majorBidi"/>
          <w:b/>
          <w:bCs/>
        </w:rPr>
        <w:t>]</w:t>
      </w:r>
      <w:r w:rsidRPr="00951F75">
        <w:rPr>
          <w:rFonts w:asciiTheme="majorBidi" w:hAnsiTheme="majorBidi" w:cstheme="majorBidi"/>
          <w:b/>
          <w:bCs/>
        </w:rPr>
        <w:t xml:space="preserve">, </w:t>
      </w:r>
      <w:r w:rsidRPr="00951F75">
        <w:rPr>
          <w:rFonts w:asciiTheme="majorBidi" w:hAnsiTheme="majorBidi" w:cstheme="majorBidi"/>
        </w:rPr>
        <w:t>the denunciation of corruption and other politically sensitive issues.”</w:t>
      </w:r>
    </w:p>
    <w:p w14:paraId="7DEBC24A" w14:textId="77777777" w:rsidR="00F878F9" w:rsidRDefault="00F878F9" w:rsidP="00F878F9">
      <w:pPr>
        <w:spacing w:before="240" w:line="240" w:lineRule="auto"/>
        <w:jc w:val="both"/>
        <w:rPr>
          <w:rFonts w:asciiTheme="majorBidi" w:hAnsiTheme="majorBidi" w:cstheme="majorBidi"/>
          <w:b/>
          <w:bCs/>
          <w:i/>
          <w:iCs/>
        </w:rPr>
      </w:pPr>
      <w:r w:rsidRPr="00755878">
        <w:rPr>
          <w:rFonts w:asciiTheme="majorBidi" w:hAnsiTheme="majorBidi" w:cstheme="majorBidi"/>
          <w:b/>
          <w:bCs/>
          <w:i/>
          <w:iCs/>
        </w:rPr>
        <w:t>Paragraph 11</w:t>
      </w:r>
    </w:p>
    <w:p w14:paraId="588998E0" w14:textId="144A8E18" w:rsidR="00F878F9" w:rsidRDefault="00F878F9" w:rsidP="00F878F9">
      <w:pPr>
        <w:spacing w:line="240" w:lineRule="auto"/>
        <w:jc w:val="both"/>
        <w:rPr>
          <w:rFonts w:asciiTheme="majorBidi" w:hAnsiTheme="majorBidi" w:cstheme="majorBidi"/>
        </w:rPr>
      </w:pPr>
      <w:r>
        <w:rPr>
          <w:rFonts w:asciiTheme="majorBidi" w:hAnsiTheme="majorBidi" w:cstheme="majorBidi"/>
        </w:rPr>
        <w:t>In view of the growing incidents of internet shutdowns during election processes, we recommend further clarification to the paragraph. The paragraph correctly references the example of internet shutdowns as a means for undermining the right to freedom of association. This is especially problematic during elections, where internet shutdowns and disruptions are increasingly used to control online associational activities and information flows.</w:t>
      </w:r>
    </w:p>
    <w:p w14:paraId="31BABD4A" w14:textId="77777777" w:rsidR="00F878F9" w:rsidRDefault="00F878F9" w:rsidP="00F878F9">
      <w:pPr>
        <w:spacing w:line="240" w:lineRule="auto"/>
        <w:jc w:val="both"/>
        <w:rPr>
          <w:rFonts w:asciiTheme="majorBidi" w:hAnsiTheme="majorBidi" w:cstheme="majorBidi"/>
        </w:rPr>
      </w:pPr>
      <w:r w:rsidRPr="000C65C6">
        <w:rPr>
          <w:rFonts w:asciiTheme="majorBidi" w:hAnsiTheme="majorBidi" w:cstheme="majorBidi"/>
          <w:i/>
          <w:iCs/>
          <w:u w:val="single"/>
        </w:rPr>
        <w:t xml:space="preserve">Suggested addition in </w:t>
      </w:r>
      <w:r>
        <w:rPr>
          <w:rFonts w:asciiTheme="majorBidi" w:hAnsiTheme="majorBidi" w:cstheme="majorBidi"/>
          <w:i/>
          <w:iCs/>
          <w:u w:val="single"/>
        </w:rPr>
        <w:t>b</w:t>
      </w:r>
      <w:r w:rsidRPr="000C65C6">
        <w:rPr>
          <w:rFonts w:asciiTheme="majorBidi" w:hAnsiTheme="majorBidi" w:cstheme="majorBidi"/>
          <w:i/>
          <w:iCs/>
          <w:u w:val="single"/>
        </w:rPr>
        <w:t>old:</w:t>
      </w:r>
      <w:r w:rsidRPr="000C65C6">
        <w:rPr>
          <w:rFonts w:asciiTheme="majorBidi" w:hAnsiTheme="majorBidi" w:cstheme="majorBidi"/>
          <w:u w:val="single"/>
        </w:rPr>
        <w:t xml:space="preserve"> </w:t>
      </w:r>
      <w:r>
        <w:rPr>
          <w:rFonts w:asciiTheme="majorBidi" w:hAnsiTheme="majorBidi" w:cstheme="majorBidi"/>
          <w:u w:val="single"/>
        </w:rPr>
        <w:t>“</w:t>
      </w:r>
      <w:r w:rsidRPr="000C65C6">
        <w:rPr>
          <w:rFonts w:asciiTheme="majorBidi" w:hAnsiTheme="majorBidi" w:cstheme="majorBidi"/>
        </w:rPr>
        <w:t xml:space="preserve">For example, digital surveillance, Internet shutdowns, </w:t>
      </w:r>
      <w:r>
        <w:rPr>
          <w:rFonts w:asciiTheme="majorBidi" w:hAnsiTheme="majorBidi" w:cstheme="majorBidi"/>
        </w:rPr>
        <w:t>[</w:t>
      </w:r>
      <w:r w:rsidRPr="000C65C6">
        <w:rPr>
          <w:rFonts w:asciiTheme="majorBidi" w:hAnsiTheme="majorBidi" w:cstheme="majorBidi"/>
          <w:b/>
          <w:bCs/>
        </w:rPr>
        <w:t>including</w:t>
      </w:r>
      <w:r>
        <w:rPr>
          <w:rFonts w:asciiTheme="majorBidi" w:hAnsiTheme="majorBidi" w:cstheme="majorBidi"/>
          <w:b/>
          <w:bCs/>
        </w:rPr>
        <w:t xml:space="preserve"> during</w:t>
      </w:r>
      <w:r w:rsidRPr="000C65C6">
        <w:rPr>
          <w:rFonts w:asciiTheme="majorBidi" w:hAnsiTheme="majorBidi" w:cstheme="majorBidi"/>
          <w:b/>
          <w:bCs/>
        </w:rPr>
        <w:t xml:space="preserve"> </w:t>
      </w:r>
      <w:r>
        <w:rPr>
          <w:rFonts w:asciiTheme="majorBidi" w:hAnsiTheme="majorBidi" w:cstheme="majorBidi"/>
          <w:b/>
          <w:bCs/>
        </w:rPr>
        <w:t xml:space="preserve">critical instances </w:t>
      </w:r>
      <w:r w:rsidRPr="000C65C6">
        <w:rPr>
          <w:rFonts w:asciiTheme="majorBidi" w:hAnsiTheme="majorBidi" w:cstheme="majorBidi"/>
          <w:b/>
          <w:bCs/>
        </w:rPr>
        <w:t>such as elections</w:t>
      </w:r>
      <w:r>
        <w:rPr>
          <w:rFonts w:asciiTheme="majorBidi" w:hAnsiTheme="majorBidi" w:cstheme="majorBidi"/>
          <w:b/>
          <w:bCs/>
        </w:rPr>
        <w:t>]</w:t>
      </w:r>
      <w:r w:rsidRPr="000C65C6">
        <w:rPr>
          <w:rFonts w:asciiTheme="majorBidi" w:hAnsiTheme="majorBidi" w:cstheme="majorBidi"/>
        </w:rPr>
        <w:t>, the lack of access to digital tools, online transnational repression and unduly restrictive monitoring of social media and websites have a chilling effect on the exercise of freedom of association.</w:t>
      </w:r>
      <w:r>
        <w:rPr>
          <w:rFonts w:asciiTheme="majorBidi" w:hAnsiTheme="majorBidi" w:cstheme="majorBidi"/>
        </w:rPr>
        <w:t>”</w:t>
      </w:r>
    </w:p>
    <w:p w14:paraId="63FC99A5" w14:textId="77777777" w:rsidR="00F878F9" w:rsidRPr="00472C59" w:rsidRDefault="00F878F9" w:rsidP="00F878F9">
      <w:pPr>
        <w:spacing w:before="240" w:after="0" w:line="240" w:lineRule="auto"/>
        <w:jc w:val="both"/>
        <w:rPr>
          <w:rFonts w:asciiTheme="majorBidi" w:hAnsiTheme="majorBidi" w:cstheme="majorBidi"/>
          <w:b/>
          <w:bCs/>
          <w:i/>
          <w:iCs/>
          <w:u w:val="single"/>
        </w:rPr>
      </w:pPr>
      <w:r w:rsidRPr="00472C59">
        <w:rPr>
          <w:rFonts w:asciiTheme="majorBidi" w:hAnsiTheme="majorBidi" w:cstheme="majorBidi"/>
          <w:b/>
          <w:bCs/>
          <w:i/>
          <w:iCs/>
        </w:rPr>
        <w:t>Paragraph 14</w:t>
      </w:r>
    </w:p>
    <w:p w14:paraId="6C9F4001" w14:textId="049C2F11" w:rsidR="00F878F9" w:rsidRDefault="00F878F9" w:rsidP="00F878F9">
      <w:pPr>
        <w:spacing w:before="240" w:line="240" w:lineRule="auto"/>
        <w:jc w:val="both"/>
        <w:rPr>
          <w:rFonts w:asciiTheme="majorBidi" w:hAnsiTheme="majorBidi" w:cstheme="majorBidi"/>
          <w:sz w:val="25"/>
          <w:szCs w:val="25"/>
        </w:rPr>
      </w:pPr>
      <w:r w:rsidRPr="00091F8D">
        <w:rPr>
          <w:rFonts w:asciiTheme="majorBidi" w:hAnsiTheme="majorBidi" w:cstheme="majorBidi"/>
          <w:sz w:val="25"/>
          <w:szCs w:val="25"/>
        </w:rPr>
        <w:t xml:space="preserve">We welcome the clarification that art. 22 guarantees the ability for associations to carry out their activities freely. We also welcome the </w:t>
      </w:r>
      <w:r>
        <w:rPr>
          <w:rFonts w:asciiTheme="majorBidi" w:hAnsiTheme="majorBidi" w:cstheme="majorBidi"/>
          <w:sz w:val="25"/>
          <w:szCs w:val="25"/>
        </w:rPr>
        <w:t xml:space="preserve">specific </w:t>
      </w:r>
      <w:r w:rsidRPr="00091F8D">
        <w:rPr>
          <w:rFonts w:asciiTheme="majorBidi" w:hAnsiTheme="majorBidi" w:cstheme="majorBidi"/>
          <w:sz w:val="25"/>
          <w:szCs w:val="25"/>
        </w:rPr>
        <w:t xml:space="preserve">examples </w:t>
      </w:r>
      <w:r>
        <w:rPr>
          <w:rFonts w:asciiTheme="majorBidi" w:hAnsiTheme="majorBidi" w:cstheme="majorBidi"/>
          <w:sz w:val="25"/>
          <w:szCs w:val="25"/>
        </w:rPr>
        <w:t xml:space="preserve">noted </w:t>
      </w:r>
      <w:r w:rsidRPr="00091F8D">
        <w:rPr>
          <w:rFonts w:asciiTheme="majorBidi" w:hAnsiTheme="majorBidi" w:cstheme="majorBidi"/>
          <w:sz w:val="25"/>
          <w:szCs w:val="25"/>
        </w:rPr>
        <w:t>in the paragraph</w:t>
      </w:r>
      <w:r>
        <w:rPr>
          <w:rFonts w:asciiTheme="majorBidi" w:hAnsiTheme="majorBidi" w:cstheme="majorBidi"/>
          <w:sz w:val="25"/>
          <w:szCs w:val="25"/>
        </w:rPr>
        <w:t>:</w:t>
      </w:r>
      <w:r w:rsidRPr="00091F8D">
        <w:rPr>
          <w:rFonts w:asciiTheme="majorBidi" w:hAnsiTheme="majorBidi" w:cstheme="majorBidi"/>
          <w:sz w:val="25"/>
          <w:szCs w:val="25"/>
        </w:rPr>
        <w:t xml:space="preserve"> namely </w:t>
      </w:r>
      <w:r w:rsidRPr="00091F8D">
        <w:rPr>
          <w:rFonts w:asciiTheme="majorBidi" w:hAnsiTheme="majorBidi" w:cstheme="majorBidi"/>
        </w:rPr>
        <w:t xml:space="preserve">the right to access and use funding and other material resources, including </w:t>
      </w:r>
      <w:r>
        <w:rPr>
          <w:rFonts w:asciiTheme="majorBidi" w:hAnsiTheme="majorBidi" w:cstheme="majorBidi"/>
        </w:rPr>
        <w:t xml:space="preserve">from </w:t>
      </w:r>
      <w:r w:rsidRPr="00091F8D">
        <w:rPr>
          <w:rFonts w:asciiTheme="majorBidi" w:hAnsiTheme="majorBidi" w:cstheme="majorBidi"/>
        </w:rPr>
        <w:t>outside S</w:t>
      </w:r>
      <w:r>
        <w:rPr>
          <w:rFonts w:asciiTheme="majorBidi" w:hAnsiTheme="majorBidi" w:cstheme="majorBidi"/>
        </w:rPr>
        <w:t>t</w:t>
      </w:r>
      <w:r w:rsidRPr="00091F8D">
        <w:rPr>
          <w:rFonts w:asciiTheme="majorBidi" w:hAnsiTheme="majorBidi" w:cstheme="majorBidi"/>
        </w:rPr>
        <w:t>ate parties with</w:t>
      </w:r>
      <w:r>
        <w:rPr>
          <w:rFonts w:asciiTheme="majorBidi" w:hAnsiTheme="majorBidi" w:cstheme="majorBidi"/>
        </w:rPr>
        <w:t>out</w:t>
      </w:r>
      <w:r w:rsidRPr="00091F8D">
        <w:rPr>
          <w:rFonts w:asciiTheme="majorBidi" w:hAnsiTheme="majorBidi" w:cstheme="majorBidi"/>
        </w:rPr>
        <w:t xml:space="preserve"> fear of been labelled threats to national security or foreign agents. Nevertheless,</w:t>
      </w:r>
      <w:r>
        <w:rPr>
          <w:rFonts w:asciiTheme="majorBidi" w:hAnsiTheme="majorBidi" w:cstheme="majorBidi"/>
        </w:rPr>
        <w:t xml:space="preserve"> the paragraph could go a step further by explicitly mentioning civil society organizations. Restrictive funding limitations, undue administrative burdens, arbitrary de-registration or accreditation denials (in the case of nonpartisan election observation) justified </w:t>
      </w:r>
      <w:r w:rsidR="004E4C86">
        <w:rPr>
          <w:rFonts w:asciiTheme="majorBidi" w:hAnsiTheme="majorBidi" w:cstheme="majorBidi"/>
        </w:rPr>
        <w:t>on grounds of</w:t>
      </w:r>
      <w:r>
        <w:rPr>
          <w:rFonts w:asciiTheme="majorBidi" w:hAnsiTheme="majorBidi" w:cstheme="majorBidi"/>
        </w:rPr>
        <w:t xml:space="preserve"> </w:t>
      </w:r>
      <w:r>
        <w:rPr>
          <w:rFonts w:asciiTheme="majorBidi" w:hAnsiTheme="majorBidi" w:cstheme="majorBidi"/>
        </w:rPr>
        <w:lastRenderedPageBreak/>
        <w:t>national security or protections against foreign agents</w:t>
      </w:r>
      <w:r w:rsidRPr="00091F8D">
        <w:rPr>
          <w:rFonts w:asciiTheme="majorBidi" w:hAnsiTheme="majorBidi" w:cstheme="majorBidi"/>
        </w:rPr>
        <w:t xml:space="preserve"> disproportionately target or </w:t>
      </w:r>
      <w:r>
        <w:rPr>
          <w:rFonts w:asciiTheme="majorBidi" w:hAnsiTheme="majorBidi" w:cstheme="majorBidi"/>
        </w:rPr>
        <w:t>affect</w:t>
      </w:r>
      <w:r w:rsidRPr="00091F8D">
        <w:rPr>
          <w:rFonts w:asciiTheme="majorBidi" w:hAnsiTheme="majorBidi" w:cstheme="majorBidi"/>
        </w:rPr>
        <w:t xml:space="preserve"> </w:t>
      </w:r>
      <w:r w:rsidRPr="00091F8D">
        <w:rPr>
          <w:rFonts w:asciiTheme="majorBidi" w:hAnsiTheme="majorBidi" w:cstheme="majorBidi"/>
          <w:sz w:val="25"/>
          <w:szCs w:val="25"/>
        </w:rPr>
        <w:t>civil society organizations</w:t>
      </w:r>
      <w:r>
        <w:rPr>
          <w:rFonts w:asciiTheme="majorBidi" w:hAnsiTheme="majorBidi" w:cstheme="majorBidi"/>
          <w:sz w:val="25"/>
          <w:szCs w:val="25"/>
        </w:rPr>
        <w:t xml:space="preserve"> (</w:t>
      </w:r>
      <w:r w:rsidRPr="00091F8D">
        <w:rPr>
          <w:rFonts w:asciiTheme="majorBidi" w:hAnsiTheme="majorBidi" w:cstheme="majorBidi"/>
          <w:sz w:val="25"/>
          <w:szCs w:val="25"/>
        </w:rPr>
        <w:t>including those conducting nonpartisan election observation</w:t>
      </w:r>
      <w:r>
        <w:rPr>
          <w:rFonts w:asciiTheme="majorBidi" w:hAnsiTheme="majorBidi" w:cstheme="majorBidi"/>
          <w:sz w:val="25"/>
          <w:szCs w:val="25"/>
        </w:rPr>
        <w:t>)</w:t>
      </w:r>
      <w:r w:rsidRPr="00091F8D">
        <w:rPr>
          <w:rFonts w:asciiTheme="majorBidi" w:hAnsiTheme="majorBidi" w:cstheme="majorBidi"/>
          <w:sz w:val="25"/>
          <w:szCs w:val="25"/>
        </w:rPr>
        <w:t xml:space="preserve"> and non-governmental organizations that work to promote </w:t>
      </w:r>
      <w:r>
        <w:rPr>
          <w:rFonts w:asciiTheme="majorBidi" w:hAnsiTheme="majorBidi" w:cstheme="majorBidi"/>
          <w:sz w:val="25"/>
          <w:szCs w:val="25"/>
        </w:rPr>
        <w:t>human rights, as well as transparent and accountable governance.</w:t>
      </w:r>
    </w:p>
    <w:p w14:paraId="34676A3D" w14:textId="77777777" w:rsidR="00F878F9" w:rsidRPr="00CC6ED4" w:rsidRDefault="00F878F9" w:rsidP="00F878F9">
      <w:pPr>
        <w:spacing w:before="240" w:line="240" w:lineRule="auto"/>
        <w:jc w:val="both"/>
        <w:rPr>
          <w:rFonts w:asciiTheme="majorBidi" w:hAnsiTheme="majorBidi" w:cstheme="majorBidi"/>
        </w:rPr>
      </w:pPr>
      <w:r w:rsidRPr="000C65C6">
        <w:rPr>
          <w:rFonts w:asciiTheme="majorBidi" w:hAnsiTheme="majorBidi" w:cstheme="majorBidi"/>
          <w:i/>
          <w:iCs/>
          <w:u w:val="single"/>
        </w:rPr>
        <w:t>Suggested addition</w:t>
      </w:r>
      <w:r>
        <w:rPr>
          <w:rFonts w:asciiTheme="majorBidi" w:hAnsiTheme="majorBidi" w:cstheme="majorBidi"/>
          <w:i/>
          <w:iCs/>
          <w:u w:val="single"/>
        </w:rPr>
        <w:t>:</w:t>
      </w:r>
      <w:r w:rsidRPr="0036693D">
        <w:rPr>
          <w:rFonts w:asciiTheme="majorBidi" w:hAnsiTheme="majorBidi" w:cstheme="majorBidi"/>
        </w:rPr>
        <w:t xml:space="preserve"> </w:t>
      </w:r>
      <w:r>
        <w:rPr>
          <w:rFonts w:asciiTheme="majorBidi" w:hAnsiTheme="majorBidi" w:cstheme="majorBidi"/>
        </w:rPr>
        <w:t xml:space="preserve">similar to paragraph 10, </w:t>
      </w:r>
      <w:r w:rsidRPr="00CC6ED4">
        <w:rPr>
          <w:rFonts w:asciiTheme="majorBidi" w:hAnsiTheme="majorBidi" w:cstheme="majorBidi"/>
        </w:rPr>
        <w:t xml:space="preserve">civil society organizations, non-governmental organizations and other associations </w:t>
      </w:r>
      <w:r>
        <w:rPr>
          <w:rFonts w:asciiTheme="majorBidi" w:hAnsiTheme="majorBidi" w:cstheme="majorBidi"/>
        </w:rPr>
        <w:t xml:space="preserve">conducting human rights, election observation, anti-corruption activities and politically sensitive activities and ideas should be explicitly included in the paragraph.  </w:t>
      </w:r>
    </w:p>
    <w:p w14:paraId="7E637402" w14:textId="77777777" w:rsidR="00F878F9" w:rsidRPr="00994534" w:rsidRDefault="00F878F9" w:rsidP="00F878F9">
      <w:pPr>
        <w:spacing w:before="240" w:line="240" w:lineRule="auto"/>
        <w:jc w:val="both"/>
        <w:rPr>
          <w:rFonts w:asciiTheme="majorBidi" w:hAnsiTheme="majorBidi" w:cstheme="majorBidi"/>
          <w:b/>
          <w:i/>
          <w:sz w:val="25"/>
          <w:szCs w:val="25"/>
        </w:rPr>
      </w:pPr>
      <w:r w:rsidRPr="00994534">
        <w:rPr>
          <w:rFonts w:asciiTheme="majorBidi" w:hAnsiTheme="majorBidi" w:cstheme="majorBidi"/>
          <w:b/>
          <w:bCs/>
          <w:i/>
          <w:iCs/>
          <w:sz w:val="25"/>
          <w:szCs w:val="25"/>
        </w:rPr>
        <w:t xml:space="preserve">Paragraph 30 </w:t>
      </w:r>
    </w:p>
    <w:p w14:paraId="4866665D"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rPr>
        <w:t xml:space="preserve">The paragraph correctly stresses that States must refrain from restricting the right to freedom of association as part of their negative obligations under the ICCPR. It also enumerates a wide range of specific measures that are prohibited to safeguard the right to freedom of association. While we welcome these measures, including performing surveillance on the activities of organizations, we believe they should include measures that undermine the right to privacy of members of associations. Advancements in technology have been accompanied by an increased capacity of governments and state agents to obtain and store a wide range of sensitive information and data of individuals and organizations. While these can be used for legitimate purposes such developing registration databases, implementing welfare schemes or conducting elections, arbitrary use of personal information of members of an association can undermine freedom of association. </w:t>
      </w:r>
    </w:p>
    <w:p w14:paraId="1B71DE85" w14:textId="77777777" w:rsidR="00F878F9" w:rsidRPr="00A35DEC" w:rsidRDefault="00F878F9" w:rsidP="00F878F9">
      <w:pPr>
        <w:spacing w:line="240" w:lineRule="auto"/>
        <w:jc w:val="both"/>
        <w:rPr>
          <w:rFonts w:asciiTheme="majorBidi" w:hAnsiTheme="majorBidi" w:cstheme="majorBidi"/>
          <w:u w:val="single"/>
        </w:rPr>
      </w:pPr>
      <w:r w:rsidRPr="00861404">
        <w:rPr>
          <w:rFonts w:asciiTheme="majorBidi" w:hAnsiTheme="majorBidi" w:cstheme="majorBidi"/>
          <w:i/>
          <w:iCs/>
          <w:u w:val="single"/>
        </w:rPr>
        <w:t>Suggested addition:</w:t>
      </w:r>
      <w:r w:rsidRPr="003F76FE">
        <w:rPr>
          <w:rFonts w:asciiTheme="majorBidi" w:hAnsiTheme="majorBidi" w:cstheme="majorBidi"/>
          <w:i/>
          <w:iCs/>
        </w:rPr>
        <w:t xml:space="preserve"> </w:t>
      </w:r>
      <w:r w:rsidRPr="003F76FE">
        <w:rPr>
          <w:rFonts w:asciiTheme="majorBidi" w:hAnsiTheme="majorBidi" w:cstheme="majorBidi"/>
        </w:rPr>
        <w:t xml:space="preserve">unlawful access and use of </w:t>
      </w:r>
      <w:r>
        <w:rPr>
          <w:rFonts w:asciiTheme="majorBidi" w:hAnsiTheme="majorBidi" w:cstheme="majorBidi"/>
        </w:rPr>
        <w:t xml:space="preserve">personal or private data and </w:t>
      </w:r>
      <w:r w:rsidRPr="003F76FE">
        <w:rPr>
          <w:rFonts w:asciiTheme="majorBidi" w:hAnsiTheme="majorBidi" w:cstheme="majorBidi"/>
        </w:rPr>
        <w:t xml:space="preserve">information of </w:t>
      </w:r>
      <w:r>
        <w:rPr>
          <w:rFonts w:asciiTheme="majorBidi" w:hAnsiTheme="majorBidi" w:cstheme="majorBidi"/>
        </w:rPr>
        <w:t xml:space="preserve">members of </w:t>
      </w:r>
      <w:r w:rsidRPr="003F76FE">
        <w:rPr>
          <w:rFonts w:asciiTheme="majorBidi" w:hAnsiTheme="majorBidi" w:cstheme="majorBidi"/>
        </w:rPr>
        <w:t>associations</w:t>
      </w:r>
      <w:r>
        <w:rPr>
          <w:rFonts w:asciiTheme="majorBidi" w:hAnsiTheme="majorBidi" w:cstheme="majorBidi"/>
        </w:rPr>
        <w:t xml:space="preserve"> should be included in the list.</w:t>
      </w:r>
      <w:r w:rsidRPr="003F76FE">
        <w:rPr>
          <w:rFonts w:asciiTheme="majorBidi" w:hAnsiTheme="majorBidi" w:cstheme="majorBidi"/>
        </w:rPr>
        <w:t xml:space="preserve"> </w:t>
      </w:r>
    </w:p>
    <w:p w14:paraId="7A725AE5" w14:textId="77777777" w:rsidR="00F878F9" w:rsidRPr="00994534" w:rsidRDefault="00F878F9" w:rsidP="00F878F9">
      <w:pPr>
        <w:spacing w:line="240" w:lineRule="auto"/>
        <w:jc w:val="both"/>
        <w:rPr>
          <w:rFonts w:asciiTheme="majorBidi" w:hAnsiTheme="majorBidi" w:cstheme="majorBidi"/>
          <w:b/>
          <w:i/>
          <w:sz w:val="25"/>
          <w:szCs w:val="25"/>
        </w:rPr>
      </w:pPr>
      <w:r w:rsidRPr="00994534">
        <w:rPr>
          <w:rFonts w:asciiTheme="majorBidi" w:hAnsiTheme="majorBidi" w:cstheme="majorBidi"/>
          <w:b/>
          <w:i/>
          <w:sz w:val="25"/>
          <w:szCs w:val="25"/>
        </w:rPr>
        <w:t>Paragraph 37</w:t>
      </w:r>
    </w:p>
    <w:p w14:paraId="10160771" w14:textId="40966739" w:rsidR="00F878F9" w:rsidRDefault="00F878F9" w:rsidP="00F878F9">
      <w:pPr>
        <w:spacing w:line="240" w:lineRule="auto"/>
        <w:jc w:val="both"/>
        <w:rPr>
          <w:rFonts w:asciiTheme="majorBidi" w:hAnsiTheme="majorBidi" w:cstheme="majorBidi"/>
        </w:rPr>
      </w:pPr>
      <w:r w:rsidRPr="6A8B95CF">
        <w:rPr>
          <w:rFonts w:asciiTheme="majorBidi" w:hAnsiTheme="majorBidi" w:cstheme="majorBidi"/>
        </w:rPr>
        <w:t>The paragraph is well conceived and rightly recognizes the role of private businesses in view of</w:t>
      </w:r>
      <w:r>
        <w:rPr>
          <w:rFonts w:asciiTheme="majorBidi" w:hAnsiTheme="majorBidi" w:cstheme="majorBidi"/>
        </w:rPr>
        <w:t xml:space="preserve"> </w:t>
      </w:r>
      <w:r w:rsidRPr="6A8B95CF">
        <w:rPr>
          <w:rFonts w:asciiTheme="majorBidi" w:hAnsiTheme="majorBidi" w:cstheme="majorBidi"/>
        </w:rPr>
        <w:t>the nexus between growing online communications and activities on one hand and the right to freedom of association on the other hand. However, the paragraph could provide further guidance on the role of States in relation to business</w:t>
      </w:r>
      <w:r>
        <w:rPr>
          <w:rFonts w:asciiTheme="majorBidi" w:hAnsiTheme="majorBidi" w:cstheme="majorBidi"/>
        </w:rPr>
        <w:t xml:space="preserve"> enterprises </w:t>
      </w:r>
      <w:r w:rsidRPr="6A8B95CF">
        <w:rPr>
          <w:rFonts w:asciiTheme="majorBidi" w:hAnsiTheme="majorBidi" w:cstheme="majorBidi"/>
        </w:rPr>
        <w:t xml:space="preserve">beyond </w:t>
      </w:r>
      <w:r>
        <w:rPr>
          <w:rFonts w:asciiTheme="majorBidi" w:hAnsiTheme="majorBidi" w:cstheme="majorBidi"/>
        </w:rPr>
        <w:t xml:space="preserve">adopting measures to </w:t>
      </w:r>
      <w:r w:rsidRPr="6A8B95CF">
        <w:rPr>
          <w:rFonts w:asciiTheme="majorBidi" w:hAnsiTheme="majorBidi" w:cstheme="majorBidi"/>
        </w:rPr>
        <w:t>ensur</w:t>
      </w:r>
      <w:r>
        <w:rPr>
          <w:rFonts w:asciiTheme="majorBidi" w:hAnsiTheme="majorBidi" w:cstheme="majorBidi"/>
        </w:rPr>
        <w:t xml:space="preserve">e </w:t>
      </w:r>
      <w:r w:rsidRPr="6A8B95CF">
        <w:rPr>
          <w:rFonts w:asciiTheme="majorBidi" w:hAnsiTheme="majorBidi" w:cstheme="majorBidi"/>
        </w:rPr>
        <w:t>that businesses conduct human right</w:t>
      </w:r>
      <w:r>
        <w:rPr>
          <w:rFonts w:asciiTheme="majorBidi" w:hAnsiTheme="majorBidi" w:cstheme="majorBidi"/>
        </w:rPr>
        <w:t>s</w:t>
      </w:r>
      <w:r w:rsidRPr="6A8B95CF">
        <w:rPr>
          <w:rFonts w:asciiTheme="majorBidi" w:hAnsiTheme="majorBidi" w:cstheme="majorBidi"/>
        </w:rPr>
        <w:t xml:space="preserve"> </w:t>
      </w:r>
      <w:r>
        <w:rPr>
          <w:rFonts w:asciiTheme="majorBidi" w:hAnsiTheme="majorBidi" w:cstheme="majorBidi"/>
        </w:rPr>
        <w:t>due diligence</w:t>
      </w:r>
      <w:r w:rsidRPr="6A8B95CF">
        <w:rPr>
          <w:rFonts w:asciiTheme="majorBidi" w:hAnsiTheme="majorBidi" w:cstheme="majorBidi"/>
        </w:rPr>
        <w:t xml:space="preserve"> assessments and address instances of human rights violations. We believe the paragraph should explicitly refer to the need for States to </w:t>
      </w:r>
      <w:r>
        <w:rPr>
          <w:rFonts w:asciiTheme="majorBidi" w:hAnsiTheme="majorBidi" w:cstheme="majorBidi"/>
        </w:rPr>
        <w:t>adopt measures</w:t>
      </w:r>
      <w:r w:rsidRPr="6A8B95CF">
        <w:rPr>
          <w:rFonts w:asciiTheme="majorBidi" w:hAnsiTheme="majorBidi" w:cstheme="majorBidi"/>
        </w:rPr>
        <w:t xml:space="preserve"> that </w:t>
      </w:r>
      <w:r w:rsidR="004A02A5">
        <w:rPr>
          <w:rFonts w:asciiTheme="majorBidi" w:hAnsiTheme="majorBidi" w:cstheme="majorBidi"/>
        </w:rPr>
        <w:t>ensure</w:t>
      </w:r>
      <w:r>
        <w:rPr>
          <w:rFonts w:asciiTheme="majorBidi" w:hAnsiTheme="majorBidi" w:cstheme="majorBidi"/>
        </w:rPr>
        <w:t xml:space="preserve"> </w:t>
      </w:r>
      <w:r w:rsidRPr="6A8B95CF">
        <w:rPr>
          <w:rFonts w:asciiTheme="majorBidi" w:hAnsiTheme="majorBidi" w:cstheme="majorBidi"/>
        </w:rPr>
        <w:t>busines</w:t>
      </w:r>
      <w:r>
        <w:rPr>
          <w:rFonts w:asciiTheme="majorBidi" w:hAnsiTheme="majorBidi" w:cstheme="majorBidi"/>
        </w:rPr>
        <w:t>s</w:t>
      </w:r>
      <w:r w:rsidRPr="6A8B95CF">
        <w:rPr>
          <w:rFonts w:asciiTheme="majorBidi" w:hAnsiTheme="majorBidi" w:cstheme="majorBidi"/>
        </w:rPr>
        <w:t xml:space="preserve"> </w:t>
      </w:r>
      <w:r>
        <w:rPr>
          <w:rFonts w:asciiTheme="majorBidi" w:hAnsiTheme="majorBidi" w:cstheme="majorBidi"/>
        </w:rPr>
        <w:t xml:space="preserve">enterprises </w:t>
      </w:r>
      <w:r w:rsidRPr="6A8B95CF">
        <w:rPr>
          <w:rFonts w:asciiTheme="majorBidi" w:hAnsiTheme="majorBidi" w:cstheme="majorBidi"/>
        </w:rPr>
        <w:t xml:space="preserve">adhere </w:t>
      </w:r>
      <w:r>
        <w:rPr>
          <w:rFonts w:asciiTheme="majorBidi" w:hAnsiTheme="majorBidi" w:cstheme="majorBidi"/>
        </w:rPr>
        <w:t xml:space="preserve">to the UN Guiding Principles on Business and Human Rights, and the </w:t>
      </w:r>
      <w:r w:rsidRPr="6A8B95CF">
        <w:rPr>
          <w:rFonts w:asciiTheme="majorBidi" w:hAnsiTheme="majorBidi" w:cstheme="majorBidi"/>
        </w:rPr>
        <w:t xml:space="preserve">standards </w:t>
      </w:r>
      <w:r>
        <w:rPr>
          <w:rFonts w:asciiTheme="majorBidi" w:hAnsiTheme="majorBidi" w:cstheme="majorBidi"/>
        </w:rPr>
        <w:t>for</w:t>
      </w:r>
      <w:r w:rsidRPr="6A8B95CF">
        <w:rPr>
          <w:rFonts w:asciiTheme="majorBidi" w:hAnsiTheme="majorBidi" w:cstheme="majorBidi"/>
        </w:rPr>
        <w:t xml:space="preserve"> transparency and accountability</w:t>
      </w:r>
      <w:r>
        <w:rPr>
          <w:rFonts w:asciiTheme="majorBidi" w:hAnsiTheme="majorBidi" w:cstheme="majorBidi"/>
        </w:rPr>
        <w:t xml:space="preserve"> it provides</w:t>
      </w:r>
      <w:r w:rsidRPr="6A8B95CF">
        <w:rPr>
          <w:rFonts w:asciiTheme="majorBidi" w:hAnsiTheme="majorBidi" w:cstheme="majorBidi"/>
        </w:rPr>
        <w:t xml:space="preserve">. </w:t>
      </w:r>
    </w:p>
    <w:p w14:paraId="38284475" w14:textId="77777777" w:rsidR="00F878F9" w:rsidRPr="00562285" w:rsidRDefault="00F878F9" w:rsidP="00F878F9">
      <w:pPr>
        <w:spacing w:line="240" w:lineRule="auto"/>
        <w:jc w:val="both"/>
        <w:rPr>
          <w:rFonts w:asciiTheme="majorBidi" w:hAnsiTheme="majorBidi" w:cstheme="majorBidi"/>
        </w:rPr>
      </w:pPr>
      <w:r w:rsidRPr="00562285">
        <w:rPr>
          <w:rFonts w:asciiTheme="majorBidi" w:hAnsiTheme="majorBidi" w:cstheme="majorBidi"/>
        </w:rPr>
        <w:t>In the context of elections, content moderation bodies, digital technology and social media companies hold extensive power over the information environment a</w:t>
      </w:r>
      <w:r>
        <w:rPr>
          <w:rFonts w:asciiTheme="majorBidi" w:hAnsiTheme="majorBidi" w:cstheme="majorBidi"/>
        </w:rPr>
        <w:t>round electoral competitions, with the effect that online associational activities</w:t>
      </w:r>
      <w:r w:rsidRPr="00562285">
        <w:rPr>
          <w:rFonts w:asciiTheme="majorBidi" w:hAnsiTheme="majorBidi" w:cstheme="majorBidi"/>
        </w:rPr>
        <w:t xml:space="preserve"> can be significantly influenced by their action or inaction.</w:t>
      </w:r>
      <w:r>
        <w:rPr>
          <w:rFonts w:asciiTheme="majorBidi" w:hAnsiTheme="majorBidi" w:cstheme="majorBidi"/>
        </w:rPr>
        <w:t xml:space="preserve"> Businesses should be transparent in their content management policies and practices and should make their policies and compliant mechanisms available to users. </w:t>
      </w:r>
    </w:p>
    <w:p w14:paraId="7BD6FE23" w14:textId="77777777" w:rsidR="00F878F9" w:rsidRPr="00FA0F88" w:rsidRDefault="00F878F9" w:rsidP="00F878F9">
      <w:pPr>
        <w:spacing w:line="240" w:lineRule="auto"/>
        <w:jc w:val="both"/>
        <w:rPr>
          <w:rFonts w:asciiTheme="majorBidi" w:hAnsiTheme="majorBidi" w:cstheme="majorBidi"/>
          <w:i/>
          <w:iCs/>
          <w:u w:val="single"/>
        </w:rPr>
      </w:pPr>
      <w:r w:rsidRPr="1D1D47D8">
        <w:rPr>
          <w:rFonts w:asciiTheme="majorBidi" w:hAnsiTheme="majorBidi" w:cstheme="majorBidi"/>
          <w:i/>
          <w:iCs/>
          <w:u w:val="single"/>
        </w:rPr>
        <w:t xml:space="preserve">Suggested addition: </w:t>
      </w:r>
      <w:r w:rsidRPr="1D1D47D8">
        <w:rPr>
          <w:rFonts w:asciiTheme="majorBidi" w:hAnsiTheme="majorBidi" w:cstheme="majorBidi"/>
        </w:rPr>
        <w:t xml:space="preserve">As part of their obligations to protect against human rights abuses within their territories, States should ensure that private businesses adhere to </w:t>
      </w:r>
      <w:r>
        <w:rPr>
          <w:rFonts w:asciiTheme="majorBidi" w:hAnsiTheme="majorBidi" w:cstheme="majorBidi"/>
        </w:rPr>
        <w:t>standards of transparency and accountability, including those contained in the Guiding Principles on Business and Human Rights</w:t>
      </w:r>
      <w:r w:rsidRPr="1D1D47D8">
        <w:rPr>
          <w:rFonts w:asciiTheme="majorBidi" w:hAnsiTheme="majorBidi" w:cstheme="majorBidi"/>
        </w:rPr>
        <w:t xml:space="preserve">.  </w:t>
      </w:r>
    </w:p>
    <w:p w14:paraId="4F5A37E2" w14:textId="77777777" w:rsidR="00041377" w:rsidRDefault="00041377" w:rsidP="00F878F9">
      <w:pPr>
        <w:spacing w:before="240" w:line="240" w:lineRule="auto"/>
        <w:jc w:val="both"/>
        <w:rPr>
          <w:rFonts w:asciiTheme="majorBidi" w:hAnsiTheme="majorBidi" w:cstheme="majorBidi"/>
          <w:b/>
          <w:i/>
          <w:sz w:val="25"/>
          <w:szCs w:val="25"/>
        </w:rPr>
      </w:pPr>
    </w:p>
    <w:p w14:paraId="01E0896B" w14:textId="026DF4EF" w:rsidR="00F878F9" w:rsidRPr="00994534" w:rsidRDefault="00F878F9" w:rsidP="00F878F9">
      <w:pPr>
        <w:spacing w:before="240" w:line="240" w:lineRule="auto"/>
        <w:jc w:val="both"/>
        <w:rPr>
          <w:rFonts w:asciiTheme="majorBidi" w:hAnsiTheme="majorBidi" w:cstheme="majorBidi"/>
          <w:b/>
          <w:i/>
          <w:sz w:val="25"/>
          <w:szCs w:val="25"/>
        </w:rPr>
      </w:pPr>
      <w:r w:rsidRPr="00994534">
        <w:rPr>
          <w:rFonts w:asciiTheme="majorBidi" w:hAnsiTheme="majorBidi" w:cstheme="majorBidi"/>
          <w:b/>
          <w:i/>
          <w:sz w:val="25"/>
          <w:szCs w:val="25"/>
        </w:rPr>
        <w:lastRenderedPageBreak/>
        <w:t>Paragraphs 39 and 40</w:t>
      </w:r>
    </w:p>
    <w:p w14:paraId="1E04755C" w14:textId="77777777" w:rsidR="00F878F9" w:rsidRDefault="00F878F9" w:rsidP="00F878F9">
      <w:pPr>
        <w:spacing w:line="240" w:lineRule="auto"/>
        <w:jc w:val="both"/>
        <w:rPr>
          <w:rFonts w:asciiTheme="majorBidi" w:hAnsiTheme="majorBidi" w:cstheme="majorBidi"/>
        </w:rPr>
      </w:pPr>
      <w:r w:rsidRPr="53DEEE8E">
        <w:rPr>
          <w:rFonts w:asciiTheme="majorBidi" w:hAnsiTheme="majorBidi" w:cstheme="majorBidi"/>
        </w:rPr>
        <w:t>The availability of remedies is central to protecting the right to freedom of association. We welcome the clarification that remedies must be effective, should not impose undue restrictions on the individuals concerned</w:t>
      </w:r>
      <w:r w:rsidRPr="60D59ECF">
        <w:rPr>
          <w:rFonts w:asciiTheme="majorBidi" w:hAnsiTheme="majorBidi" w:cstheme="majorBidi"/>
        </w:rPr>
        <w:t>,</w:t>
      </w:r>
      <w:r w:rsidRPr="53DEEE8E">
        <w:rPr>
          <w:rFonts w:asciiTheme="majorBidi" w:hAnsiTheme="majorBidi" w:cstheme="majorBidi"/>
        </w:rPr>
        <w:t xml:space="preserve"> and that reparations must be tailored towards the situation of the rights holder. However, it is necessary for the paragraph to further specify that for remedies to be effective they must be timely. This is particularly important in the context of elections where remedies must be sensitive to the electoral calendar to ensure public confidence in the process and outcomes. </w:t>
      </w:r>
    </w:p>
    <w:p w14:paraId="2C1719B3" w14:textId="77777777" w:rsidR="00F878F9" w:rsidRDefault="00F878F9" w:rsidP="00F878F9">
      <w:pPr>
        <w:spacing w:line="240" w:lineRule="auto"/>
        <w:jc w:val="both"/>
        <w:rPr>
          <w:rFonts w:asciiTheme="majorBidi" w:hAnsiTheme="majorBidi" w:cstheme="majorBidi"/>
        </w:rPr>
      </w:pPr>
      <w:r>
        <w:rPr>
          <w:rFonts w:asciiTheme="majorBidi" w:hAnsiTheme="majorBidi" w:cstheme="majorBidi"/>
        </w:rPr>
        <w:t xml:space="preserve">In the instance of political parties referenced in the paragraph, arbitrary denial of registration, deregistration, bans or other violations that occur during an election cycle may only be effectively redressed if remedies are applied prior to the conduct of the elections. </w:t>
      </w:r>
    </w:p>
    <w:p w14:paraId="0D41B941" w14:textId="77777777" w:rsidR="00F878F9" w:rsidRPr="009B0D87" w:rsidRDefault="00F878F9" w:rsidP="00F878F9">
      <w:pPr>
        <w:spacing w:line="240" w:lineRule="auto"/>
        <w:jc w:val="both"/>
        <w:rPr>
          <w:rFonts w:asciiTheme="majorBidi" w:hAnsiTheme="majorBidi" w:cstheme="majorBidi"/>
        </w:rPr>
      </w:pPr>
      <w:r w:rsidRPr="006F15DC">
        <w:rPr>
          <w:rFonts w:asciiTheme="majorBidi" w:hAnsiTheme="majorBidi" w:cstheme="majorBidi"/>
          <w:i/>
          <w:iCs/>
          <w:u w:val="single"/>
        </w:rPr>
        <w:t>Suggested addition:</w:t>
      </w:r>
      <w:r>
        <w:rPr>
          <w:rFonts w:asciiTheme="majorBidi" w:hAnsiTheme="majorBidi" w:cstheme="majorBidi"/>
        </w:rPr>
        <w:t xml:space="preserve"> </w:t>
      </w:r>
      <w:r w:rsidRPr="00552F85">
        <w:rPr>
          <w:rFonts w:asciiTheme="majorBidi" w:hAnsiTheme="majorBidi" w:cstheme="majorBidi"/>
        </w:rPr>
        <w:t xml:space="preserve">Remedies for violations affecting electoral </w:t>
      </w:r>
      <w:r w:rsidRPr="30A3CD19">
        <w:rPr>
          <w:rFonts w:asciiTheme="majorBidi" w:hAnsiTheme="majorBidi" w:cstheme="majorBidi"/>
        </w:rPr>
        <w:t>associations</w:t>
      </w:r>
      <w:r w:rsidRPr="00552F85">
        <w:rPr>
          <w:rFonts w:asciiTheme="majorBidi" w:hAnsiTheme="majorBidi" w:cstheme="majorBidi"/>
        </w:rPr>
        <w:t xml:space="preserve"> must be prompt,</w:t>
      </w:r>
      <w:r>
        <w:rPr>
          <w:rFonts w:asciiTheme="majorBidi" w:hAnsiTheme="majorBidi" w:cstheme="majorBidi"/>
        </w:rPr>
        <w:t xml:space="preserve"> </w:t>
      </w:r>
      <w:r w:rsidRPr="00552F85">
        <w:rPr>
          <w:rFonts w:asciiTheme="majorBidi" w:hAnsiTheme="majorBidi" w:cstheme="majorBidi"/>
        </w:rPr>
        <w:t xml:space="preserve">accessible, independent, and capable of preventing irreversible exclusion from the </w:t>
      </w:r>
      <w:r>
        <w:rPr>
          <w:rFonts w:asciiTheme="majorBidi" w:hAnsiTheme="majorBidi" w:cstheme="majorBidi"/>
        </w:rPr>
        <w:t xml:space="preserve">political competition or </w:t>
      </w:r>
      <w:r w:rsidRPr="00552F85">
        <w:rPr>
          <w:rFonts w:asciiTheme="majorBidi" w:hAnsiTheme="majorBidi" w:cstheme="majorBidi"/>
        </w:rPr>
        <w:t>electoral</w:t>
      </w:r>
      <w:r>
        <w:rPr>
          <w:rFonts w:asciiTheme="majorBidi" w:hAnsiTheme="majorBidi" w:cstheme="majorBidi"/>
        </w:rPr>
        <w:t xml:space="preserve"> </w:t>
      </w:r>
      <w:r w:rsidRPr="00552F85">
        <w:rPr>
          <w:rFonts w:asciiTheme="majorBidi" w:hAnsiTheme="majorBidi" w:cstheme="majorBidi"/>
        </w:rPr>
        <w:t>process.</w:t>
      </w:r>
      <w:r>
        <w:rPr>
          <w:rFonts w:asciiTheme="majorBidi" w:hAnsiTheme="majorBidi" w:cstheme="majorBidi"/>
        </w:rPr>
        <w:t xml:space="preserve"> </w:t>
      </w:r>
      <w:r w:rsidRPr="00552F85">
        <w:rPr>
          <w:rFonts w:asciiTheme="majorBidi" w:hAnsiTheme="majorBidi" w:cstheme="majorBidi"/>
        </w:rPr>
        <w:t>Procedural rules should not be applied in a manner that prevents parties, candidates,</w:t>
      </w:r>
      <w:r>
        <w:rPr>
          <w:rFonts w:asciiTheme="majorBidi" w:hAnsiTheme="majorBidi" w:cstheme="majorBidi"/>
        </w:rPr>
        <w:t xml:space="preserve"> </w:t>
      </w:r>
      <w:r w:rsidRPr="00552F85">
        <w:rPr>
          <w:rFonts w:asciiTheme="majorBidi" w:hAnsiTheme="majorBidi" w:cstheme="majorBidi"/>
        </w:rPr>
        <w:t>or civic associations from obtaining timely relief.</w:t>
      </w:r>
    </w:p>
    <w:p w14:paraId="2D6CA232" w14:textId="77777777" w:rsidR="00F878F9" w:rsidRPr="002A5F27" w:rsidRDefault="00F878F9" w:rsidP="00F878F9">
      <w:pPr>
        <w:spacing w:line="240" w:lineRule="auto"/>
        <w:jc w:val="both"/>
        <w:rPr>
          <w:rFonts w:asciiTheme="majorBidi" w:hAnsiTheme="majorBidi" w:cstheme="majorBidi"/>
        </w:rPr>
      </w:pPr>
      <w:r w:rsidRPr="002A5F27">
        <w:rPr>
          <w:rFonts w:asciiTheme="majorBidi" w:hAnsiTheme="majorBidi" w:cstheme="majorBidi"/>
        </w:rPr>
        <w:t xml:space="preserve"> </w:t>
      </w:r>
    </w:p>
    <w:p w14:paraId="4BC9F56D" w14:textId="77777777" w:rsidR="00F878F9" w:rsidRDefault="00F878F9"/>
    <w:sectPr w:rsidR="00F878F9" w:rsidSect="00F878F9">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567781"/>
      <w:docPartObj>
        <w:docPartGallery w:val="Page Numbers (Bottom of Page)"/>
        <w:docPartUnique/>
      </w:docPartObj>
    </w:sdtPr>
    <w:sdtEndPr>
      <w:rPr>
        <w:noProof/>
      </w:rPr>
    </w:sdtEndPr>
    <w:sdtContent>
      <w:p w14:paraId="3BBB14C3" w14:textId="77777777" w:rsidR="00F878F9" w:rsidRDefault="00F878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185196" w14:textId="77777777" w:rsidR="00F878F9" w:rsidRDefault="00F87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33242"/>
      <w:docPartObj>
        <w:docPartGallery w:val="Page Numbers (Bottom of Page)"/>
        <w:docPartUnique/>
      </w:docPartObj>
    </w:sdtPr>
    <w:sdtEndPr>
      <w:rPr>
        <w:noProof/>
      </w:rPr>
    </w:sdtEndPr>
    <w:sdtContent>
      <w:p w14:paraId="130CF0EE" w14:textId="77777777" w:rsidR="00F878F9" w:rsidRDefault="00F878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838F35" w14:textId="77777777" w:rsidR="00F878F9" w:rsidRDefault="00F878F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1313" w14:textId="77777777" w:rsidR="00F878F9" w:rsidRPr="00573198" w:rsidRDefault="00F878F9" w:rsidP="00573198">
    <w:pPr>
      <w:pStyle w:val="Header"/>
      <w:jc w:val="right"/>
      <w:rPr>
        <w:rFonts w:asciiTheme="majorBidi" w:hAnsiTheme="majorBidi" w:cstheme="majorBidi"/>
        <w:sz w:val="22"/>
        <w:szCs w:val="22"/>
      </w:rPr>
    </w:pPr>
    <w:r w:rsidRPr="00573198">
      <w:rPr>
        <w:rFonts w:asciiTheme="majorBidi" w:hAnsiTheme="majorBidi" w:cstheme="majorBidi"/>
        <w:sz w:val="22"/>
        <w:szCs w:val="22"/>
      </w:rPr>
      <w:t>The Carter Center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3451E2"/>
    <w:multiLevelType w:val="hybridMultilevel"/>
    <w:tmpl w:val="4DE83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3203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8F9"/>
    <w:rsid w:val="00041377"/>
    <w:rsid w:val="00042C27"/>
    <w:rsid w:val="000F20BC"/>
    <w:rsid w:val="004A02A5"/>
    <w:rsid w:val="004E4C86"/>
    <w:rsid w:val="007D6D9A"/>
    <w:rsid w:val="008651B6"/>
    <w:rsid w:val="00966065"/>
    <w:rsid w:val="00C05C56"/>
    <w:rsid w:val="00F878F9"/>
    <w:rsid w:val="00F900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B124A"/>
  <w15:chartTrackingRefBased/>
  <w15:docId w15:val="{962717EC-8FC8-4B2D-B981-C13EBB3F0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8F9"/>
  </w:style>
  <w:style w:type="paragraph" w:styleId="Heading1">
    <w:name w:val="heading 1"/>
    <w:basedOn w:val="Normal"/>
    <w:next w:val="Normal"/>
    <w:link w:val="Heading1Char"/>
    <w:uiPriority w:val="9"/>
    <w:qFormat/>
    <w:rsid w:val="00F878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8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8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8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8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8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8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8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8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8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8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8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8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8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8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8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8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8F9"/>
    <w:rPr>
      <w:rFonts w:eastAsiaTheme="majorEastAsia" w:cstheme="majorBidi"/>
      <w:color w:val="272727" w:themeColor="text1" w:themeTint="D8"/>
    </w:rPr>
  </w:style>
  <w:style w:type="paragraph" w:styleId="Title">
    <w:name w:val="Title"/>
    <w:basedOn w:val="Normal"/>
    <w:next w:val="Normal"/>
    <w:link w:val="TitleChar"/>
    <w:uiPriority w:val="10"/>
    <w:qFormat/>
    <w:rsid w:val="00F878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8F9"/>
    <w:pPr>
      <w:spacing w:before="160"/>
      <w:jc w:val="center"/>
    </w:pPr>
    <w:rPr>
      <w:i/>
      <w:iCs/>
      <w:color w:val="404040" w:themeColor="text1" w:themeTint="BF"/>
    </w:rPr>
  </w:style>
  <w:style w:type="character" w:customStyle="1" w:styleId="QuoteChar">
    <w:name w:val="Quote Char"/>
    <w:basedOn w:val="DefaultParagraphFont"/>
    <w:link w:val="Quote"/>
    <w:uiPriority w:val="29"/>
    <w:rsid w:val="00F878F9"/>
    <w:rPr>
      <w:i/>
      <w:iCs/>
      <w:color w:val="404040" w:themeColor="text1" w:themeTint="BF"/>
    </w:rPr>
  </w:style>
  <w:style w:type="paragraph" w:styleId="ListParagraph">
    <w:name w:val="List Paragraph"/>
    <w:basedOn w:val="Normal"/>
    <w:uiPriority w:val="34"/>
    <w:qFormat/>
    <w:rsid w:val="00F878F9"/>
    <w:pPr>
      <w:ind w:left="720"/>
      <w:contextualSpacing/>
    </w:pPr>
  </w:style>
  <w:style w:type="character" w:styleId="IntenseEmphasis">
    <w:name w:val="Intense Emphasis"/>
    <w:basedOn w:val="DefaultParagraphFont"/>
    <w:uiPriority w:val="21"/>
    <w:qFormat/>
    <w:rsid w:val="00F878F9"/>
    <w:rPr>
      <w:i/>
      <w:iCs/>
      <w:color w:val="0F4761" w:themeColor="accent1" w:themeShade="BF"/>
    </w:rPr>
  </w:style>
  <w:style w:type="paragraph" w:styleId="IntenseQuote">
    <w:name w:val="Intense Quote"/>
    <w:basedOn w:val="Normal"/>
    <w:next w:val="Normal"/>
    <w:link w:val="IntenseQuoteChar"/>
    <w:uiPriority w:val="30"/>
    <w:qFormat/>
    <w:rsid w:val="00F878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8F9"/>
    <w:rPr>
      <w:i/>
      <w:iCs/>
      <w:color w:val="0F4761" w:themeColor="accent1" w:themeShade="BF"/>
    </w:rPr>
  </w:style>
  <w:style w:type="character" w:styleId="IntenseReference">
    <w:name w:val="Intense Reference"/>
    <w:basedOn w:val="DefaultParagraphFont"/>
    <w:uiPriority w:val="32"/>
    <w:qFormat/>
    <w:rsid w:val="00F878F9"/>
    <w:rPr>
      <w:b/>
      <w:bCs/>
      <w:smallCaps/>
      <w:color w:val="0F4761" w:themeColor="accent1" w:themeShade="BF"/>
      <w:spacing w:val="5"/>
    </w:rPr>
  </w:style>
  <w:style w:type="paragraph" w:styleId="Header">
    <w:name w:val="header"/>
    <w:basedOn w:val="Normal"/>
    <w:link w:val="HeaderChar"/>
    <w:uiPriority w:val="99"/>
    <w:unhideWhenUsed/>
    <w:rsid w:val="00F87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8F9"/>
  </w:style>
  <w:style w:type="paragraph" w:styleId="Footer">
    <w:name w:val="footer"/>
    <w:basedOn w:val="Normal"/>
    <w:link w:val="FooterChar"/>
    <w:uiPriority w:val="99"/>
    <w:unhideWhenUsed/>
    <w:rsid w:val="00F87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8F9"/>
  </w:style>
  <w:style w:type="character" w:styleId="CommentReference">
    <w:name w:val="annotation reference"/>
    <w:basedOn w:val="DefaultParagraphFont"/>
    <w:uiPriority w:val="99"/>
    <w:semiHidden/>
    <w:unhideWhenUsed/>
    <w:rsid w:val="00F878F9"/>
    <w:rPr>
      <w:sz w:val="16"/>
      <w:szCs w:val="16"/>
    </w:rPr>
  </w:style>
  <w:style w:type="paragraph" w:styleId="CommentText">
    <w:name w:val="annotation text"/>
    <w:basedOn w:val="Normal"/>
    <w:link w:val="CommentTextChar"/>
    <w:uiPriority w:val="99"/>
    <w:unhideWhenUsed/>
    <w:rsid w:val="00F878F9"/>
    <w:pPr>
      <w:spacing w:line="240" w:lineRule="auto"/>
    </w:pPr>
    <w:rPr>
      <w:sz w:val="20"/>
      <w:szCs w:val="20"/>
    </w:rPr>
  </w:style>
  <w:style w:type="character" w:customStyle="1" w:styleId="CommentTextChar">
    <w:name w:val="Comment Text Char"/>
    <w:basedOn w:val="DefaultParagraphFont"/>
    <w:link w:val="CommentText"/>
    <w:uiPriority w:val="99"/>
    <w:rsid w:val="00F878F9"/>
    <w:rPr>
      <w:sz w:val="20"/>
      <w:szCs w:val="20"/>
    </w:rPr>
  </w:style>
  <w:style w:type="character" w:styleId="Hyperlink">
    <w:name w:val="Hyperlink"/>
    <w:basedOn w:val="DefaultParagraphFont"/>
    <w:uiPriority w:val="99"/>
    <w:unhideWhenUsed/>
    <w:rsid w:val="00F878F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artercenter.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5" ma:contentTypeDescription="Create a new document." ma:contentTypeScope="" ma:versionID="58579df4de39a9b2095874bb2a5e7e5e">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d1401b5f77f9c0e5f51f5070f0b5be93"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AIcounter xmlns="d42e65b2-cf21-49c1-b27d-d23f90380c0e">1</AIcounter>
    <Category xmlns="d42e65b2-cf21-49c1-b27d-d23f90380c0e">CSOs</Category>
    <Filename xmlns="d42e65b2-cf21-49c1-b27d-d23f90380c0e" xsi:nil="true"/>
    <Doctype xmlns="d42e65b2-cf21-49c1-b27d-d23f90380c0e">input</Doctype>
    <Contributor xmlns="d42e65b2-cf21-49c1-b27d-d23f90380c0e">The Carter Center</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9AA9A9E9-35B3-4C42-9C38-EDC895A1FBD8}"/>
</file>

<file path=customXml/itemProps2.xml><?xml version="1.0" encoding="utf-8"?>
<ds:datastoreItem xmlns:ds="http://schemas.openxmlformats.org/officeDocument/2006/customXml" ds:itemID="{885A7257-1BEB-467F-835C-63499B4FFD1C}"/>
</file>

<file path=customXml/itemProps3.xml><?xml version="1.0" encoding="utf-8"?>
<ds:datastoreItem xmlns:ds="http://schemas.openxmlformats.org/officeDocument/2006/customXml" ds:itemID="{23311E3B-8EFB-4465-B888-8431413E9720}"/>
</file>

<file path=docProps/app.xml><?xml version="1.0" encoding="utf-8"?>
<Properties xmlns="http://schemas.openxmlformats.org/officeDocument/2006/extended-properties" xmlns:vt="http://schemas.openxmlformats.org/officeDocument/2006/docPropsVTypes">
  <Template>Normal</Template>
  <TotalTime>26</TotalTime>
  <Pages>6</Pages>
  <Words>2096</Words>
  <Characters>12602</Characters>
  <Application>Microsoft Office Word</Application>
  <DocSecurity>0</DocSecurity>
  <Lines>203</Lines>
  <Paragraphs>59</Paragraphs>
  <ScaleCrop>false</ScaleCrop>
  <Company/>
  <LinksUpToDate>false</LinksUpToDate>
  <CharactersWithSpaces>14639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Obehi Okojie</dc:creator>
  <cp:keywords/>
  <dc:description/>
  <cp:lastModifiedBy>Obehi Okojie</cp:lastModifiedBy>
  <cp:revision>11</cp:revision>
  <dcterms:created xsi:type="dcterms:W3CDTF">2026-07-15T16:24:00Z</dcterms:created>
  <dcterms:modified xsi:type="dcterms:W3CDTF">2026-07-15T16:50:00Z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