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E8A45" w14:textId="77777777" w:rsidR="005310C1" w:rsidRDefault="00000000">
      <w:pPr>
        <w:spacing w:after="40"/>
        <w:jc w:val="center"/>
      </w:pPr>
      <w:r>
        <w:rPr>
          <w:rFonts w:ascii="Garamond" w:eastAsia="Garamond" w:hAnsi="Garamond" w:cs="Garamond"/>
          <w:b/>
          <w:bCs/>
          <w:color w:val="1B2A4A"/>
          <w:sz w:val="26"/>
          <w:szCs w:val="26"/>
        </w:rPr>
        <w:t>FÉDÉRATION ÉTUDIANTE DES DROITS DE L'HOMME (FEDH)</w:t>
      </w:r>
    </w:p>
    <w:p w14:paraId="03BB401A" w14:textId="77777777" w:rsidR="005310C1" w:rsidRPr="00DA18AE" w:rsidRDefault="00000000">
      <w:pPr>
        <w:spacing w:after="220"/>
        <w:jc w:val="center"/>
        <w:rPr>
          <w:sz w:val="22"/>
          <w:szCs w:val="22"/>
        </w:rPr>
      </w:pPr>
      <w:proofErr w:type="gramStart"/>
      <w:r w:rsidRPr="00DA18AE">
        <w:rPr>
          <w:rFonts w:ascii="Garamond" w:eastAsia="Garamond" w:hAnsi="Garamond" w:cs="Garamond"/>
          <w:i/>
          <w:iCs/>
          <w:color w:val="8A6D3B"/>
          <w:sz w:val="22"/>
          <w:szCs w:val="22"/>
        </w:rPr>
        <w:t>in</w:t>
      </w:r>
      <w:proofErr w:type="gramEnd"/>
      <w:r w:rsidRPr="00DA18AE">
        <w:rPr>
          <w:rFonts w:ascii="Garamond" w:eastAsia="Garamond" w:hAnsi="Garamond" w:cs="Garamond"/>
          <w:i/>
          <w:iCs/>
          <w:color w:val="8A6D3B"/>
          <w:sz w:val="22"/>
          <w:szCs w:val="22"/>
        </w:rPr>
        <w:t xml:space="preserve"> partnership with the Associations des Étudiants Tamouls du Nord et de l'Est du Sri Lanka</w:t>
      </w:r>
    </w:p>
    <w:p w14:paraId="4196E06A" w14:textId="77777777" w:rsidR="005310C1" w:rsidRPr="00E2159F" w:rsidRDefault="00000000">
      <w:pPr>
        <w:spacing w:after="60"/>
        <w:jc w:val="center"/>
        <w:rPr>
          <w:sz w:val="22"/>
          <w:szCs w:val="22"/>
          <w:lang w:val="en-GB"/>
        </w:rPr>
      </w:pPr>
      <w:r w:rsidRPr="00E2159F">
        <w:rPr>
          <w:rFonts w:ascii="Garamond" w:eastAsia="Garamond" w:hAnsi="Garamond" w:cs="Garamond"/>
          <w:color w:val="555555"/>
          <w:sz w:val="24"/>
          <w:szCs w:val="24"/>
          <w:lang w:val="en-GB"/>
        </w:rPr>
        <w:t>Submission to the United Nations Human Rights Committee (CCPR)</w:t>
      </w:r>
    </w:p>
    <w:p w14:paraId="542C1A79" w14:textId="77777777" w:rsidR="005310C1" w:rsidRPr="00E2159F" w:rsidRDefault="00000000">
      <w:pPr>
        <w:pBdr>
          <w:bottom w:val="single" w:sz="10" w:space="8" w:color="1B2A4A"/>
        </w:pBdr>
        <w:spacing w:after="300"/>
        <w:jc w:val="center"/>
        <w:rPr>
          <w:sz w:val="22"/>
          <w:szCs w:val="22"/>
          <w:lang w:val="en-GB"/>
        </w:rPr>
      </w:pPr>
      <w:r w:rsidRPr="00E2159F">
        <w:rPr>
          <w:rFonts w:ascii="Garamond" w:eastAsia="Garamond" w:hAnsi="Garamond" w:cs="Garamond"/>
          <w:b/>
          <w:bCs/>
          <w:sz w:val="28"/>
          <w:szCs w:val="28"/>
          <w:lang w:val="en-GB"/>
        </w:rPr>
        <w:t>Call for Comments — Draft General Comment No. 38 on Article 22 (Right to Freedom of Association) of the International Covenant on Civil and Political Rights</w:t>
      </w:r>
    </w:p>
    <w:p w14:paraId="3B00773D" w14:textId="77777777" w:rsidR="005310C1" w:rsidRPr="00E2159F" w:rsidRDefault="00000000">
      <w:pPr>
        <w:spacing w:after="60"/>
        <w:jc w:val="center"/>
        <w:rPr>
          <w:sz w:val="22"/>
          <w:szCs w:val="22"/>
          <w:lang w:val="en-GB"/>
        </w:rPr>
      </w:pPr>
      <w:r w:rsidRPr="00E2159F">
        <w:rPr>
          <w:rFonts w:ascii="Garamond" w:eastAsia="Garamond" w:hAnsi="Garamond" w:cs="Garamond"/>
          <w:color w:val="555555"/>
          <w:sz w:val="22"/>
          <w:szCs w:val="22"/>
          <w:lang w:val="en-GB"/>
        </w:rPr>
        <w:t>Submitted ahead of the second reading of Draft General Comment No. 38 by the Human Rights Committee</w:t>
      </w:r>
    </w:p>
    <w:p w14:paraId="1BEB2C7D" w14:textId="496632EA" w:rsidR="005310C1" w:rsidRPr="00E2159F" w:rsidRDefault="00E2159F">
      <w:pPr>
        <w:spacing w:after="400"/>
        <w:jc w:val="center"/>
        <w:rPr>
          <w:sz w:val="22"/>
          <w:szCs w:val="22"/>
          <w:lang w:val="en-GB"/>
        </w:rPr>
      </w:pPr>
      <w:r>
        <w:rPr>
          <w:rFonts w:ascii="Garamond" w:eastAsia="Garamond" w:hAnsi="Garamond" w:cs="Garamond"/>
          <w:color w:val="555555"/>
          <w:sz w:val="22"/>
          <w:szCs w:val="22"/>
          <w:lang w:val="en-GB"/>
        </w:rPr>
        <w:t>19</w:t>
      </w:r>
      <w:r w:rsidRPr="00E2159F">
        <w:rPr>
          <w:rFonts w:ascii="Garamond" w:eastAsia="Garamond" w:hAnsi="Garamond" w:cs="Garamond"/>
          <w:color w:val="555555"/>
          <w:sz w:val="22"/>
          <w:szCs w:val="22"/>
          <w:lang w:val="en-GB"/>
        </w:rPr>
        <w:t xml:space="preserve"> Ju</w:t>
      </w:r>
      <w:r>
        <w:rPr>
          <w:rFonts w:ascii="Garamond" w:eastAsia="Garamond" w:hAnsi="Garamond" w:cs="Garamond"/>
          <w:color w:val="555555"/>
          <w:sz w:val="22"/>
          <w:szCs w:val="22"/>
          <w:lang w:val="en-GB"/>
        </w:rPr>
        <w:t>ne</w:t>
      </w:r>
      <w:r w:rsidRPr="00E2159F">
        <w:rPr>
          <w:rFonts w:ascii="Garamond" w:eastAsia="Garamond" w:hAnsi="Garamond" w:cs="Garamond"/>
          <w:color w:val="555555"/>
          <w:sz w:val="22"/>
          <w:szCs w:val="22"/>
          <w:lang w:val="en-GB"/>
        </w:rPr>
        <w:t xml:space="preserve"> 2026</w:t>
      </w:r>
    </w:p>
    <w:p w14:paraId="28167C45" w14:textId="77777777" w:rsidR="005310C1" w:rsidRPr="00E2159F" w:rsidRDefault="00000000">
      <w:pPr>
        <w:pStyle w:val="Heading1"/>
        <w:pBdr>
          <w:bottom w:val="single" w:sz="6" w:space="4" w:color="1B2A4A"/>
        </w:pBdr>
        <w:spacing w:before="380" w:after="160"/>
        <w:rPr>
          <w:sz w:val="36"/>
          <w:szCs w:val="36"/>
          <w:lang w:val="en-GB"/>
        </w:rPr>
      </w:pPr>
      <w:r w:rsidRPr="00E2159F">
        <w:rPr>
          <w:rFonts w:ascii="Garamond" w:eastAsia="Garamond" w:hAnsi="Garamond" w:cs="Garamond"/>
          <w:b/>
          <w:bCs/>
          <w:caps/>
          <w:color w:val="1B2A4A"/>
          <w:sz w:val="28"/>
          <w:szCs w:val="28"/>
          <w:lang w:val="en-GB"/>
        </w:rPr>
        <w:t>I. Introduction and Standing of the Submitting Organisations</w:t>
      </w:r>
    </w:p>
    <w:p w14:paraId="01AA3A23"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 xml:space="preserve">The Fédération </w:t>
      </w:r>
      <w:proofErr w:type="spellStart"/>
      <w:r w:rsidRPr="00E2159F">
        <w:rPr>
          <w:rFonts w:ascii="Garamond" w:eastAsia="Garamond" w:hAnsi="Garamond" w:cs="Garamond"/>
          <w:sz w:val="24"/>
          <w:szCs w:val="24"/>
          <w:lang w:val="en-GB"/>
        </w:rPr>
        <w:t>Étudiante</w:t>
      </w:r>
      <w:proofErr w:type="spellEnd"/>
      <w:r w:rsidRPr="00E2159F">
        <w:rPr>
          <w:rFonts w:ascii="Garamond" w:eastAsia="Garamond" w:hAnsi="Garamond" w:cs="Garamond"/>
          <w:sz w:val="24"/>
          <w:szCs w:val="24"/>
          <w:lang w:val="en-GB"/>
        </w:rPr>
        <w:t xml:space="preserve"> des Droits de l'Homme (FEDH) is a France-based student human rights organisation that supports the international advocacy of Tamil diaspora and homeland civil society before United Nations human rights mechanisms. FEDH submits these comments in partnership with the Associations des </w:t>
      </w:r>
      <w:proofErr w:type="spellStart"/>
      <w:r w:rsidRPr="00E2159F">
        <w:rPr>
          <w:rFonts w:ascii="Garamond" w:eastAsia="Garamond" w:hAnsi="Garamond" w:cs="Garamond"/>
          <w:sz w:val="24"/>
          <w:szCs w:val="24"/>
          <w:lang w:val="en-GB"/>
        </w:rPr>
        <w:t>Étudiants</w:t>
      </w:r>
      <w:proofErr w:type="spellEnd"/>
      <w:r w:rsidRPr="00E2159F">
        <w:rPr>
          <w:rFonts w:ascii="Garamond" w:eastAsia="Garamond" w:hAnsi="Garamond" w:cs="Garamond"/>
          <w:sz w:val="24"/>
          <w:szCs w:val="24"/>
          <w:lang w:val="en-GB"/>
        </w:rPr>
        <w:t xml:space="preserve"> </w:t>
      </w:r>
      <w:proofErr w:type="spellStart"/>
      <w:r w:rsidRPr="00E2159F">
        <w:rPr>
          <w:rFonts w:ascii="Garamond" w:eastAsia="Garamond" w:hAnsi="Garamond" w:cs="Garamond"/>
          <w:sz w:val="24"/>
          <w:szCs w:val="24"/>
          <w:lang w:val="en-GB"/>
        </w:rPr>
        <w:t>Tamouls</w:t>
      </w:r>
      <w:proofErr w:type="spellEnd"/>
      <w:r w:rsidRPr="00E2159F">
        <w:rPr>
          <w:rFonts w:ascii="Garamond" w:eastAsia="Garamond" w:hAnsi="Garamond" w:cs="Garamond"/>
          <w:sz w:val="24"/>
          <w:szCs w:val="24"/>
          <w:lang w:val="en-GB"/>
        </w:rPr>
        <w:t xml:space="preserve"> du Nord et de </w:t>
      </w:r>
      <w:proofErr w:type="spellStart"/>
      <w:r w:rsidRPr="00E2159F">
        <w:rPr>
          <w:rFonts w:ascii="Garamond" w:eastAsia="Garamond" w:hAnsi="Garamond" w:cs="Garamond"/>
          <w:sz w:val="24"/>
          <w:szCs w:val="24"/>
          <w:lang w:val="en-GB"/>
        </w:rPr>
        <w:t>l'Est</w:t>
      </w:r>
      <w:proofErr w:type="spellEnd"/>
      <w:r w:rsidRPr="00E2159F">
        <w:rPr>
          <w:rFonts w:ascii="Garamond" w:eastAsia="Garamond" w:hAnsi="Garamond" w:cs="Garamond"/>
          <w:sz w:val="24"/>
          <w:szCs w:val="24"/>
          <w:lang w:val="en-GB"/>
        </w:rPr>
        <w:t xml:space="preserve"> du Sri Lanka, a network of Eelam Tamil student associations organising in the Northern and Eastern Provinces of Sri Lanka, a territory that has remained under sustained military occupation and demographic engineering since the end of the armed conflict in May 2009.</w:t>
      </w:r>
    </w:p>
    <w:p w14:paraId="7A8506BC"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Both organisations welcome the opportunity to comment on Draft General Comment No. 38 on article 22 of the International Covenant on Civil and Political Rights, adopted on first reading at the Committee's 145th session in March 2026. We commend the Committee for undertaking to clarify the content and scope of the right to freedom of association in a comprehensive manner, including its application to digital civic space, trade union rights, and states of emergency. We write, however, from the specific and largely unaddressed vantage point of a national, linguistic and religious minority whose associational life is organised under conditions of prolonged military administration in what is nominally peacetime.</w:t>
      </w:r>
    </w:p>
    <w:p w14:paraId="5C605913"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For the Eelam Tamil population of the North-East, the everyday exercise of the right to freedom of association — whether through student unions, associations of families of the forcibly disappeared, cultural and commemorative bodies, or diaspora organisations abroad — takes place under an occupation architecture that has outlived the conflict that produced it: High Security Zones and military-administered land, a permanent security apparatus embedded in civilian life, continued reliance on the Prevention of Terrorism Act (PTA) and its successor legislation, and, for the diaspora, transnational surveillance and proscription. These comments seek to ensure that the final text of General Comment No. 38 speaks directly and explicitly to this reality, rather than leaving it to be inferred from generic language on minorities or emergencies.</w:t>
      </w:r>
    </w:p>
    <w:p w14:paraId="7746202A"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 xml:space="preserve">These comments draw on the direct experience of Tamil student associations organising on university campuses in the Northern and Eastern Provinces, and on the accumulated advocacy record of Tamil diaspora civil society before the Human Rights Council, the special procedures and other treaty bodies. They are offered in a constructive spirit, in support of a general comment that we consider, on the whole, to be a significant and welcome contribution to the interpretation of article 22, and that could be made </w:t>
      </w:r>
      <w:r w:rsidRPr="00E2159F">
        <w:rPr>
          <w:rFonts w:ascii="Garamond" w:eastAsia="Garamond" w:hAnsi="Garamond" w:cs="Garamond"/>
          <w:sz w:val="24"/>
          <w:szCs w:val="24"/>
          <w:lang w:val="en-GB"/>
        </w:rPr>
        <w:lastRenderedPageBreak/>
        <w:t>still stronger by more explicit engagement with the situation of communities living under sustained, undeclared militarised governance.</w:t>
      </w:r>
    </w:p>
    <w:p w14:paraId="584CEB89" w14:textId="77777777" w:rsidR="005310C1" w:rsidRPr="00E2159F" w:rsidRDefault="00000000">
      <w:pPr>
        <w:pStyle w:val="Heading1"/>
        <w:pBdr>
          <w:bottom w:val="single" w:sz="6" w:space="4" w:color="1B2A4A"/>
        </w:pBdr>
        <w:spacing w:before="380" w:after="160"/>
        <w:rPr>
          <w:sz w:val="36"/>
          <w:szCs w:val="36"/>
          <w:lang w:val="en-GB"/>
        </w:rPr>
      </w:pPr>
      <w:r w:rsidRPr="00E2159F">
        <w:rPr>
          <w:rFonts w:ascii="Garamond" w:eastAsia="Garamond" w:hAnsi="Garamond" w:cs="Garamond"/>
          <w:b/>
          <w:bCs/>
          <w:caps/>
          <w:color w:val="1B2A4A"/>
          <w:sz w:val="28"/>
          <w:szCs w:val="28"/>
          <w:lang w:val="en-GB"/>
        </w:rPr>
        <w:t>II. Preliminary Observation: An Absent Category — Association Under Sustained Military Occupation and Post-Conflict Militarised Governance</w:t>
      </w:r>
    </w:p>
    <w:p w14:paraId="19F4BF6A"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The draft General Comment engages carefully with several recognised contexts in which freedom of association is under strain: states of emergency (paras. 52–56), armed conflict and occupation (para. 52), and the situation of marginalised and disadvantaged groups (para. 9). What is missing is any sustained treatment of a fourth and distinct context: territories that remain under de facto military administration for years or decades after the cessation of active hostilities, without any formal state of emergency and without any derogation notified under article 4. Sri Lanka's North-East is the paradigmatic example. There has been no declared emergency since 2011 and no derogation under article 4 has been notified in relation to the Northern and Eastern Provinces since the end of the war. Yet the United Nations' own human rights reporting on Sri Lanka has repeatedly found that the surveillance apparatus in the north and east has remained largely intact, operating with minimal civilian oversight and producing continued patterns of intimidation and harassment directed at community leaders, civil society actors and, in particular, families of the forcibly disappeared.</w:t>
      </w:r>
    </w:p>
    <w:p w14:paraId="5D5FF469"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This is a governance model that produces the same chilling effects on associational life as a declared emergency — pervasive military presence at community and university level, informal surveillance of meetings, and routine questioning of members of associations by intelligence personnel — while remaining formally outside the article 4 framework that the draft addresses. Because the draft's discussion of emergencies and occupation is framed principally around declared, time-bound and reviewable measures, it risks leaving States free of scrutiny for precisely the kind of open-ended, undeclared militarisation that is most corrosive of freedom of association in the long run. We return to this gap in section III.H below and propose specific textual additions to close it.</w:t>
      </w:r>
    </w:p>
    <w:p w14:paraId="4530551C" w14:textId="77777777" w:rsidR="005310C1" w:rsidRPr="00E2159F" w:rsidRDefault="00000000">
      <w:pPr>
        <w:pStyle w:val="Heading1"/>
        <w:pBdr>
          <w:bottom w:val="single" w:sz="6" w:space="4" w:color="1B2A4A"/>
        </w:pBdr>
        <w:spacing w:before="380" w:after="160"/>
        <w:rPr>
          <w:sz w:val="36"/>
          <w:szCs w:val="36"/>
          <w:lang w:val="en-GB"/>
        </w:rPr>
      </w:pPr>
      <w:r w:rsidRPr="00E2159F">
        <w:rPr>
          <w:rFonts w:ascii="Garamond" w:eastAsia="Garamond" w:hAnsi="Garamond" w:cs="Garamond"/>
          <w:b/>
          <w:bCs/>
          <w:caps/>
          <w:color w:val="1B2A4A"/>
          <w:sz w:val="28"/>
          <w:szCs w:val="28"/>
          <w:lang w:val="en-GB"/>
        </w:rPr>
        <w:t>III. Comments on Specific Sections and Paragraphs of the Draft</w:t>
      </w:r>
    </w:p>
    <w:p w14:paraId="6A3DDB67"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A. Paragraph 9 — the enumeration of marginalised and disadvantaged groups should name populations under occupation and militarised governance</w:t>
      </w:r>
    </w:p>
    <w:p w14:paraId="6216DC27"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9 lists categories of persons for whom restrictions on freedom of association may have a differentiated and heightened impact, including women, Indigenous Peoples, persons living in rural or remote areas, and members of political parties in opposition. This list, while valuable, does not name populations living under military occupation, prolonged militarised administration, or contexts of demographic alteration of their home territory — despite the fact that these are precisely the conditions under which associational life is most structurally constrained. Eelam Tamil student associations in the North-East report that the presence of military-run "civil affairs" units embedded in community life, on and around university campuses, has a direct and continuous chilling effect on the willingness of students to form, join or lead associations, distinct from and additional to the barriers facing rural or remote populations generally.</w:t>
      </w:r>
    </w:p>
    <w:p w14:paraId="2208A6ED"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lastRenderedPageBreak/>
        <w:t>We recommend that paragraph 9 be amended to add, among the enumerated categories: "populations residing in territories under prolonged military administration, occupation or demographic alteration; and relatives of victims of enforced disappearance and their associations." This would align the general comment with the Committee's own concluding observations practice, which has repeatedly addressed the situation of Tamil civil society and families of the disappeared in the north and east of Sri Lanka.</w:t>
      </w:r>
    </w:p>
    <w:p w14:paraId="40F89502"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B. Paragraphs 10–11 — protection of disfavoured, commemorative and digitally organised associations</w:t>
      </w:r>
    </w:p>
    <w:p w14:paraId="1B794F70"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 xml:space="preserve">Paragraph 10 rightly affirms that freedom of association extends to activities and discourses that are controversial, dissenting or disruptive from the point of view of the Government or the majority population, including advocacy that a </w:t>
      </w:r>
      <w:proofErr w:type="gramStart"/>
      <w:r w:rsidRPr="00E2159F">
        <w:rPr>
          <w:rFonts w:ascii="Garamond" w:eastAsia="Garamond" w:hAnsi="Garamond" w:cs="Garamond"/>
          <w:sz w:val="24"/>
          <w:szCs w:val="24"/>
          <w:lang w:val="en-GB"/>
        </w:rPr>
        <w:t>Government</w:t>
      </w:r>
      <w:proofErr w:type="gramEnd"/>
      <w:r w:rsidRPr="00E2159F">
        <w:rPr>
          <w:rFonts w:ascii="Garamond" w:eastAsia="Garamond" w:hAnsi="Garamond" w:cs="Garamond"/>
          <w:sz w:val="24"/>
          <w:szCs w:val="24"/>
          <w:lang w:val="en-GB"/>
        </w:rPr>
        <w:t xml:space="preserve"> considers politically sensitive. We welcome this language, which is directly relevant to Eelam Tamil commemorative and political associations. Organisations that organise the annual Tamil Heroes' Day (</w:t>
      </w:r>
      <w:proofErr w:type="spellStart"/>
      <w:r w:rsidRPr="00E2159F">
        <w:rPr>
          <w:rFonts w:ascii="Garamond" w:eastAsia="Garamond" w:hAnsi="Garamond" w:cs="Garamond"/>
          <w:sz w:val="24"/>
          <w:szCs w:val="24"/>
          <w:lang w:val="en-GB"/>
        </w:rPr>
        <w:t>Maaveerar</w:t>
      </w:r>
      <w:proofErr w:type="spellEnd"/>
      <w:r w:rsidRPr="00E2159F">
        <w:rPr>
          <w:rFonts w:ascii="Garamond" w:eastAsia="Garamond" w:hAnsi="Garamond" w:cs="Garamond"/>
          <w:sz w:val="24"/>
          <w:szCs w:val="24"/>
          <w:lang w:val="en-GB"/>
        </w:rPr>
        <w:t xml:space="preserve"> Naal) or other forms of collective remembrance of the war have repeatedly been treated as security threats and their members interrogated, notwithstanding the peaceful and non-violent character of these activities. We recommend that paragraph 10 include an explicit reference to commemorative and memorialisation associations as a category of association that a </w:t>
      </w:r>
      <w:proofErr w:type="gramStart"/>
      <w:r w:rsidRPr="00E2159F">
        <w:rPr>
          <w:rFonts w:ascii="Garamond" w:eastAsia="Garamond" w:hAnsi="Garamond" w:cs="Garamond"/>
          <w:sz w:val="24"/>
          <w:szCs w:val="24"/>
          <w:lang w:val="en-GB"/>
        </w:rPr>
        <w:t>Government</w:t>
      </w:r>
      <w:proofErr w:type="gramEnd"/>
      <w:r w:rsidRPr="00E2159F">
        <w:rPr>
          <w:rFonts w:ascii="Garamond" w:eastAsia="Garamond" w:hAnsi="Garamond" w:cs="Garamond"/>
          <w:sz w:val="24"/>
          <w:szCs w:val="24"/>
          <w:lang w:val="en-GB"/>
        </w:rPr>
        <w:t xml:space="preserve"> or majority population may view unfavourably but that nonetheless falls squarely within the protection of article 22.</w:t>
      </w:r>
    </w:p>
    <w:p w14:paraId="17E929C5"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11 correctly extends article 22 to online and digital associational activity and notes the chilling effect of surveillance and restrictive monitoring of social media. We ask the Committee to note, as an illustrative example, legislation such as Sri Lanka's Online Safety Act and its proposed successor counter-terrorism legislation, which criminalise broadly defined categories of online content — including documentation of military checkpoints or deployments — in a manner that disproportionately exposes civil society and student associations that document ongoing militarisation in their own communities.</w:t>
      </w:r>
    </w:p>
    <w:p w14:paraId="66F4393D"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C. Paragraphs 12–14 — the scope of protected associations should expressly name student and youth associations, and associations of the families of the disappeared</w:t>
      </w:r>
    </w:p>
    <w:p w14:paraId="4244CEB9"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The list of associations in paragraph 12 (political parties, non-governmental organisations, trade unions, professional associations, and so on) does not expressly mention student or youth associations, notwithstanding that these are frequently the first target of restriction in militarised or authoritarian contexts because of their role in generating new generations of civic leadership. University student unions in the Northern Province operate under close and continuous monitoring, and student leaders are disproportionately subject to questioning under counter-terrorism legislation. We recommend that paragraph 12 be amended to add "student and youth associations, including university and school-based unions" to the illustrative list, with an accompanying footnote acknowledging their particular exposure to restriction in conflict-affected and post-conflict settings.</w:t>
      </w:r>
    </w:p>
    <w:p w14:paraId="64BB68D2"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 xml:space="preserve">Relatedly, we welcome the Committee's broader recognition, at paragraph 14, that article 22 covers the whole life cycle of an association, including its right to document, preserve and access its own archives. This is of direct relevance to associations of families of the forcibly disappeared, whose central purpose is often the preservation of testimony, photographs and records relating to disappeared relatives in the face of active State efforts — including surveillance, harassment and, at times, destruction of memorial sites — to suppress that record. We recommend that paragraph 14 expressly note that this archival right </w:t>
      </w:r>
      <w:r w:rsidRPr="00E2159F">
        <w:rPr>
          <w:rFonts w:ascii="Garamond" w:eastAsia="Garamond" w:hAnsi="Garamond" w:cs="Garamond"/>
          <w:sz w:val="24"/>
          <w:szCs w:val="24"/>
          <w:lang w:val="en-GB"/>
        </w:rPr>
        <w:lastRenderedPageBreak/>
        <w:t>encompasses memorial sites and physical commemorative structures maintained by associations of victims and their families.</w:t>
      </w:r>
    </w:p>
    <w:p w14:paraId="04B1236C"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D. Paragraphs 29–32 — territorial and extraterritorial obligations should address occupation, effective control short of formal annexation, and diaspora associations</w:t>
      </w:r>
    </w:p>
    <w:p w14:paraId="1AA8A5A0"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29 rightly affirms that the Covenant applies to the whole territory of a State Party, including non-self-governing and overseas territories, and extends extraterritorially wherever a State Party exercises effective control. We ask the Committee to clarify, in this section, that "effective control" for the purposes of article 22 is not limited to situations of formal military occupation of foreign territory, but also encompasses a State Party's own militarised administration of parts of its own territory populated predominantly by a national, ethnic, linguistic or religious minority, where that administration departs materially from the State's ordinary system of civilian governance elsewhere in the country. Without this clarification, States may argue that because the territory in question is formally their own, the occupation-related jurisprudence referenced in the draft has no application — an argument that has in practice been advanced to deflect scrutiny of the continued militarisation of the Sri Lankan North-East.</w:t>
      </w:r>
    </w:p>
    <w:p w14:paraId="52E6B83A"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32 rightly recognises that article 22 prohibits States Parties from harassing, intimidating or cyber-repressing journalists, human rights defenders and others living abroad. We ask that this paragraph be strengthened with an explicit reference to the proscription, terrorist-designation or financial blacklisting of diaspora associations that advocate for self-determination, accountability or minority rights, where such designations are used to criminalise ordinary diaspora organisational activity — including cultural events, remittances to community associations, and participation in international advocacy — rather than to address any genuine and demonstrated security threat. Tamil diaspora organisations in France, Canada, the United Kingdom and Australia have documented patterns of monitoring, informant recruitment and diplomatic pressure emanating from Sri Lankan state agents, aimed at deterring participation in lawful associational activity abroad. This is precisely the kind of transnational repression that paragraph 32, read together with paragraph 36 on third-State harassment, is well placed to address if made more explicit.</w:t>
      </w:r>
    </w:p>
    <w:p w14:paraId="78365F62"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E. Paragraph 30 — the list of prohibited measures should be expanded</w:t>
      </w:r>
    </w:p>
    <w:p w14:paraId="58F63C65"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30 provides a valuable, non-exhaustive list of measures that breach the negative obligation to respect freedom of association. We recommend the addition of the following, each grounded in the lived experience of Eelam Tamil associations:</w:t>
      </w:r>
    </w:p>
    <w:p w14:paraId="7977CA07"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Land appropriation, resettlement and demographic alteration of a minority's home territory that erodes the community base on which local associations depend, including the conversion of land previously used by associations or religious and cultural bodies to military or state use;</w:t>
      </w:r>
    </w:p>
    <w:p w14:paraId="038E587F"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Continuous, low-level military or intelligence presence in community and university life — distinct from discrete acts of surveillance — that has the cumulative effect of deterring the formation and functioning of associations, including student unions;</w:t>
      </w:r>
    </w:p>
    <w:p w14:paraId="06E5AD9F"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The use of permanent or semi-permanent counter-terrorism legislation, formally of general application, that in practice and in enforcement pattern is directed overwhelmingly against the associations of a single minority community;</w:t>
      </w:r>
    </w:p>
    <w:p w14:paraId="34426A0E"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lastRenderedPageBreak/>
        <w:t>Obstruction of memorial ceremonies, destruction or appropriation of memorial sites, and the harassment of associations of victims' families engaged in commemorative or truth-seeking activity.</w:t>
      </w:r>
    </w:p>
    <w:p w14:paraId="72EB64E3"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These additions would give practical texture to the Committee's existing, more abstract recognition (paragraph 34) that cumulative and indirect measures can breach article 22 even where no single act is decisive in isolation — a principle of central importance to communities whose associational space is narrowed gradually rather than through a single dramatic act of repression.</w:t>
      </w:r>
    </w:p>
    <w:p w14:paraId="4B8A5572"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F. Paragraphs 35 and 38 — positive obligations toward minority and occupied communities</w:t>
      </w:r>
    </w:p>
    <w:p w14:paraId="14FCCF5B"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35 requires States to address hostile actions, discourses and narratives directed at associations, including online, particularly where an association's focus is considered controversial by the majority population. We recommend that this paragraph explicitly include hostile state-sponsored or settler narratives that frame minority associations — including student, cultural and commemorative associations — as inherently separatist or as fronts for proscribed armed groups, since such narratives are frequently used to justify both official restriction and unofficial harassment.</w:t>
      </w:r>
    </w:p>
    <w:p w14:paraId="41ABA0D6"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38 already gestures, briefly, toward organisations operating in occupied territories as a context that may require adapted measures. We welcome this but recommend it be developed into a substantive discussion, cross-referenced with section VI, given that occupation and prolonged militarisation are recurring rather than exceptional features of the global associational landscape.</w:t>
      </w:r>
    </w:p>
    <w:p w14:paraId="70461638"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G. Section VII — relationship with other legal regimes: self-determination</w:t>
      </w:r>
    </w:p>
    <w:p w14:paraId="4BCF5270"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We note that paragraph 2 of the draft already recognises that the full realisation of the right to freedom of association is instrumental for the exercise of the right to self-determination, including for the effective participation of minorities in decisions affecting them. We recommend that this connection be revisited in section VII, so that the general comment recognises explicitly that associations pursuing the peaceful, political advocacy of a minority's right to self-determination — including its external dimension — fall within the scope of article 22 and cannot, without more, be treated as inherently illegitimate or as evidence of a threat to national security for the purposes of the restrictions permitted under article 22(2).</w:t>
      </w:r>
    </w:p>
    <w:p w14:paraId="6B9A6255"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H. Section VI (paras. 52–56) — closing the gap between declared emergencies and undeclared, protracted militarisation</w:t>
      </w:r>
    </w:p>
    <w:p w14:paraId="1CBB5A4E"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As set out in section II above, the draft's treatment of states of emergency, armed conflict and occupation is centred on declared, time-bound and formally reviewable measures under article 4. We recommend that the Committee add a new paragraph to section VI recognising that States Parties cannot avoid the heightened scrutiny attaching to emergency and occupation contexts simply by declining to declare a formal state of emergency or notify a derogation, where the substantive features of militarised governance — permanent security legislation, continuous military or intelligence presence in civilian and associational life, and restrictions on movement, land use or registration tied to security designations — persist for a protracted period after the cessation of active hostilities. Such a paragraph would make clear that the obligations set out in sections IV and V of the general comment apply with full force to these situations, and that the absence of a formal derogation cannot be relied upon by a State Party as evidence that ordinary, non-emergency standards are being applied.</w:t>
      </w:r>
    </w:p>
    <w:p w14:paraId="5A842CE3"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lastRenderedPageBreak/>
        <w:t>This addition is consistent with the Committee's own concluding observations practice on Sri Lanka and with the Human Rights Council's continued renewal, most recently in 2025, of international evidence-gathering and reporting on the country precisely because domestic mechanisms have not delivered accountability or a genuine normalisation of civilian governance in the former conflict zones.</w:t>
      </w:r>
    </w:p>
    <w:p w14:paraId="1BBAF668"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We further note that legal aid associations and lawyers representing individuals detained under permanent counter-terrorism legislation face particular exposure in these contexts, including professional harassment and, at times, informal pressure not to accept politically sensitive cases. Paragraph 30 already recognises, in general terms, that criminalising legal aid associations is incompatible with article 22. We ask that section VI make explicit that this protection applies with particular force in protracted, undeclared militarised settings, where access to independent legal assistance is often the only remaining safeguard against arbitrary detention, and where associations of lawyers therefore play a role functionally equivalent to that of associations operating under a formally declared emergency.</w:t>
      </w:r>
    </w:p>
    <w:p w14:paraId="6E8BA382" w14:textId="77777777" w:rsidR="005310C1" w:rsidRPr="00E2159F" w:rsidRDefault="00000000">
      <w:pPr>
        <w:pStyle w:val="Heading2"/>
        <w:spacing w:before="260" w:after="120"/>
        <w:rPr>
          <w:sz w:val="28"/>
          <w:szCs w:val="28"/>
          <w:lang w:val="en-GB"/>
        </w:rPr>
      </w:pPr>
      <w:r w:rsidRPr="00E2159F">
        <w:rPr>
          <w:rFonts w:ascii="Garamond" w:eastAsia="Garamond" w:hAnsi="Garamond" w:cs="Garamond"/>
          <w:b/>
          <w:bCs/>
          <w:color w:val="8A6D3B"/>
          <w:sz w:val="24"/>
          <w:szCs w:val="24"/>
          <w:lang w:val="en-GB"/>
        </w:rPr>
        <w:t>I. Paragraph 60 — retrogression should expressly cover the reversal of post-conflict normalisation commitments</w:t>
      </w:r>
    </w:p>
    <w:p w14:paraId="7E0CA71C"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Paragraph 60 prohibits retrogressive measures and new barriers to the enjoyment of freedom of association. We recommend that this paragraph note, as a specific application, that where a State Party has made public commitments — including before the Human Rights Council or other international bodies — to repeal permanent security legislation, demilitarise formerly conflict-affected areas, or otherwise normalise civic space, the failure to implement such commitments over a period of years, or the enactment of replacement legislation that preserves the substantive features of the law it purports to reform, itself constitutes a form of retrogression subject to the safeguards set out in this section.</w:t>
      </w:r>
    </w:p>
    <w:p w14:paraId="4673EB29" w14:textId="77777777" w:rsidR="005310C1" w:rsidRPr="00E2159F" w:rsidRDefault="00000000">
      <w:pPr>
        <w:pStyle w:val="Heading1"/>
        <w:pBdr>
          <w:bottom w:val="single" w:sz="6" w:space="4" w:color="1B2A4A"/>
        </w:pBdr>
        <w:spacing w:before="380" w:after="160"/>
        <w:rPr>
          <w:sz w:val="36"/>
          <w:szCs w:val="36"/>
          <w:lang w:val="en-GB"/>
        </w:rPr>
      </w:pPr>
      <w:r w:rsidRPr="00E2159F">
        <w:rPr>
          <w:rFonts w:ascii="Garamond" w:eastAsia="Garamond" w:hAnsi="Garamond" w:cs="Garamond"/>
          <w:b/>
          <w:bCs/>
          <w:caps/>
          <w:color w:val="1B2A4A"/>
          <w:sz w:val="28"/>
          <w:szCs w:val="28"/>
          <w:lang w:val="en-GB"/>
        </w:rPr>
        <w:t>IV. Summary of Proposed Textual Amendments</w:t>
      </w:r>
    </w:p>
    <w:p w14:paraId="681165D3" w14:textId="77777777" w:rsidR="005310C1" w:rsidRPr="00E2159F" w:rsidRDefault="00000000">
      <w:pPr>
        <w:spacing w:after="200" w:line="300" w:lineRule="auto"/>
        <w:jc w:val="both"/>
        <w:rPr>
          <w:sz w:val="22"/>
          <w:szCs w:val="22"/>
          <w:lang w:val="en-GB"/>
        </w:rPr>
      </w:pPr>
      <w:r w:rsidRPr="00E2159F">
        <w:rPr>
          <w:rFonts w:ascii="Garamond" w:eastAsia="Garamond" w:hAnsi="Garamond" w:cs="Garamond"/>
          <w:i/>
          <w:iCs/>
          <w:color w:val="1B2A4A"/>
          <w:sz w:val="24"/>
          <w:szCs w:val="24"/>
          <w:lang w:val="en-GB"/>
        </w:rPr>
        <w:t>For ease of reference, the amendments proposed above are summarised here in the order of the paragraphs of the draft to which they relate.</w:t>
      </w:r>
    </w:p>
    <w:p w14:paraId="7E7C38FF"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9: add populations under prolonged military administration, occupation or demographic alteration, and relatives of the forcibly disappeared and their associations, to the enumerated categories of persons facing heightened impact.</w:t>
      </w:r>
    </w:p>
    <w:p w14:paraId="7EA39DAC"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10: add commemorative and memorialisation associations as an illustration of association activity that may be viewed unfavourably by government or majority opinion but remains protected.</w:t>
      </w:r>
    </w:p>
    <w:p w14:paraId="65E4C63E"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11: add an illustrative reference to counter-terrorism and "online safety" legislation that criminalises documentation of militarisation by civil society.</w:t>
      </w:r>
    </w:p>
    <w:p w14:paraId="149634FB"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12: add student and youth associations, including university and school-based unions, to the illustrative list of protected associations.</w:t>
      </w:r>
    </w:p>
    <w:p w14:paraId="617B4FB5"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14: clarify that the archival right recognised in this paragraph extends to memorial sites and commemorative structures maintained by victims' associations.</w:t>
      </w:r>
    </w:p>
    <w:p w14:paraId="52ADBA61"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lastRenderedPageBreak/>
        <w:t>Paragraphs 29 and 32: clarify that "effective control" includes a State's own militarised administration of minority-populated territory, and add explicit language on proscription and terrorist-designation of diaspora associations as a form of transnational repression.</w:t>
      </w:r>
    </w:p>
    <w:p w14:paraId="6DD3FD18"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30: expand the list of prohibited measures to include land appropriation and demographic alteration eroding an association's community base, continuous low-level military and intelligence presence in community and university life, misuse of permanent counter-terrorism legislation against a single minority's associations, and obstruction or destruction of memorial sites.</w:t>
      </w:r>
    </w:p>
    <w:p w14:paraId="78A16419"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 xml:space="preserve">Paragraph 35: add hostile state or settler narratives framing minority associations as inherently separatist as an example of hostile discourse requiring a </w:t>
      </w:r>
      <w:proofErr w:type="gramStart"/>
      <w:r w:rsidRPr="00E2159F">
        <w:rPr>
          <w:rFonts w:ascii="Garamond" w:eastAsia="Garamond" w:hAnsi="Garamond" w:cs="Garamond"/>
          <w:sz w:val="24"/>
          <w:szCs w:val="24"/>
          <w:lang w:val="en-GB"/>
        </w:rPr>
        <w:t>State</w:t>
      </w:r>
      <w:proofErr w:type="gramEnd"/>
      <w:r w:rsidRPr="00E2159F">
        <w:rPr>
          <w:rFonts w:ascii="Garamond" w:eastAsia="Garamond" w:hAnsi="Garamond" w:cs="Garamond"/>
          <w:sz w:val="24"/>
          <w:szCs w:val="24"/>
          <w:lang w:val="en-GB"/>
        </w:rPr>
        <w:t xml:space="preserve"> response.</w:t>
      </w:r>
    </w:p>
    <w:p w14:paraId="6289FFF3"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38: develop the existing brief reference to organisations in occupied territories into a substantive discussion cross-referenced with section VI.</w:t>
      </w:r>
    </w:p>
    <w:p w14:paraId="632D0AA1"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Section VII: recognise explicitly that peaceful advocacy of a minority's right to self-determination by an association falls within the scope of article 22.</w:t>
      </w:r>
    </w:p>
    <w:p w14:paraId="51FDBE45"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Section VI: add a new paragraph clarifying that the heightened scrutiny applicable to emergencies and occupation extends to undeclared, protracted militarised governance that persists without formal derogation.</w:t>
      </w:r>
    </w:p>
    <w:p w14:paraId="0E79399B" w14:textId="77777777" w:rsidR="005310C1" w:rsidRPr="00E2159F" w:rsidRDefault="00000000">
      <w:pPr>
        <w:pStyle w:val="ListParagraph"/>
        <w:numPr>
          <w:ilvl w:val="0"/>
          <w:numId w:val="2"/>
        </w:numPr>
        <w:spacing w:after="140" w:line="300" w:lineRule="auto"/>
        <w:jc w:val="both"/>
        <w:rPr>
          <w:sz w:val="22"/>
          <w:szCs w:val="22"/>
          <w:lang w:val="en-GB"/>
        </w:rPr>
      </w:pPr>
      <w:r w:rsidRPr="00E2159F">
        <w:rPr>
          <w:rFonts w:ascii="Garamond" w:eastAsia="Garamond" w:hAnsi="Garamond" w:cs="Garamond"/>
          <w:sz w:val="24"/>
          <w:szCs w:val="24"/>
          <w:lang w:val="en-GB"/>
        </w:rPr>
        <w:t>Paragraph 60: clarify that failure to implement, or hollow replacement of, publicly announced commitments to demilitarise and normalise civic space constitutes retrogression.</w:t>
      </w:r>
    </w:p>
    <w:p w14:paraId="5BA3AF4C" w14:textId="77777777" w:rsidR="005310C1" w:rsidRPr="00E2159F" w:rsidRDefault="00000000">
      <w:pPr>
        <w:pStyle w:val="Heading1"/>
        <w:pBdr>
          <w:bottom w:val="single" w:sz="6" w:space="4" w:color="1B2A4A"/>
        </w:pBdr>
        <w:spacing w:before="380" w:after="160"/>
        <w:rPr>
          <w:sz w:val="36"/>
          <w:szCs w:val="36"/>
          <w:lang w:val="en-GB"/>
        </w:rPr>
      </w:pPr>
      <w:r w:rsidRPr="00E2159F">
        <w:rPr>
          <w:rFonts w:ascii="Garamond" w:eastAsia="Garamond" w:hAnsi="Garamond" w:cs="Garamond"/>
          <w:b/>
          <w:bCs/>
          <w:caps/>
          <w:color w:val="1B2A4A"/>
          <w:sz w:val="28"/>
          <w:szCs w:val="28"/>
          <w:lang w:val="en-GB"/>
        </w:rPr>
        <w:t>V. Conclusion</w:t>
      </w:r>
    </w:p>
    <w:p w14:paraId="3188D518" w14:textId="77777777" w:rsidR="005310C1" w:rsidRPr="00E2159F" w:rsidRDefault="00000000">
      <w:pPr>
        <w:spacing w:after="160" w:line="300" w:lineRule="auto"/>
        <w:jc w:val="both"/>
        <w:rPr>
          <w:sz w:val="22"/>
          <w:szCs w:val="22"/>
          <w:lang w:val="en-GB"/>
        </w:rPr>
      </w:pPr>
      <w:r w:rsidRPr="00E2159F">
        <w:rPr>
          <w:rFonts w:ascii="Garamond" w:eastAsia="Garamond" w:hAnsi="Garamond" w:cs="Garamond"/>
          <w:sz w:val="24"/>
          <w:szCs w:val="24"/>
          <w:lang w:val="en-GB"/>
        </w:rPr>
        <w:t xml:space="preserve">FEDH and the Associations des </w:t>
      </w:r>
      <w:proofErr w:type="spellStart"/>
      <w:r w:rsidRPr="00E2159F">
        <w:rPr>
          <w:rFonts w:ascii="Garamond" w:eastAsia="Garamond" w:hAnsi="Garamond" w:cs="Garamond"/>
          <w:sz w:val="24"/>
          <w:szCs w:val="24"/>
          <w:lang w:val="en-GB"/>
        </w:rPr>
        <w:t>Étudiants</w:t>
      </w:r>
      <w:proofErr w:type="spellEnd"/>
      <w:r w:rsidRPr="00E2159F">
        <w:rPr>
          <w:rFonts w:ascii="Garamond" w:eastAsia="Garamond" w:hAnsi="Garamond" w:cs="Garamond"/>
          <w:sz w:val="24"/>
          <w:szCs w:val="24"/>
          <w:lang w:val="en-GB"/>
        </w:rPr>
        <w:t xml:space="preserve"> </w:t>
      </w:r>
      <w:proofErr w:type="spellStart"/>
      <w:r w:rsidRPr="00E2159F">
        <w:rPr>
          <w:rFonts w:ascii="Garamond" w:eastAsia="Garamond" w:hAnsi="Garamond" w:cs="Garamond"/>
          <w:sz w:val="24"/>
          <w:szCs w:val="24"/>
          <w:lang w:val="en-GB"/>
        </w:rPr>
        <w:t>Tamouls</w:t>
      </w:r>
      <w:proofErr w:type="spellEnd"/>
      <w:r w:rsidRPr="00E2159F">
        <w:rPr>
          <w:rFonts w:ascii="Garamond" w:eastAsia="Garamond" w:hAnsi="Garamond" w:cs="Garamond"/>
          <w:sz w:val="24"/>
          <w:szCs w:val="24"/>
          <w:lang w:val="en-GB"/>
        </w:rPr>
        <w:t xml:space="preserve"> du Nord et de </w:t>
      </w:r>
      <w:proofErr w:type="spellStart"/>
      <w:r w:rsidRPr="00E2159F">
        <w:rPr>
          <w:rFonts w:ascii="Garamond" w:eastAsia="Garamond" w:hAnsi="Garamond" w:cs="Garamond"/>
          <w:sz w:val="24"/>
          <w:szCs w:val="24"/>
          <w:lang w:val="en-GB"/>
        </w:rPr>
        <w:t>l'Est</w:t>
      </w:r>
      <w:proofErr w:type="spellEnd"/>
      <w:r w:rsidRPr="00E2159F">
        <w:rPr>
          <w:rFonts w:ascii="Garamond" w:eastAsia="Garamond" w:hAnsi="Garamond" w:cs="Garamond"/>
          <w:sz w:val="24"/>
          <w:szCs w:val="24"/>
          <w:lang w:val="en-GB"/>
        </w:rPr>
        <w:t xml:space="preserve"> du Sri Lanka welcome the Committee's ambition, reflected throughout the draft, to produce a general comment on article 22 that is responsive to contemporary and evolving threats to associational life, including digital surveillance, transnational repression and the misuse of counter-terrorism and "foreign agent" legislation. We respectfully submit that the general comment will be strengthened, and its protective value for populations such as the Eelam Tamil community substantially increased, by the explicit recognition of prolonged, undeclared militarised governance as a distinct context requiring the same rigour of scrutiny that the draft already applies to declared emergencies and formal occupation. We remain available to provide further information, including documented case examples, to assist the Committee's second reading of Draft General Comment No. 38, and thank the Committee for the opportunity to contribute to this important standard-setting process.</w:t>
      </w:r>
    </w:p>
    <w:p w14:paraId="6963D56E" w14:textId="77777777" w:rsidR="005310C1" w:rsidRPr="00E2159F" w:rsidRDefault="005310C1">
      <w:pPr>
        <w:spacing w:before="400"/>
        <w:rPr>
          <w:sz w:val="22"/>
          <w:szCs w:val="22"/>
          <w:lang w:val="en-GB"/>
        </w:rPr>
      </w:pPr>
    </w:p>
    <w:p w14:paraId="35FFC364" w14:textId="77777777" w:rsidR="005310C1" w:rsidRPr="00DA18AE" w:rsidRDefault="00000000">
      <w:pPr>
        <w:jc w:val="right"/>
        <w:rPr>
          <w:sz w:val="22"/>
          <w:szCs w:val="22"/>
        </w:rPr>
      </w:pPr>
      <w:r w:rsidRPr="00DA18AE">
        <w:rPr>
          <w:rFonts w:ascii="Garamond" w:eastAsia="Garamond" w:hAnsi="Garamond" w:cs="Garamond"/>
          <w:i/>
          <w:iCs/>
          <w:color w:val="555555"/>
          <w:sz w:val="22"/>
          <w:szCs w:val="22"/>
        </w:rPr>
        <w:t>Fédération Étudiante des Droits de l'Homme (FEDH)</w:t>
      </w:r>
    </w:p>
    <w:p w14:paraId="2FF7926B" w14:textId="77777777" w:rsidR="005310C1" w:rsidRPr="00DA18AE" w:rsidRDefault="00000000">
      <w:pPr>
        <w:jc w:val="right"/>
        <w:rPr>
          <w:sz w:val="22"/>
          <w:szCs w:val="22"/>
        </w:rPr>
      </w:pPr>
      <w:r w:rsidRPr="00DA18AE">
        <w:rPr>
          <w:rFonts w:ascii="Garamond" w:eastAsia="Garamond" w:hAnsi="Garamond" w:cs="Garamond"/>
          <w:i/>
          <w:iCs/>
          <w:color w:val="555555"/>
          <w:sz w:val="22"/>
          <w:szCs w:val="22"/>
        </w:rPr>
        <w:t>in partnership with the Associations des Étudiants Tamouls du Nord et de l'Est du Sri Lanka</w:t>
      </w:r>
    </w:p>
    <w:p w14:paraId="47B8EA76" w14:textId="5EC695D1" w:rsidR="005310C1" w:rsidRPr="00E2159F" w:rsidRDefault="00000000">
      <w:pPr>
        <w:jc w:val="right"/>
        <w:rPr>
          <w:sz w:val="22"/>
          <w:szCs w:val="22"/>
          <w:lang w:val="en-GB"/>
        </w:rPr>
      </w:pPr>
      <w:r w:rsidRPr="00E2159F">
        <w:rPr>
          <w:rFonts w:ascii="Garamond" w:eastAsia="Garamond" w:hAnsi="Garamond" w:cs="Garamond"/>
          <w:i/>
          <w:iCs/>
          <w:color w:val="555555"/>
          <w:sz w:val="22"/>
          <w:szCs w:val="22"/>
          <w:lang w:val="en-GB"/>
        </w:rPr>
        <w:t>1</w:t>
      </w:r>
      <w:r w:rsidR="009241F3">
        <w:rPr>
          <w:rFonts w:ascii="Garamond" w:eastAsia="Garamond" w:hAnsi="Garamond" w:cs="Garamond"/>
          <w:i/>
          <w:iCs/>
          <w:color w:val="555555"/>
          <w:sz w:val="22"/>
          <w:szCs w:val="22"/>
          <w:lang w:val="en-GB"/>
        </w:rPr>
        <w:t>9</w:t>
      </w:r>
      <w:r w:rsidRPr="00E2159F">
        <w:rPr>
          <w:rFonts w:ascii="Garamond" w:eastAsia="Garamond" w:hAnsi="Garamond" w:cs="Garamond"/>
          <w:i/>
          <w:iCs/>
          <w:color w:val="555555"/>
          <w:sz w:val="22"/>
          <w:szCs w:val="22"/>
          <w:lang w:val="en-GB"/>
        </w:rPr>
        <w:t xml:space="preserve"> Ju</w:t>
      </w:r>
      <w:r w:rsidR="009241F3">
        <w:rPr>
          <w:rFonts w:ascii="Garamond" w:eastAsia="Garamond" w:hAnsi="Garamond" w:cs="Garamond"/>
          <w:i/>
          <w:iCs/>
          <w:color w:val="555555"/>
          <w:sz w:val="22"/>
          <w:szCs w:val="22"/>
          <w:lang w:val="en-GB"/>
        </w:rPr>
        <w:t>ne</w:t>
      </w:r>
      <w:r w:rsidRPr="00E2159F">
        <w:rPr>
          <w:rFonts w:ascii="Garamond" w:eastAsia="Garamond" w:hAnsi="Garamond" w:cs="Garamond"/>
          <w:i/>
          <w:iCs/>
          <w:color w:val="555555"/>
          <w:sz w:val="22"/>
          <w:szCs w:val="22"/>
          <w:lang w:val="en-GB"/>
        </w:rPr>
        <w:t xml:space="preserve"> 2026</w:t>
      </w:r>
    </w:p>
    <w:sectPr w:rsidR="005310C1" w:rsidRPr="00E2159F" w:rsidSect="009241F3">
      <w:headerReference w:type="default" r:id="rId10"/>
      <w:footerReference w:type="default" r:id="rId11"/>
      <w:pgSz w:w="11906" w:h="16838" w:code="9"/>
      <w:pgMar w:top="1100" w:right="1134" w:bottom="110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5E523" w14:textId="77777777" w:rsidR="00216E89" w:rsidRDefault="00216E89">
      <w:r>
        <w:separator/>
      </w:r>
    </w:p>
  </w:endnote>
  <w:endnote w:type="continuationSeparator" w:id="0">
    <w:p w14:paraId="75A10A06" w14:textId="77777777" w:rsidR="00216E89" w:rsidRDefault="0021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7FBA" w14:textId="77777777" w:rsidR="005310C1" w:rsidRDefault="00000000">
    <w:pPr>
      <w:jc w:val="center"/>
    </w:pPr>
    <w:r>
      <w:rPr>
        <w:rFonts w:ascii="Garamond" w:eastAsia="Garamond" w:hAnsi="Garamond" w:cs="Garamond"/>
        <w:color w:val="555555"/>
        <w:sz w:val="16"/>
        <w:szCs w:val="16"/>
      </w:rPr>
      <w:t xml:space="preserve">Page </w:t>
    </w:r>
    <w:r>
      <w:rPr>
        <w:rFonts w:ascii="Garamond" w:eastAsia="Garamond" w:hAnsi="Garamond" w:cs="Garamond"/>
        <w:color w:val="555555"/>
        <w:sz w:val="16"/>
        <w:szCs w:val="16"/>
      </w:rPr>
      <w:fldChar w:fldCharType="begin"/>
    </w:r>
    <w:r>
      <w:rPr>
        <w:rFonts w:ascii="Garamond" w:eastAsia="Garamond" w:hAnsi="Garamond" w:cs="Garamond"/>
        <w:color w:val="555555"/>
        <w:sz w:val="16"/>
        <w:szCs w:val="16"/>
      </w:rPr>
      <w:instrText>PAGE</w:instrText>
    </w:r>
    <w:r>
      <w:rPr>
        <w:rFonts w:ascii="Garamond" w:eastAsia="Garamond" w:hAnsi="Garamond" w:cs="Garamond"/>
        <w:color w:val="555555"/>
        <w:sz w:val="16"/>
        <w:szCs w:val="16"/>
      </w:rPr>
      <w:fldChar w:fldCharType="separate"/>
    </w:r>
    <w:r w:rsidR="00E2159F">
      <w:rPr>
        <w:rFonts w:ascii="Garamond" w:eastAsia="Garamond" w:hAnsi="Garamond" w:cs="Garamond"/>
        <w:noProof/>
        <w:color w:val="555555"/>
        <w:sz w:val="16"/>
        <w:szCs w:val="16"/>
      </w:rPr>
      <w:t>1</w:t>
    </w:r>
    <w:r>
      <w:rPr>
        <w:rFonts w:ascii="Garamond" w:eastAsia="Garamond" w:hAnsi="Garamond" w:cs="Garamond"/>
        <w:color w:val="555555"/>
        <w:sz w:val="16"/>
        <w:szCs w:val="16"/>
      </w:rPr>
      <w:fldChar w:fldCharType="end"/>
    </w:r>
    <w:r>
      <w:rPr>
        <w:rFonts w:ascii="Garamond" w:eastAsia="Garamond" w:hAnsi="Garamond" w:cs="Garamond"/>
        <w:color w:val="555555"/>
        <w:sz w:val="16"/>
        <w:szCs w:val="16"/>
      </w:rPr>
      <w:t xml:space="preserve"> / </w:t>
    </w:r>
    <w:r>
      <w:rPr>
        <w:rFonts w:ascii="Garamond" w:eastAsia="Garamond" w:hAnsi="Garamond" w:cs="Garamond"/>
        <w:color w:val="555555"/>
        <w:sz w:val="16"/>
        <w:szCs w:val="16"/>
      </w:rPr>
      <w:fldChar w:fldCharType="begin"/>
    </w:r>
    <w:r>
      <w:rPr>
        <w:rFonts w:ascii="Garamond" w:eastAsia="Garamond" w:hAnsi="Garamond" w:cs="Garamond"/>
        <w:color w:val="555555"/>
        <w:sz w:val="16"/>
        <w:szCs w:val="16"/>
      </w:rPr>
      <w:instrText>NUMPAGES</w:instrText>
    </w:r>
    <w:r>
      <w:rPr>
        <w:rFonts w:ascii="Garamond" w:eastAsia="Garamond" w:hAnsi="Garamond" w:cs="Garamond"/>
        <w:color w:val="555555"/>
        <w:sz w:val="16"/>
        <w:szCs w:val="16"/>
      </w:rPr>
      <w:fldChar w:fldCharType="separate"/>
    </w:r>
    <w:r w:rsidR="00E2159F">
      <w:rPr>
        <w:rFonts w:ascii="Garamond" w:eastAsia="Garamond" w:hAnsi="Garamond" w:cs="Garamond"/>
        <w:noProof/>
        <w:color w:val="555555"/>
        <w:sz w:val="16"/>
        <w:szCs w:val="16"/>
      </w:rPr>
      <w:t>2</w:t>
    </w:r>
    <w:r>
      <w:rPr>
        <w:rFonts w:ascii="Garamond" w:eastAsia="Garamond" w:hAnsi="Garamond" w:cs="Garamond"/>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B5A29" w14:textId="77777777" w:rsidR="00216E89" w:rsidRDefault="00216E89">
      <w:r>
        <w:separator/>
      </w:r>
    </w:p>
  </w:footnote>
  <w:footnote w:type="continuationSeparator" w:id="0">
    <w:p w14:paraId="01AF3470" w14:textId="77777777" w:rsidR="00216E89" w:rsidRDefault="0021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B7F3" w14:textId="77777777" w:rsidR="005310C1" w:rsidRPr="00DA18AE" w:rsidRDefault="00000000">
    <w:pPr>
      <w:pBdr>
        <w:bottom w:val="single" w:sz="6" w:space="4" w:color="1B2A4A"/>
      </w:pBdr>
      <w:jc w:val="right"/>
      <w:rPr>
        <w:lang w:val="en-US"/>
      </w:rPr>
    </w:pPr>
    <w:r w:rsidRPr="00DA18AE">
      <w:rPr>
        <w:rFonts w:ascii="Garamond" w:eastAsia="Garamond" w:hAnsi="Garamond" w:cs="Garamond"/>
        <w:color w:val="555555"/>
        <w:sz w:val="16"/>
        <w:szCs w:val="16"/>
        <w:lang w:val="en-US"/>
      </w:rPr>
      <w:t>FEDH — Draft General Comment No. 38, Art. 22 ICCPR —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8745A"/>
    <w:multiLevelType w:val="hybridMultilevel"/>
    <w:tmpl w:val="E2D2155E"/>
    <w:lvl w:ilvl="0" w:tplc="3C76DEF2">
      <w:start w:val="1"/>
      <w:numFmt w:val="bullet"/>
      <w:lvlText w:val="●"/>
      <w:lvlJc w:val="left"/>
      <w:pPr>
        <w:ind w:left="720" w:hanging="360"/>
      </w:pPr>
    </w:lvl>
    <w:lvl w:ilvl="1" w:tplc="7CFEABA8">
      <w:start w:val="1"/>
      <w:numFmt w:val="bullet"/>
      <w:lvlText w:val="○"/>
      <w:lvlJc w:val="left"/>
      <w:pPr>
        <w:ind w:left="1440" w:hanging="360"/>
      </w:pPr>
    </w:lvl>
    <w:lvl w:ilvl="2" w:tplc="BE4E52D4">
      <w:start w:val="1"/>
      <w:numFmt w:val="bullet"/>
      <w:lvlText w:val="■"/>
      <w:lvlJc w:val="left"/>
      <w:pPr>
        <w:ind w:left="2160" w:hanging="360"/>
      </w:pPr>
    </w:lvl>
    <w:lvl w:ilvl="3" w:tplc="17184684">
      <w:start w:val="1"/>
      <w:numFmt w:val="bullet"/>
      <w:lvlText w:val="●"/>
      <w:lvlJc w:val="left"/>
      <w:pPr>
        <w:ind w:left="2880" w:hanging="360"/>
      </w:pPr>
    </w:lvl>
    <w:lvl w:ilvl="4" w:tplc="C9E85932">
      <w:start w:val="1"/>
      <w:numFmt w:val="bullet"/>
      <w:lvlText w:val="○"/>
      <w:lvlJc w:val="left"/>
      <w:pPr>
        <w:ind w:left="3600" w:hanging="360"/>
      </w:pPr>
    </w:lvl>
    <w:lvl w:ilvl="5" w:tplc="5C8E1F2A">
      <w:start w:val="1"/>
      <w:numFmt w:val="bullet"/>
      <w:lvlText w:val="■"/>
      <w:lvlJc w:val="left"/>
      <w:pPr>
        <w:ind w:left="4320" w:hanging="360"/>
      </w:pPr>
    </w:lvl>
    <w:lvl w:ilvl="6" w:tplc="D39A6A68">
      <w:start w:val="1"/>
      <w:numFmt w:val="bullet"/>
      <w:lvlText w:val="●"/>
      <w:lvlJc w:val="left"/>
      <w:pPr>
        <w:ind w:left="5040" w:hanging="360"/>
      </w:pPr>
    </w:lvl>
    <w:lvl w:ilvl="7" w:tplc="8E641904">
      <w:start w:val="1"/>
      <w:numFmt w:val="bullet"/>
      <w:lvlText w:val="●"/>
      <w:lvlJc w:val="left"/>
      <w:pPr>
        <w:ind w:left="5760" w:hanging="360"/>
      </w:pPr>
    </w:lvl>
    <w:lvl w:ilvl="8" w:tplc="01D6CFFC">
      <w:start w:val="1"/>
      <w:numFmt w:val="bullet"/>
      <w:lvlText w:val="●"/>
      <w:lvlJc w:val="left"/>
      <w:pPr>
        <w:ind w:left="6480" w:hanging="360"/>
      </w:pPr>
    </w:lvl>
  </w:abstractNum>
  <w:abstractNum w:abstractNumId="1" w15:restartNumberingAfterBreak="0">
    <w:nsid w:val="33836612"/>
    <w:multiLevelType w:val="hybridMultilevel"/>
    <w:tmpl w:val="056094A2"/>
    <w:lvl w:ilvl="0" w:tplc="873A6322">
      <w:start w:val="1"/>
      <w:numFmt w:val="lowerLetter"/>
      <w:lvlText w:val="(%1)"/>
      <w:lvlJc w:val="left"/>
      <w:pPr>
        <w:ind w:left="936" w:hanging="360"/>
      </w:pPr>
    </w:lvl>
    <w:lvl w:ilvl="1" w:tplc="ABC4F8F4">
      <w:numFmt w:val="decimal"/>
      <w:lvlText w:val=""/>
      <w:lvlJc w:val="left"/>
    </w:lvl>
    <w:lvl w:ilvl="2" w:tplc="698209C2">
      <w:numFmt w:val="decimal"/>
      <w:lvlText w:val=""/>
      <w:lvlJc w:val="left"/>
    </w:lvl>
    <w:lvl w:ilvl="3" w:tplc="B04C04D0">
      <w:numFmt w:val="decimal"/>
      <w:lvlText w:val=""/>
      <w:lvlJc w:val="left"/>
    </w:lvl>
    <w:lvl w:ilvl="4" w:tplc="E0D03CB2">
      <w:numFmt w:val="decimal"/>
      <w:lvlText w:val=""/>
      <w:lvlJc w:val="left"/>
    </w:lvl>
    <w:lvl w:ilvl="5" w:tplc="0CBCC730">
      <w:numFmt w:val="decimal"/>
      <w:lvlText w:val=""/>
      <w:lvlJc w:val="left"/>
    </w:lvl>
    <w:lvl w:ilvl="6" w:tplc="F712262A">
      <w:numFmt w:val="decimal"/>
      <w:lvlText w:val=""/>
      <w:lvlJc w:val="left"/>
    </w:lvl>
    <w:lvl w:ilvl="7" w:tplc="88909224">
      <w:numFmt w:val="decimal"/>
      <w:lvlText w:val=""/>
      <w:lvlJc w:val="left"/>
    </w:lvl>
    <w:lvl w:ilvl="8" w:tplc="DC8A397A">
      <w:numFmt w:val="decimal"/>
      <w:lvlText w:val=""/>
      <w:lvlJc w:val="left"/>
    </w:lvl>
  </w:abstractNum>
  <w:abstractNum w:abstractNumId="2" w15:restartNumberingAfterBreak="0">
    <w:nsid w:val="47957327"/>
    <w:multiLevelType w:val="hybridMultilevel"/>
    <w:tmpl w:val="D0DAD282"/>
    <w:lvl w:ilvl="0" w:tplc="51D609C6">
      <w:start w:val="1"/>
      <w:numFmt w:val="decimal"/>
      <w:lvlText w:val="%1."/>
      <w:lvlJc w:val="left"/>
      <w:pPr>
        <w:ind w:left="504" w:hanging="360"/>
      </w:pPr>
    </w:lvl>
    <w:lvl w:ilvl="1" w:tplc="444686FA">
      <w:numFmt w:val="decimal"/>
      <w:lvlText w:val=""/>
      <w:lvlJc w:val="left"/>
    </w:lvl>
    <w:lvl w:ilvl="2" w:tplc="9E6C3B96">
      <w:numFmt w:val="decimal"/>
      <w:lvlText w:val=""/>
      <w:lvlJc w:val="left"/>
    </w:lvl>
    <w:lvl w:ilvl="3" w:tplc="4EA208F6">
      <w:numFmt w:val="decimal"/>
      <w:lvlText w:val=""/>
      <w:lvlJc w:val="left"/>
    </w:lvl>
    <w:lvl w:ilvl="4" w:tplc="FFB0BC64">
      <w:numFmt w:val="decimal"/>
      <w:lvlText w:val=""/>
      <w:lvlJc w:val="left"/>
    </w:lvl>
    <w:lvl w:ilvl="5" w:tplc="DDFA46D0">
      <w:numFmt w:val="decimal"/>
      <w:lvlText w:val=""/>
      <w:lvlJc w:val="left"/>
    </w:lvl>
    <w:lvl w:ilvl="6" w:tplc="259E826E">
      <w:numFmt w:val="decimal"/>
      <w:lvlText w:val=""/>
      <w:lvlJc w:val="left"/>
    </w:lvl>
    <w:lvl w:ilvl="7" w:tplc="4684BEA4">
      <w:numFmt w:val="decimal"/>
      <w:lvlText w:val=""/>
      <w:lvlJc w:val="left"/>
    </w:lvl>
    <w:lvl w:ilvl="8" w:tplc="171E53D6">
      <w:numFmt w:val="decimal"/>
      <w:lvlText w:val=""/>
      <w:lvlJc w:val="left"/>
    </w:lvl>
  </w:abstractNum>
  <w:num w:numId="1" w16cid:durableId="2005279188">
    <w:abstractNumId w:val="0"/>
    <w:lvlOverride w:ilvl="0">
      <w:startOverride w:val="1"/>
    </w:lvlOverride>
  </w:num>
  <w:num w:numId="2" w16cid:durableId="8442298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C1"/>
    <w:rsid w:val="001A76CF"/>
    <w:rsid w:val="00216E89"/>
    <w:rsid w:val="005310C1"/>
    <w:rsid w:val="007D4E8B"/>
    <w:rsid w:val="009241F3"/>
    <w:rsid w:val="00DA18AE"/>
    <w:rsid w:val="00E2159F"/>
    <w:rsid w:val="00E51B08"/>
    <w:rsid w:val="00F846F9"/>
  </w:rsids>
  <m:mathPr>
    <m:mathFont m:val="Cambria Math"/>
    <m:brkBin m:val="before"/>
    <m:brkBinSub m:val="--"/>
    <m:smallFrac m:val="0"/>
    <m:dispDef/>
    <m:lMargin m:val="0"/>
    <m:rMargin m:val="0"/>
    <m:defJc m:val="centerGroup"/>
    <m:wrapIndent m:val="1440"/>
    <m:intLim m:val="subSup"/>
    <m:naryLim m:val="undOvr"/>
  </m:mathPr>
  <w:themeFontLang w:val="fr-FR" w:eastAsia="zh-CN"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B5A93"/>
  <w15:docId w15:val="{3F267CE7-D1A6-43A1-A549-90AB0303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ta-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DA18AE"/>
    <w:pPr>
      <w:tabs>
        <w:tab w:val="center" w:pos="4513"/>
        <w:tab w:val="right" w:pos="9026"/>
      </w:tabs>
    </w:pPr>
  </w:style>
  <w:style w:type="character" w:customStyle="1" w:styleId="HeaderChar">
    <w:name w:val="Header Char"/>
    <w:basedOn w:val="DefaultParagraphFont"/>
    <w:link w:val="Header"/>
    <w:uiPriority w:val="99"/>
    <w:semiHidden/>
    <w:rsid w:val="00DA18AE"/>
  </w:style>
  <w:style w:type="paragraph" w:styleId="Footer">
    <w:name w:val="footer"/>
    <w:basedOn w:val="Normal"/>
    <w:link w:val="FooterChar"/>
    <w:uiPriority w:val="99"/>
    <w:semiHidden/>
    <w:unhideWhenUsed/>
    <w:rsid w:val="00DA18AE"/>
    <w:pPr>
      <w:tabs>
        <w:tab w:val="center" w:pos="4513"/>
        <w:tab w:val="right" w:pos="9026"/>
      </w:tabs>
    </w:pPr>
  </w:style>
  <w:style w:type="character" w:customStyle="1" w:styleId="FooterChar">
    <w:name w:val="Footer Char"/>
    <w:basedOn w:val="DefaultParagraphFont"/>
    <w:link w:val="Footer"/>
    <w:uiPriority w:val="99"/>
    <w:semiHidden/>
    <w:rsid w:val="00DA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CSOs</Category>
    <Filename xmlns="d42e65b2-cf21-49c1-b27d-d23f90380c0e" xsi:nil="true"/>
    <Doctype xmlns="d42e65b2-cf21-49c1-b27d-d23f90380c0e">input</Doctype>
    <Contributor xmlns="d42e65b2-cf21-49c1-b27d-d23f90380c0e">Fédération Étudiante des Droits de l'Homme (FEDH)</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0B8BE-8AB6-4F8D-ABBB-90B45E337106}"/>
</file>

<file path=customXml/itemProps2.xml><?xml version="1.0" encoding="utf-8"?>
<ds:datastoreItem xmlns:ds="http://schemas.openxmlformats.org/officeDocument/2006/customXml" ds:itemID="{33C523D0-471F-49B2-919F-97D28BD5E8C0}">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F00AC269-F534-4C01-9649-AA6ECE1AFA9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3519</Words>
  <Characters>20062</Characters>
  <Application>Microsoft Office Word</Application>
  <DocSecurity>0</DocSecurity>
  <Lines>167</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Bosco M.M</cp:lastModifiedBy>
  <cp:revision>3</cp:revision>
  <dcterms:created xsi:type="dcterms:W3CDTF">2026-07-15T18:44:00Z</dcterms:created>
  <dcterms:modified xsi:type="dcterms:W3CDTF">2026-07-17T16:30:00Z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