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C7248" w14:textId="779FD64A" w:rsidR="00980FE2" w:rsidRDefault="00980FE2" w:rsidP="007736A2">
      <w:pPr>
        <w:rPr>
          <w:lang w:val="es-ES_tradnl"/>
        </w:rPr>
      </w:pPr>
      <w:r>
        <w:rPr>
          <w:noProof/>
        </w:rPr>
        <w:drawing>
          <wp:inline distT="114300" distB="114300" distL="114300" distR="114300" wp14:anchorId="49ECD05D" wp14:editId="3C45037E">
            <wp:extent cx="5612130" cy="2358586"/>
            <wp:effectExtent l="0" t="0" r="1270" b="381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t="7973" b="7973"/>
                    <a:stretch>
                      <a:fillRect/>
                    </a:stretch>
                  </pic:blipFill>
                  <pic:spPr>
                    <a:xfrm>
                      <a:off x="0" y="0"/>
                      <a:ext cx="5612130" cy="2358586"/>
                    </a:xfrm>
                    <a:prstGeom prst="rect">
                      <a:avLst/>
                    </a:prstGeom>
                    <a:ln/>
                  </pic:spPr>
                </pic:pic>
              </a:graphicData>
            </a:graphic>
          </wp:inline>
        </w:drawing>
      </w:r>
    </w:p>
    <w:p w14:paraId="4C1909F5" w14:textId="77777777" w:rsidR="00980FE2" w:rsidRDefault="00980FE2" w:rsidP="007736A2">
      <w:pPr>
        <w:rPr>
          <w:lang w:val="es-ES_tradnl"/>
        </w:rPr>
      </w:pPr>
    </w:p>
    <w:p w14:paraId="6F464B81" w14:textId="67378507" w:rsidR="007736A2" w:rsidRDefault="007F3F8C" w:rsidP="007736A2">
      <w:pPr>
        <w:rPr>
          <w:lang w:val="es-ES_tradnl"/>
        </w:rPr>
      </w:pPr>
      <w:r>
        <w:rPr>
          <w:lang w:val="es-ES_tradnl"/>
        </w:rPr>
        <w:t xml:space="preserve">Comentarios </w:t>
      </w:r>
      <w:r w:rsidR="00980FE2">
        <w:rPr>
          <w:lang w:val="es-ES_tradnl"/>
        </w:rPr>
        <w:t>de la Alianza de Organizaciones por los Derechos Humanos en Ecuador al CG 38 libertad de expresión.</w:t>
      </w:r>
    </w:p>
    <w:p w14:paraId="067C852C" w14:textId="3EC6ADE1" w:rsidR="007F3F8C" w:rsidRPr="007736A2" w:rsidRDefault="00FF49A5" w:rsidP="007736A2">
      <w:pPr>
        <w:pStyle w:val="Prrafodelista"/>
        <w:numPr>
          <w:ilvl w:val="0"/>
          <w:numId w:val="1"/>
        </w:numPr>
        <w:rPr>
          <w:lang w:val="es-ES_tradnl"/>
        </w:rPr>
      </w:pPr>
      <w:r>
        <w:rPr>
          <w:lang w:val="es-ES_tradnl"/>
        </w:rPr>
        <w:t xml:space="preserve">En el </w:t>
      </w:r>
      <w:r w:rsidRPr="00651465">
        <w:rPr>
          <w:b/>
          <w:bCs/>
          <w:lang w:val="es-ES_tradnl"/>
        </w:rPr>
        <w:t>párrafo 1</w:t>
      </w:r>
      <w:r>
        <w:rPr>
          <w:lang w:val="es-ES_tradnl"/>
        </w:rPr>
        <w:t>, a</w:t>
      </w:r>
      <w:r w:rsidR="007F3F8C" w:rsidRPr="007736A2">
        <w:rPr>
          <w:lang w:val="es-ES_tradnl"/>
        </w:rPr>
        <w:t>mpliar la referencia de “protección de los derechos humanos” a los “derechos humanos y colectivos y de los entes y seres sintientes” o aclarar que cuando se refiere a “derechos humanos” también se refiere a los derechos más allá de los individuos humanos.  Esto, porque la experiencia actual es reconocer titulares de derechos más allá del individuo humano. La libertad de asociación</w:t>
      </w:r>
      <w:r w:rsidR="00982B67" w:rsidRPr="007736A2">
        <w:rPr>
          <w:lang w:val="es-ES_tradnl"/>
        </w:rPr>
        <w:t xml:space="preserve"> –como reconoce el párrafo 2—ha </w:t>
      </w:r>
      <w:r w:rsidR="007F3F8C" w:rsidRPr="007736A2">
        <w:rPr>
          <w:lang w:val="es-ES_tradnl"/>
        </w:rPr>
        <w:t xml:space="preserve">sido fundamental para defender y proteger derechos de </w:t>
      </w:r>
      <w:r w:rsidR="00982B67" w:rsidRPr="007736A2">
        <w:rPr>
          <w:lang w:val="es-ES_tradnl"/>
        </w:rPr>
        <w:t xml:space="preserve">terceros (como </w:t>
      </w:r>
      <w:r w:rsidR="007F3F8C" w:rsidRPr="007736A2">
        <w:rPr>
          <w:lang w:val="es-ES_tradnl"/>
        </w:rPr>
        <w:t>seres y entes</w:t>
      </w:r>
      <w:r w:rsidR="00982B67" w:rsidRPr="007736A2">
        <w:rPr>
          <w:lang w:val="es-ES_tradnl"/>
        </w:rPr>
        <w:t xml:space="preserve">, </w:t>
      </w:r>
      <w:r w:rsidR="007F3F8C" w:rsidRPr="007736A2">
        <w:rPr>
          <w:lang w:val="es-ES_tradnl"/>
        </w:rPr>
        <w:t xml:space="preserve">animales, naturaleza) que requieren personas y/o colectividades que asuman esa protección en tanto, protección de titulares de derechos, no solamente por empatía o interés.  </w:t>
      </w:r>
    </w:p>
    <w:p w14:paraId="07840306" w14:textId="64BA0FEE" w:rsidR="00982B67" w:rsidRDefault="00982B67" w:rsidP="007F3F8C">
      <w:pPr>
        <w:pStyle w:val="Prrafodelista"/>
        <w:numPr>
          <w:ilvl w:val="0"/>
          <w:numId w:val="1"/>
        </w:numPr>
        <w:rPr>
          <w:lang w:val="es-ES_tradnl"/>
        </w:rPr>
      </w:pPr>
      <w:r>
        <w:rPr>
          <w:lang w:val="es-ES_tradnl"/>
        </w:rPr>
        <w:t xml:space="preserve">En el </w:t>
      </w:r>
      <w:r w:rsidRPr="00651465">
        <w:rPr>
          <w:b/>
          <w:bCs/>
          <w:lang w:val="es-ES_tradnl"/>
        </w:rPr>
        <w:t>párrafo 3</w:t>
      </w:r>
      <w:r>
        <w:rPr>
          <w:lang w:val="es-ES_tradnl"/>
        </w:rPr>
        <w:t xml:space="preserve">, la alusión expresa a “organizaciones de base, los sindicatos y los partidos políticos” </w:t>
      </w:r>
      <w:r w:rsidR="003C1AA2">
        <w:rPr>
          <w:u w:val="single"/>
          <w:lang w:val="es-ES_tradnl"/>
        </w:rPr>
        <w:t>debe</w:t>
      </w:r>
      <w:r w:rsidRPr="00982B67">
        <w:rPr>
          <w:u w:val="single"/>
          <w:lang w:val="es-ES_tradnl"/>
        </w:rPr>
        <w:t xml:space="preserve"> complementarse con referencias a otro tipo de organizaciones</w:t>
      </w:r>
      <w:r>
        <w:rPr>
          <w:lang w:val="es-ES_tradnl"/>
        </w:rPr>
        <w:t xml:space="preserve"> como las estructuras propias de pueblos y comunidades, indígenas, tribales, afrodescendientes, campesinos, etc. </w:t>
      </w:r>
      <w:r w:rsidR="003C1AA2">
        <w:rPr>
          <w:lang w:val="es-ES_tradnl"/>
        </w:rPr>
        <w:t>Reconocemos que los párrafos 7</w:t>
      </w:r>
      <w:r w:rsidR="007736A2">
        <w:rPr>
          <w:lang w:val="es-ES_tradnl"/>
        </w:rPr>
        <w:t xml:space="preserve">, </w:t>
      </w:r>
      <w:r w:rsidR="003C1AA2">
        <w:rPr>
          <w:lang w:val="es-ES_tradnl"/>
        </w:rPr>
        <w:t>8</w:t>
      </w:r>
      <w:r w:rsidR="007736A2">
        <w:rPr>
          <w:lang w:val="es-ES_tradnl"/>
        </w:rPr>
        <w:t>, 12</w:t>
      </w:r>
      <w:r w:rsidR="003C1AA2">
        <w:rPr>
          <w:lang w:val="es-ES_tradnl"/>
        </w:rPr>
        <w:t xml:space="preserve"> se refieren a la no limitación de las asociaciones a sus versiones formales y reconocidas por el Estado y a la prohibición de discriminación. Sin embargo, </w:t>
      </w:r>
      <w:r w:rsidR="007736A2">
        <w:rPr>
          <w:lang w:val="es-ES_tradnl"/>
        </w:rPr>
        <w:t>los</w:t>
      </w:r>
      <w:r w:rsidR="003C1AA2">
        <w:rPr>
          <w:lang w:val="es-ES_tradnl"/>
        </w:rPr>
        <w:t xml:space="preserve"> texto</w:t>
      </w:r>
      <w:r w:rsidR="007736A2">
        <w:rPr>
          <w:lang w:val="es-ES_tradnl"/>
        </w:rPr>
        <w:t>s</w:t>
      </w:r>
      <w:r w:rsidR="003C1AA2">
        <w:rPr>
          <w:lang w:val="es-ES_tradnl"/>
        </w:rPr>
        <w:t xml:space="preserve"> se refiere</w:t>
      </w:r>
      <w:r w:rsidR="007736A2">
        <w:rPr>
          <w:lang w:val="es-ES_tradnl"/>
        </w:rPr>
        <w:t>n</w:t>
      </w:r>
      <w:r w:rsidR="003C1AA2">
        <w:rPr>
          <w:lang w:val="es-ES_tradnl"/>
        </w:rPr>
        <w:t xml:space="preserve"> a la versión individualizada del derecho como una opción personal</w:t>
      </w:r>
      <w:r w:rsidR="007736A2">
        <w:rPr>
          <w:lang w:val="es-ES_tradnl"/>
        </w:rPr>
        <w:t>, donde lo colectivo es la suma de decisiones individuales</w:t>
      </w:r>
      <w:r w:rsidR="003C1AA2">
        <w:rPr>
          <w:lang w:val="es-ES_tradnl"/>
        </w:rPr>
        <w:t>. Las estructuras organizativas propias de pueblos y comunidades no son</w:t>
      </w:r>
      <w:r w:rsidR="00FA1253">
        <w:rPr>
          <w:lang w:val="es-ES_tradnl"/>
        </w:rPr>
        <w:t xml:space="preserve"> productos de</w:t>
      </w:r>
      <w:r w:rsidR="003C1AA2">
        <w:rPr>
          <w:lang w:val="es-ES_tradnl"/>
        </w:rPr>
        <w:t xml:space="preserve"> </w:t>
      </w:r>
      <w:r w:rsidR="00FA1253">
        <w:rPr>
          <w:lang w:val="es-ES_tradnl"/>
        </w:rPr>
        <w:t>“</w:t>
      </w:r>
      <w:r w:rsidR="003C1AA2">
        <w:rPr>
          <w:lang w:val="es-ES_tradnl"/>
        </w:rPr>
        <w:t>decisiones personales sobre el ejercicio de actividades colectivas</w:t>
      </w:r>
      <w:r w:rsidR="00FA1253">
        <w:rPr>
          <w:lang w:val="es-ES_tradnl"/>
        </w:rPr>
        <w:t>.”</w:t>
      </w:r>
      <w:r w:rsidR="003C1AA2">
        <w:rPr>
          <w:lang w:val="es-ES_tradnl"/>
        </w:rPr>
        <w:t xml:space="preserve"> </w:t>
      </w:r>
      <w:r w:rsidR="00FA1253">
        <w:rPr>
          <w:lang w:val="es-ES_tradnl"/>
        </w:rPr>
        <w:t>S</w:t>
      </w:r>
      <w:r w:rsidR="003C1AA2">
        <w:rPr>
          <w:lang w:val="es-ES_tradnl"/>
        </w:rPr>
        <w:t xml:space="preserve">on formas societales </w:t>
      </w:r>
      <w:r w:rsidR="00FA1253">
        <w:rPr>
          <w:lang w:val="es-ES_tradnl"/>
        </w:rPr>
        <w:t xml:space="preserve">ancestrales que </w:t>
      </w:r>
      <w:r w:rsidR="003C1AA2">
        <w:rPr>
          <w:lang w:val="es-ES_tradnl"/>
        </w:rPr>
        <w:t>preexisten</w:t>
      </w:r>
      <w:r w:rsidR="00FA1253">
        <w:rPr>
          <w:lang w:val="es-ES_tradnl"/>
        </w:rPr>
        <w:t xml:space="preserve"> a las actuales generaciones y que pervivirán en tanto sean ejercitadas por los pueblos y comunidades</w:t>
      </w:r>
      <w:r w:rsidR="003C1AA2">
        <w:rPr>
          <w:lang w:val="es-ES_tradnl"/>
        </w:rPr>
        <w:t xml:space="preserve">.  </w:t>
      </w:r>
      <w:r>
        <w:rPr>
          <w:lang w:val="es-ES_tradnl"/>
        </w:rPr>
        <w:t xml:space="preserve">En sociedad plurinacionales –reconocidas así, como Ecuador y Bolivia, o no como casi todos Estados—es </w:t>
      </w:r>
      <w:r>
        <w:rPr>
          <w:lang w:val="es-ES_tradnl"/>
        </w:rPr>
        <w:lastRenderedPageBreak/>
        <w:t xml:space="preserve">fundamental </w:t>
      </w:r>
      <w:r w:rsidR="00FA1253">
        <w:rPr>
          <w:lang w:val="es-ES_tradnl"/>
        </w:rPr>
        <w:t xml:space="preserve">que el </w:t>
      </w:r>
      <w:r>
        <w:rPr>
          <w:lang w:val="es-ES_tradnl"/>
        </w:rPr>
        <w:t>discurs</w:t>
      </w:r>
      <w:r w:rsidR="00FA1253">
        <w:rPr>
          <w:lang w:val="es-ES_tradnl"/>
        </w:rPr>
        <w:t>o legal haga estos reconocimientos. No porque las estructuras propias dependan del reconocimiento como una forma de libertad de asociación, sino para que el discurso legal revele el pluralismo profundo que la declaratoria de plurinacionalidad exige</w:t>
      </w:r>
      <w:r>
        <w:rPr>
          <w:lang w:val="es-ES_tradnl"/>
        </w:rPr>
        <w:t xml:space="preserve">.  </w:t>
      </w:r>
      <w:r w:rsidR="00FA1253">
        <w:rPr>
          <w:lang w:val="es-ES_tradnl"/>
        </w:rPr>
        <w:t>Pero</w:t>
      </w:r>
      <w:r w:rsidR="003C2BDF">
        <w:rPr>
          <w:lang w:val="es-ES_tradnl"/>
        </w:rPr>
        <w:t>,</w:t>
      </w:r>
      <w:r w:rsidR="00FA1253">
        <w:rPr>
          <w:lang w:val="es-ES_tradnl"/>
        </w:rPr>
        <w:t xml:space="preserve"> además, para que el Pacto y la observación general 38 sean tenidos por los pueblos y comunidades como instrumentos útiles para avanzar sus derechos. </w:t>
      </w:r>
    </w:p>
    <w:p w14:paraId="40426EF3" w14:textId="77777777" w:rsidR="003C2BDF" w:rsidRDefault="003C2BDF" w:rsidP="007F3F8C">
      <w:pPr>
        <w:pStyle w:val="Prrafodelista"/>
        <w:numPr>
          <w:ilvl w:val="0"/>
          <w:numId w:val="1"/>
        </w:numPr>
        <w:rPr>
          <w:lang w:val="es-ES_tradnl"/>
        </w:rPr>
      </w:pPr>
      <w:r>
        <w:rPr>
          <w:lang w:val="es-ES_tradnl"/>
        </w:rPr>
        <w:t>El</w:t>
      </w:r>
      <w:r w:rsidR="00FA1253">
        <w:rPr>
          <w:lang w:val="es-ES_tradnl"/>
        </w:rPr>
        <w:t xml:space="preserve"> </w:t>
      </w:r>
      <w:r w:rsidR="00FA1253" w:rsidRPr="00651465">
        <w:rPr>
          <w:b/>
          <w:bCs/>
          <w:lang w:val="es-ES_tradnl"/>
        </w:rPr>
        <w:t>párrafo 9</w:t>
      </w:r>
      <w:r w:rsidR="00FA1253">
        <w:rPr>
          <w:lang w:val="es-ES_tradnl"/>
        </w:rPr>
        <w:t xml:space="preserve"> del proyecto </w:t>
      </w:r>
      <w:r>
        <w:rPr>
          <w:lang w:val="es-ES_tradnl"/>
        </w:rPr>
        <w:t>identifica expresamente a</w:t>
      </w:r>
      <w:r w:rsidR="00FA1253">
        <w:rPr>
          <w:lang w:val="es-ES_tradnl"/>
        </w:rPr>
        <w:t xml:space="preserve"> los pueblos indígenas como </w:t>
      </w:r>
      <w:r>
        <w:rPr>
          <w:lang w:val="es-ES_tradnl"/>
        </w:rPr>
        <w:t xml:space="preserve">susceptibles de impactos diferenciados por las injerencias estatales en el derecho a la libre asociación. Eso es correcto, sin embargo, esos impactos diferenciados precisamente ilustran que los pueblos indígenas no son otro grupo más impactado como aparece en el párrafo. Esa percepción responde a la visión individualista-culturalista del derecho a la libre asociación que exponemos arriba.  </w:t>
      </w:r>
    </w:p>
    <w:p w14:paraId="7AF2E936" w14:textId="1AC6C248" w:rsidR="000C45F7" w:rsidRDefault="003C2BDF" w:rsidP="003C2BDF">
      <w:pPr>
        <w:pStyle w:val="Prrafodelista"/>
        <w:rPr>
          <w:lang w:val="es-ES_tradnl"/>
        </w:rPr>
      </w:pPr>
      <w:r>
        <w:rPr>
          <w:lang w:val="es-ES_tradnl"/>
        </w:rPr>
        <w:t>Si bien la constitución de una organización y su registro en algún mecanismo estatal no determina la existencia de un pueblo indígena, en la práctica esa organización y registro se vuelve necesaria para la interacción con el Estado.  Ante esto, el registro de las organizaciones indígenas y de los cambios a estas (estatutos, directivas, etc</w:t>
      </w:r>
      <w:r w:rsidR="000D71D3">
        <w:rPr>
          <w:lang w:val="es-ES_tradnl"/>
        </w:rPr>
        <w:t>.</w:t>
      </w:r>
      <w:r>
        <w:rPr>
          <w:lang w:val="es-ES_tradnl"/>
        </w:rPr>
        <w:t xml:space="preserve">) se ha vuelto una forma de presión del gobierno de turno y de injerencia en los asuntos propios de los pueblos, sobre todo de aquellos </w:t>
      </w:r>
      <w:hyperlink r:id="rId8" w:history="1">
        <w:r w:rsidRPr="000D71D3">
          <w:rPr>
            <w:rStyle w:val="Hipervnculo"/>
            <w:lang w:val="es-ES_tradnl"/>
          </w:rPr>
          <w:t>cuyos planes de vida y autodeterminación contradice</w:t>
        </w:r>
        <w:r w:rsidR="000C45F7">
          <w:rPr>
            <w:rStyle w:val="Hipervnculo"/>
            <w:lang w:val="es-ES_tradnl"/>
          </w:rPr>
          <w:t>n</w:t>
        </w:r>
        <w:r w:rsidRPr="000D71D3">
          <w:rPr>
            <w:rStyle w:val="Hipervnculo"/>
            <w:lang w:val="es-ES_tradnl"/>
          </w:rPr>
          <w:t xml:space="preserve"> </w:t>
        </w:r>
        <w:r w:rsidR="000C45F7">
          <w:rPr>
            <w:rStyle w:val="Hipervnculo"/>
            <w:lang w:val="es-ES_tradnl"/>
          </w:rPr>
          <w:t>los</w:t>
        </w:r>
        <w:r w:rsidRPr="000D71D3">
          <w:rPr>
            <w:rStyle w:val="Hipervnculo"/>
            <w:lang w:val="es-ES_tradnl"/>
          </w:rPr>
          <w:t xml:space="preserve"> planes </w:t>
        </w:r>
        <w:r w:rsidR="00AB44DC">
          <w:rPr>
            <w:rStyle w:val="Hipervnculo"/>
            <w:lang w:val="es-ES_tradnl"/>
          </w:rPr>
          <w:t>gubernamenta</w:t>
        </w:r>
        <w:r w:rsidRPr="000D71D3">
          <w:rPr>
            <w:rStyle w:val="Hipervnculo"/>
            <w:lang w:val="es-ES_tradnl"/>
          </w:rPr>
          <w:t>les</w:t>
        </w:r>
      </w:hyperlink>
      <w:r>
        <w:rPr>
          <w:lang w:val="es-ES_tradnl"/>
        </w:rPr>
        <w:t xml:space="preserve">. </w:t>
      </w:r>
      <w:r w:rsidR="000D71D3">
        <w:rPr>
          <w:lang w:val="es-ES_tradnl"/>
        </w:rPr>
        <w:t xml:space="preserve">En casos como éste </w:t>
      </w:r>
      <w:hyperlink r:id="rId9" w:history="1">
        <w:r w:rsidR="000D71D3" w:rsidRPr="000D71D3">
          <w:rPr>
            <w:rStyle w:val="Hipervnculo"/>
            <w:lang w:val="es-ES_tradnl"/>
          </w:rPr>
          <w:t>es usual la intervención del gobierno en conflictos internos de las organizaciones</w:t>
        </w:r>
      </w:hyperlink>
      <w:r w:rsidR="000D71D3">
        <w:rPr>
          <w:lang w:val="es-ES_tradnl"/>
        </w:rPr>
        <w:t>, en favor de la facción afín a sus planes.</w:t>
      </w:r>
      <w:r w:rsidR="000C45F7">
        <w:rPr>
          <w:lang w:val="es-ES_tradnl"/>
        </w:rPr>
        <w:t xml:space="preserve"> Asimismo, las guardias indígenas, expresión de organización propia de pueblos y nacionalidades indígenas, para protección del territorio, la vida y la pervivencia misma del pueblo, </w:t>
      </w:r>
      <w:hyperlink r:id="rId10" w:history="1">
        <w:r w:rsidR="000C45F7" w:rsidRPr="000C45F7">
          <w:rPr>
            <w:rStyle w:val="Hipervnculo"/>
            <w:lang w:val="es-ES_tradnl"/>
          </w:rPr>
          <w:t>soporta</w:t>
        </w:r>
        <w:r w:rsidR="00DC082F">
          <w:rPr>
            <w:rStyle w:val="Hipervnculo"/>
            <w:lang w:val="es-ES_tradnl"/>
          </w:rPr>
          <w:t>n</w:t>
        </w:r>
        <w:r w:rsidR="000C45F7" w:rsidRPr="000C45F7">
          <w:rPr>
            <w:rStyle w:val="Hipervnculo"/>
            <w:lang w:val="es-ES_tradnl"/>
          </w:rPr>
          <w:t xml:space="preserve"> la estigmatización oficial y social incluso bajo la tacha de “ejércitos paralelos”</w:t>
        </w:r>
      </w:hyperlink>
      <w:r w:rsidR="00DC082F">
        <w:rPr>
          <w:lang w:val="es-ES_tradnl"/>
        </w:rPr>
        <w:t xml:space="preserve"> como informa la Alianza Ceibo, organización de apoyo a pueblos indígenas en la Amazonía norte del país. La estigmatización de las guardias es oficial y social: en ella han participado tanto el Ministerio de Defensa como medios de comunicación masiva, como documenta el informe de Alianza Ceibo. </w:t>
      </w:r>
    </w:p>
    <w:p w14:paraId="55BF1C3F" w14:textId="36FF4B27" w:rsidR="00FA1253" w:rsidRDefault="000D71D3" w:rsidP="003C2BDF">
      <w:pPr>
        <w:pStyle w:val="Prrafodelista"/>
        <w:rPr>
          <w:i/>
          <w:iCs/>
          <w:lang w:val="es-ES_tradnl"/>
        </w:rPr>
      </w:pPr>
      <w:r>
        <w:rPr>
          <w:lang w:val="es-ES_tradnl"/>
        </w:rPr>
        <w:t xml:space="preserve"> El problema en esta forma diferenciada de afectación apela al corazón mismo de una </w:t>
      </w:r>
      <w:r w:rsidRPr="000D71D3">
        <w:rPr>
          <w:i/>
          <w:iCs/>
          <w:lang w:val="es-ES_tradnl"/>
        </w:rPr>
        <w:t>democracia plurinacional</w:t>
      </w:r>
      <w:r w:rsidR="00AB44DC">
        <w:rPr>
          <w:lang w:val="es-ES_tradnl"/>
        </w:rPr>
        <w:t xml:space="preserve">. Los pueblos indígenas, afroecuatorianos y montuvios en Ecuador no son un grupo de interés más, no son otra forma de asociación. Encarnan –junto con la población mestiza mayoritaria—la pluralidad. </w:t>
      </w:r>
      <w:r w:rsidRPr="000D71D3">
        <w:rPr>
          <w:i/>
          <w:iCs/>
          <w:lang w:val="es-ES_tradnl"/>
        </w:rPr>
        <w:t xml:space="preserve"> </w:t>
      </w:r>
    </w:p>
    <w:p w14:paraId="41FA363B" w14:textId="77777777" w:rsidR="000C45F7" w:rsidRPr="000C45F7" w:rsidRDefault="000C45F7" w:rsidP="003C2BDF">
      <w:pPr>
        <w:pStyle w:val="Prrafodelista"/>
        <w:rPr>
          <w:lang w:val="es-ES_tradnl"/>
        </w:rPr>
      </w:pPr>
    </w:p>
    <w:p w14:paraId="3316233C" w14:textId="607E49E7" w:rsidR="007736A2" w:rsidRDefault="00982B67" w:rsidP="00983D55">
      <w:pPr>
        <w:pStyle w:val="Prrafodelista"/>
        <w:numPr>
          <w:ilvl w:val="0"/>
          <w:numId w:val="1"/>
        </w:numPr>
        <w:rPr>
          <w:lang w:val="es-ES_tradnl"/>
        </w:rPr>
      </w:pPr>
      <w:r w:rsidRPr="00983D55">
        <w:rPr>
          <w:lang w:val="es-ES_tradnl"/>
        </w:rPr>
        <w:t xml:space="preserve">En el </w:t>
      </w:r>
      <w:r w:rsidRPr="00651465">
        <w:rPr>
          <w:b/>
          <w:bCs/>
          <w:lang w:val="es-ES_tradnl"/>
        </w:rPr>
        <w:t xml:space="preserve">párrafo </w:t>
      </w:r>
      <w:r w:rsidR="00FF49A5" w:rsidRPr="00651465">
        <w:rPr>
          <w:b/>
          <w:bCs/>
          <w:lang w:val="es-ES_tradnl"/>
        </w:rPr>
        <w:t>5</w:t>
      </w:r>
      <w:r w:rsidRPr="00983D55">
        <w:rPr>
          <w:lang w:val="es-ES_tradnl"/>
        </w:rPr>
        <w:t xml:space="preserve">, </w:t>
      </w:r>
      <w:r w:rsidR="000A057A" w:rsidRPr="00983D55">
        <w:rPr>
          <w:lang w:val="es-ES_tradnl"/>
        </w:rPr>
        <w:t>con respecto a la</w:t>
      </w:r>
      <w:r w:rsidRPr="00983D55">
        <w:rPr>
          <w:lang w:val="es-ES_tradnl"/>
        </w:rPr>
        <w:t xml:space="preserve"> incompatibilidad entre el art. 22.2 del Pacto y </w:t>
      </w:r>
      <w:r w:rsidR="004255A9" w:rsidRPr="00983D55">
        <w:rPr>
          <w:lang w:val="es-ES_tradnl"/>
        </w:rPr>
        <w:t xml:space="preserve">una reserva general </w:t>
      </w:r>
      <w:r w:rsidR="00AD5468" w:rsidRPr="00983D55">
        <w:rPr>
          <w:lang w:val="es-ES_tradnl"/>
        </w:rPr>
        <w:t>a la libertad de asociación</w:t>
      </w:r>
      <w:r w:rsidR="007736A2">
        <w:rPr>
          <w:lang w:val="es-ES_tradnl"/>
        </w:rPr>
        <w:t>, nuestro comentario tiene que ver con las obligaciones negativas de los Estados para lo cual ponemos de ejemplo el caso ecuatoriano con los “estados de excepción”</w:t>
      </w:r>
      <w:r w:rsidR="004255A9" w:rsidRPr="00983D55">
        <w:rPr>
          <w:lang w:val="es-ES_tradnl"/>
        </w:rPr>
        <w:t xml:space="preserve">. </w:t>
      </w:r>
    </w:p>
    <w:p w14:paraId="15BDA810" w14:textId="6AB8154D" w:rsidR="00BC4E29" w:rsidRDefault="004255A9" w:rsidP="007736A2">
      <w:pPr>
        <w:pStyle w:val="Prrafodelista"/>
        <w:rPr>
          <w:lang w:val="es-ES_tradnl"/>
        </w:rPr>
      </w:pPr>
      <w:r w:rsidRPr="00983D55">
        <w:rPr>
          <w:lang w:val="es-ES_tradnl"/>
        </w:rPr>
        <w:lastRenderedPageBreak/>
        <w:t xml:space="preserve">En Ecuador, la Constitución </w:t>
      </w:r>
      <w:r w:rsidR="000A057A" w:rsidRPr="00983D55">
        <w:rPr>
          <w:lang w:val="es-ES_tradnl"/>
        </w:rPr>
        <w:t>autoriza</w:t>
      </w:r>
      <w:r w:rsidRPr="00983D55">
        <w:rPr>
          <w:lang w:val="es-ES_tradnl"/>
        </w:rPr>
        <w:t xml:space="preserve"> que </w:t>
      </w:r>
      <w:r w:rsidR="00AD5468" w:rsidRPr="00983D55">
        <w:rPr>
          <w:lang w:val="es-ES_tradnl"/>
        </w:rPr>
        <w:t>“</w:t>
      </w:r>
      <w:r w:rsidRPr="00983D55">
        <w:rPr>
          <w:lang w:val="es-ES_tradnl"/>
        </w:rPr>
        <w:t>durante los estados de excepción se suspend</w:t>
      </w:r>
      <w:r w:rsidR="000A057A" w:rsidRPr="00983D55">
        <w:rPr>
          <w:lang w:val="es-ES_tradnl"/>
        </w:rPr>
        <w:t>a</w:t>
      </w:r>
      <w:r w:rsidRPr="00983D55">
        <w:rPr>
          <w:lang w:val="es-ES_tradnl"/>
        </w:rPr>
        <w:t>/limit</w:t>
      </w:r>
      <w:r w:rsidR="000A057A" w:rsidRPr="00983D55">
        <w:rPr>
          <w:lang w:val="es-ES_tradnl"/>
        </w:rPr>
        <w:t>e</w:t>
      </w:r>
      <w:r w:rsidR="00AD5468" w:rsidRPr="00983D55">
        <w:rPr>
          <w:lang w:val="es-ES_tradnl"/>
        </w:rPr>
        <w:t xml:space="preserve"> únicamente</w:t>
      </w:r>
      <w:r w:rsidRPr="00983D55">
        <w:rPr>
          <w:lang w:val="es-ES_tradnl"/>
        </w:rPr>
        <w:t xml:space="preserve"> el ejercicio</w:t>
      </w:r>
      <w:r w:rsidR="00AD5468" w:rsidRPr="00983D55">
        <w:rPr>
          <w:lang w:val="es-ES_tradnl"/>
        </w:rPr>
        <w:t>,</w:t>
      </w:r>
      <w:r w:rsidRPr="00983D55">
        <w:rPr>
          <w:lang w:val="es-ES_tradnl"/>
        </w:rPr>
        <w:t xml:space="preserve"> de</w:t>
      </w:r>
      <w:r w:rsidR="00AD5468" w:rsidRPr="00983D55">
        <w:rPr>
          <w:lang w:val="es-ES_tradnl"/>
        </w:rPr>
        <w:t xml:space="preserve"> la inviolabilidad de domicilio y de correspondencia, la libertad de tránsito</w:t>
      </w:r>
      <w:r w:rsidR="000A057A" w:rsidRPr="00983D55">
        <w:rPr>
          <w:lang w:val="es-ES_tradnl"/>
        </w:rPr>
        <w:t>,</w:t>
      </w:r>
      <w:r w:rsidR="00AD5468" w:rsidRPr="00983D55">
        <w:rPr>
          <w:lang w:val="es-ES_tradnl"/>
        </w:rPr>
        <w:t xml:space="preserve"> </w:t>
      </w:r>
      <w:r w:rsidR="00AD5468" w:rsidRPr="000C45F7">
        <w:rPr>
          <w:i/>
          <w:iCs/>
          <w:lang w:val="es-ES_tradnl"/>
        </w:rPr>
        <w:t>la libertad de información y</w:t>
      </w:r>
      <w:r w:rsidR="000A057A" w:rsidRPr="00983D55">
        <w:rPr>
          <w:lang w:val="es-ES_tradnl"/>
        </w:rPr>
        <w:t xml:space="preserve"> </w:t>
      </w:r>
      <w:r w:rsidR="000A057A" w:rsidRPr="00983D55">
        <w:rPr>
          <w:i/>
          <w:iCs/>
          <w:lang w:val="es-ES_tradnl"/>
        </w:rPr>
        <w:t>la libertad de asociación y reunión</w:t>
      </w:r>
      <w:r w:rsidRPr="00983D55">
        <w:rPr>
          <w:lang w:val="es-ES_tradnl"/>
        </w:rPr>
        <w:t xml:space="preserve">”. (art. 165) </w:t>
      </w:r>
      <w:r w:rsidR="00673765" w:rsidRPr="00983D55">
        <w:rPr>
          <w:lang w:val="es-ES_tradnl"/>
        </w:rPr>
        <w:t xml:space="preserve">En estos casos, </w:t>
      </w:r>
      <w:r w:rsidR="000A057A" w:rsidRPr="00983D55">
        <w:rPr>
          <w:lang w:val="es-ES_tradnl"/>
        </w:rPr>
        <w:t xml:space="preserve">aunque en </w:t>
      </w:r>
      <w:r w:rsidR="00AD5468" w:rsidRPr="00983D55">
        <w:rPr>
          <w:lang w:val="es-ES_tradnl"/>
        </w:rPr>
        <w:t>principio</w:t>
      </w:r>
      <w:r w:rsidR="000A057A" w:rsidRPr="00983D55">
        <w:rPr>
          <w:lang w:val="es-ES_tradnl"/>
        </w:rPr>
        <w:t xml:space="preserve"> </w:t>
      </w:r>
      <w:r w:rsidR="00AB44DC" w:rsidRPr="00983D55">
        <w:rPr>
          <w:lang w:val="es-ES_tradnl"/>
        </w:rPr>
        <w:t>la limitación parecería</w:t>
      </w:r>
      <w:r w:rsidR="00283940" w:rsidRPr="00983D55">
        <w:rPr>
          <w:lang w:val="es-ES_tradnl"/>
        </w:rPr>
        <w:t xml:space="preserve"> </w:t>
      </w:r>
      <w:r w:rsidR="000A057A" w:rsidRPr="00983D55">
        <w:rPr>
          <w:lang w:val="es-ES_tradnl"/>
        </w:rPr>
        <w:t>compatible con el art. 22.</w:t>
      </w:r>
      <w:r w:rsidR="00AD5468" w:rsidRPr="00983D55">
        <w:rPr>
          <w:lang w:val="es-ES_tradnl"/>
        </w:rPr>
        <w:t>2 del Pacto</w:t>
      </w:r>
      <w:r w:rsidR="000A057A" w:rsidRPr="00983D55">
        <w:rPr>
          <w:lang w:val="es-ES_tradnl"/>
        </w:rPr>
        <w:t>, en la práctica</w:t>
      </w:r>
      <w:r w:rsidR="00AD5468" w:rsidRPr="00983D55">
        <w:rPr>
          <w:lang w:val="es-ES_tradnl"/>
        </w:rPr>
        <w:t xml:space="preserve"> de los gobiernos</w:t>
      </w:r>
      <w:r w:rsidR="000A057A" w:rsidRPr="00983D55">
        <w:rPr>
          <w:lang w:val="es-ES_tradnl"/>
        </w:rPr>
        <w:t xml:space="preserve"> funcionan como excepci</w:t>
      </w:r>
      <w:r w:rsidR="00AD5468" w:rsidRPr="00983D55">
        <w:rPr>
          <w:lang w:val="es-ES_tradnl"/>
        </w:rPr>
        <w:t>ón</w:t>
      </w:r>
      <w:r w:rsidR="000A057A" w:rsidRPr="00983D55">
        <w:rPr>
          <w:lang w:val="es-ES_tradnl"/>
        </w:rPr>
        <w:t xml:space="preserve"> </w:t>
      </w:r>
      <w:r w:rsidR="00AD5468" w:rsidRPr="00983D55">
        <w:rPr>
          <w:lang w:val="es-ES_tradnl"/>
        </w:rPr>
        <w:t xml:space="preserve">genérica que, por estar prevista en la Constitución no deba ser justificada </w:t>
      </w:r>
      <w:r w:rsidR="00AD5468" w:rsidRPr="00983D55">
        <w:rPr>
          <w:i/>
          <w:iCs/>
          <w:lang w:val="es-ES_tradnl"/>
        </w:rPr>
        <w:t>en concreto</w:t>
      </w:r>
      <w:r w:rsidR="00AD5468" w:rsidRPr="00983D55">
        <w:rPr>
          <w:lang w:val="es-ES_tradnl"/>
        </w:rPr>
        <w:t>.</w:t>
      </w:r>
      <w:r w:rsidR="00983D55" w:rsidRPr="00983D55">
        <w:rPr>
          <w:lang w:val="es-ES_tradnl"/>
        </w:rPr>
        <w:t xml:space="preserve"> Peor aún, que se la entienda de manera que</w:t>
      </w:r>
      <w:r w:rsidR="00BC4E29">
        <w:rPr>
          <w:lang w:val="es-ES_tradnl"/>
        </w:rPr>
        <w:t xml:space="preserve"> la reunión en general</w:t>
      </w:r>
      <w:r w:rsidR="00983D55" w:rsidRPr="00983D55">
        <w:rPr>
          <w:lang w:val="es-ES_tradnl"/>
        </w:rPr>
        <w:t xml:space="preserve"> quede proscrita </w:t>
      </w:r>
      <w:r w:rsidR="00983D55" w:rsidRPr="00983D55">
        <w:rPr>
          <w:i/>
          <w:iCs/>
          <w:lang w:val="es-ES_tradnl"/>
        </w:rPr>
        <w:t>ex ante</w:t>
      </w:r>
      <w:r w:rsidR="00643AE8">
        <w:rPr>
          <w:lang w:val="es-ES_tradnl"/>
        </w:rPr>
        <w:t xml:space="preserve"> por su inseparable vínculo con la expresión incómoda al poder. </w:t>
      </w:r>
      <w:r w:rsidR="00152D76">
        <w:rPr>
          <w:lang w:val="es-ES_tradnl"/>
        </w:rPr>
        <w:t xml:space="preserve"> En estos casos, la limitación indebida a la libertad de reunión está en relación directa con la limitación indebida a la libertad de asociación, de la cual no puede separarse.</w:t>
      </w:r>
    </w:p>
    <w:p w14:paraId="36627228" w14:textId="7F91C19D" w:rsidR="00BC4E29" w:rsidRPr="00BC4E29" w:rsidRDefault="00BC4E29" w:rsidP="007736A2">
      <w:pPr>
        <w:pStyle w:val="Prrafodelista"/>
        <w:rPr>
          <w:lang w:val="es-ES_tradnl"/>
        </w:rPr>
      </w:pPr>
      <w:r w:rsidRPr="00BC4E29">
        <w:rPr>
          <w:lang w:val="es-ES_tradnl"/>
        </w:rPr>
        <w:t>Así</w:t>
      </w:r>
      <w:r w:rsidR="002D3283" w:rsidRPr="00BC4E29">
        <w:rPr>
          <w:lang w:val="es-ES_tradnl"/>
        </w:rPr>
        <w:t xml:space="preserve"> viene sucediendo consistentemente en el caso de los paros nacionales convocados por los movimientos indígenas y sociales ante anuncios de medidas económicas en detrimento de los sectores populares (en octubre de 2019, junio de 2022 y septiembre-octubre de 2025). </w:t>
      </w:r>
      <w:r w:rsidR="00AD5468" w:rsidRPr="00BC4E29">
        <w:rPr>
          <w:lang w:val="es-ES_tradnl"/>
        </w:rPr>
        <w:t xml:space="preserve"> </w:t>
      </w:r>
      <w:r w:rsidR="00983D55" w:rsidRPr="00BC4E29">
        <w:rPr>
          <w:lang w:val="es-ES_tradnl"/>
        </w:rPr>
        <w:t xml:space="preserve">En el último paro, el gobierno actual emitió el decreto ejecutivo 134 de 2025 en el que </w:t>
      </w:r>
      <w:r w:rsidRPr="00BC4E29">
        <w:rPr>
          <w:lang w:val="es-ES_tradnl"/>
        </w:rPr>
        <w:t>suspendió el derecho a la reunión y dispuso</w:t>
      </w:r>
      <w:r w:rsidR="00983D55" w:rsidRPr="00BC4E29">
        <w:rPr>
          <w:lang w:val="es-ES_tradnl"/>
        </w:rPr>
        <w:t xml:space="preserve"> </w:t>
      </w:r>
    </w:p>
    <w:p w14:paraId="79C08256" w14:textId="60F47813" w:rsidR="00BC4E29" w:rsidRDefault="00983D55" w:rsidP="00BC4E29">
      <w:pPr>
        <w:pStyle w:val="Prrafodelista"/>
        <w:ind w:left="1416"/>
        <w:rPr>
          <w:lang w:val="es-ES_tradnl"/>
        </w:rPr>
      </w:pPr>
      <w:r w:rsidRPr="00BF501E">
        <w:rPr>
          <w:b/>
          <w:bCs/>
          <w:lang w:val="es-ES_tradnl"/>
        </w:rPr>
        <w:t>limitar la conformación de aglomeraciones en espacios públicos durante las veinticuatro (24) horas del día</w:t>
      </w:r>
      <w:r w:rsidRPr="00983D55">
        <w:rPr>
          <w:lang w:val="es-ES_tradnl"/>
        </w:rPr>
        <w:t xml:space="preserve"> </w:t>
      </w:r>
      <w:r w:rsidRPr="00BF501E">
        <w:rPr>
          <w:b/>
          <w:bCs/>
          <w:lang w:val="es-ES_tradnl"/>
        </w:rPr>
        <w:t>con el objeto de paralizar servicios públicos,</w:t>
      </w:r>
      <w:r w:rsidRPr="00983D55">
        <w:rPr>
          <w:lang w:val="es-ES_tradnl"/>
        </w:rPr>
        <w:t xml:space="preserve"> e impedir que se atente contra los derechos, libertades y garantías</w:t>
      </w:r>
      <w:r>
        <w:rPr>
          <w:lang w:val="es-ES_tradnl"/>
        </w:rPr>
        <w:t xml:space="preserve"> </w:t>
      </w:r>
      <w:r w:rsidRPr="00983D55">
        <w:rPr>
          <w:lang w:val="es-ES_tradnl"/>
        </w:rPr>
        <w:t>del resto de ciudadanas/os</w:t>
      </w:r>
      <w:r>
        <w:rPr>
          <w:lang w:val="es-ES_tradnl"/>
        </w:rPr>
        <w:t xml:space="preserve">. </w:t>
      </w:r>
      <w:r w:rsidR="00BC4E29">
        <w:rPr>
          <w:lang w:val="es-ES_tradnl"/>
        </w:rPr>
        <w:t xml:space="preserve"> (art. 3)</w:t>
      </w:r>
    </w:p>
    <w:p w14:paraId="7BCFB630" w14:textId="77777777" w:rsidR="00BC4E29" w:rsidRDefault="00BC4E29" w:rsidP="00BC4E29">
      <w:pPr>
        <w:ind w:left="708"/>
        <w:rPr>
          <w:lang w:val="es-ES_tradnl"/>
        </w:rPr>
      </w:pPr>
      <w:r w:rsidRPr="00BC4E29">
        <w:rPr>
          <w:lang w:val="es-ES_tradnl"/>
        </w:rPr>
        <w:t xml:space="preserve">Para ello, facultó a la Policía Nacional y a las Fuerzas Armadas a </w:t>
      </w:r>
    </w:p>
    <w:p w14:paraId="73C0F680" w14:textId="246631D0" w:rsidR="00983D55" w:rsidRPr="00BC4E29" w:rsidRDefault="00BC4E29" w:rsidP="00BC4E29">
      <w:pPr>
        <w:ind w:left="1416"/>
        <w:rPr>
          <w:lang w:val="es-ES_tradnl"/>
        </w:rPr>
      </w:pPr>
      <w:r w:rsidRPr="00BC4E29">
        <w:rPr>
          <w:lang w:val="es-ES_tradnl"/>
        </w:rPr>
        <w:t xml:space="preserve">impedir y desarticular reuniones en espacios públicos donde se identifiquen </w:t>
      </w:r>
      <w:r w:rsidRPr="00BF501E">
        <w:rPr>
          <w:b/>
          <w:bCs/>
          <w:lang w:val="es-ES_tradnl"/>
        </w:rPr>
        <w:t>amenazas a la seguridad ciudadana, así como al orden constituido, o paralización de servicios públicos</w:t>
      </w:r>
      <w:r w:rsidRPr="00BC4E29">
        <w:rPr>
          <w:lang w:val="es-ES_tradnl"/>
        </w:rPr>
        <w:t>, en estricta relación a los motivos del estado de excepción y a la seguridad del Estado, observándose los principios de proporcionalidad, necesidad e idoneidad, y el estricto apego al respeto de las demás garantías constitucionales. Lo anterior no implica restricción al derecho a manifestarse siempre que sea pacíficamente, y sin afectar los derechos, libertades y garantías del resto de la ciudadanía. (</w:t>
      </w:r>
      <w:proofErr w:type="spellStart"/>
      <w:r>
        <w:rPr>
          <w:lang w:val="es-ES_tradnl"/>
        </w:rPr>
        <w:t>Ibid</w:t>
      </w:r>
      <w:proofErr w:type="spellEnd"/>
      <w:r w:rsidRPr="00BC4E29">
        <w:rPr>
          <w:lang w:val="es-ES_tradnl"/>
        </w:rPr>
        <w:t>)</w:t>
      </w:r>
    </w:p>
    <w:p w14:paraId="5B0E1A31" w14:textId="31002A25" w:rsidR="00BF501E" w:rsidRDefault="002D3283" w:rsidP="007736A2">
      <w:pPr>
        <w:pStyle w:val="Prrafodelista"/>
        <w:rPr>
          <w:lang w:val="es-ES_tradnl"/>
        </w:rPr>
      </w:pPr>
      <w:r w:rsidRPr="00983D55">
        <w:rPr>
          <w:lang w:val="es-ES_tradnl"/>
        </w:rPr>
        <w:t>Cierto es que</w:t>
      </w:r>
      <w:r w:rsidR="00AD5468" w:rsidRPr="00983D55">
        <w:rPr>
          <w:lang w:val="es-ES_tradnl"/>
        </w:rPr>
        <w:t xml:space="preserve"> la Corte Constitucional del Ecuador –encargada del control constitucional de los estados de excepción—</w:t>
      </w:r>
      <w:hyperlink r:id="rId11" w:history="1">
        <w:r w:rsidR="00BC4E29" w:rsidRPr="00BF501E">
          <w:rPr>
            <w:rStyle w:val="Hipervnculo"/>
            <w:lang w:val="es-ES_tradnl"/>
          </w:rPr>
          <w:t xml:space="preserve">recordó al gobierno </w:t>
        </w:r>
        <w:r w:rsidR="00AD5468" w:rsidRPr="00BF501E">
          <w:rPr>
            <w:rStyle w:val="Hipervnculo"/>
            <w:lang w:val="es-ES_tradnl"/>
          </w:rPr>
          <w:t>que la libertad de expresión no es susceptible de suspensión ni siquiera bajo régimen de excepción</w:t>
        </w:r>
        <w:r w:rsidR="00BC4E29" w:rsidRPr="00BF501E">
          <w:rPr>
            <w:rStyle w:val="Hipervnculo"/>
            <w:lang w:val="es-ES_tradnl"/>
          </w:rPr>
          <w:t xml:space="preserve"> y que las manifestaciones masivas gozan de la presunción de ser pacíficas</w:t>
        </w:r>
      </w:hyperlink>
      <w:r w:rsidRPr="00983D55">
        <w:rPr>
          <w:lang w:val="es-ES_tradnl"/>
        </w:rPr>
        <w:t>. Sin embargo,</w:t>
      </w:r>
      <w:r w:rsidR="00AD5468" w:rsidRPr="00983D55">
        <w:rPr>
          <w:lang w:val="es-ES_tradnl"/>
        </w:rPr>
        <w:t xml:space="preserve"> </w:t>
      </w:r>
      <w:r w:rsidR="00BF501E">
        <w:rPr>
          <w:lang w:val="es-ES_tradnl"/>
        </w:rPr>
        <w:t xml:space="preserve">ante </w:t>
      </w:r>
      <w:r w:rsidR="00AD5468" w:rsidRPr="00983D55">
        <w:rPr>
          <w:lang w:val="es-ES_tradnl"/>
        </w:rPr>
        <w:t xml:space="preserve">la estrecha relación entre </w:t>
      </w:r>
      <w:r w:rsidRPr="00983D55">
        <w:rPr>
          <w:lang w:val="es-ES_tradnl"/>
        </w:rPr>
        <w:t>la</w:t>
      </w:r>
      <w:r w:rsidR="00BF501E">
        <w:rPr>
          <w:lang w:val="es-ES_tradnl"/>
        </w:rPr>
        <w:t>s libertades de</w:t>
      </w:r>
      <w:r w:rsidRPr="00983D55">
        <w:rPr>
          <w:lang w:val="es-ES_tradnl"/>
        </w:rPr>
        <w:t xml:space="preserve"> expresión</w:t>
      </w:r>
      <w:r w:rsidR="00152D76">
        <w:rPr>
          <w:lang w:val="es-ES_tradnl"/>
        </w:rPr>
        <w:t>, asociación</w:t>
      </w:r>
      <w:r w:rsidR="00BF501E">
        <w:rPr>
          <w:lang w:val="es-ES_tradnl"/>
        </w:rPr>
        <w:t xml:space="preserve"> </w:t>
      </w:r>
      <w:r w:rsidR="00AD5468" w:rsidRPr="00983D55">
        <w:rPr>
          <w:lang w:val="es-ES_tradnl"/>
        </w:rPr>
        <w:t>y reunión</w:t>
      </w:r>
      <w:r w:rsidR="00BF501E">
        <w:rPr>
          <w:lang w:val="es-ES_tradnl"/>
        </w:rPr>
        <w:t xml:space="preserve"> hace que limitar la </w:t>
      </w:r>
      <w:r w:rsidR="00152D76">
        <w:rPr>
          <w:lang w:val="es-ES_tradnl"/>
        </w:rPr>
        <w:t>estas dos últimas</w:t>
      </w:r>
      <w:r w:rsidRPr="00983D55">
        <w:rPr>
          <w:lang w:val="es-ES_tradnl"/>
        </w:rPr>
        <w:t xml:space="preserve"> </w:t>
      </w:r>
      <w:r w:rsidR="00BC4E29">
        <w:rPr>
          <w:lang w:val="es-ES_tradnl"/>
        </w:rPr>
        <w:t xml:space="preserve">necesariamente </w:t>
      </w:r>
      <w:r w:rsidR="00BF501E">
        <w:rPr>
          <w:lang w:val="es-ES_tradnl"/>
        </w:rPr>
        <w:t>implique una restricción indebida a la primera, como demostraremos a continuación.</w:t>
      </w:r>
      <w:r w:rsidR="00BC4E29">
        <w:rPr>
          <w:lang w:val="es-ES_tradnl"/>
        </w:rPr>
        <w:t xml:space="preserve"> </w:t>
      </w:r>
    </w:p>
    <w:p w14:paraId="5033C45B" w14:textId="20008654" w:rsidR="009D32E9" w:rsidRDefault="00BF501E" w:rsidP="007736A2">
      <w:pPr>
        <w:pStyle w:val="Prrafodelista"/>
        <w:rPr>
          <w:lang w:val="es-ES_tradnl"/>
        </w:rPr>
      </w:pPr>
      <w:r>
        <w:rPr>
          <w:lang w:val="es-ES_tradnl"/>
        </w:rPr>
        <w:lastRenderedPageBreak/>
        <w:t>Primero, las amenazas</w:t>
      </w:r>
      <w:r w:rsidR="006A7D84">
        <w:rPr>
          <w:lang w:val="es-ES_tradnl"/>
        </w:rPr>
        <w:t xml:space="preserve"> a la “seguridad ciudadana y al orden constituido” son expresiones genéricas y vagas que, en los contextos de manifestaciones públicas como se da en los paros en Ecuador, descalifican a toda reunión callejera. Abogadas miembros de esta alianza, movilizadas durante los paros, hemos escuchado a policías afuera de las instalaciones de flagrancia de la </w:t>
      </w:r>
      <w:proofErr w:type="gramStart"/>
      <w:r w:rsidR="006A7D84">
        <w:rPr>
          <w:lang w:val="es-ES_tradnl"/>
        </w:rPr>
        <w:t>Fiscalía General</w:t>
      </w:r>
      <w:proofErr w:type="gramEnd"/>
      <w:r w:rsidR="006A7D84">
        <w:rPr>
          <w:lang w:val="es-ES_tradnl"/>
        </w:rPr>
        <w:t xml:space="preserve"> del Estado decirles a grupos de muchachos que cantan consignas en favor de sus compañeros presos que deben retirarse porque “</w:t>
      </w:r>
      <w:r w:rsidR="009D32E9">
        <w:rPr>
          <w:lang w:val="es-ES_tradnl"/>
        </w:rPr>
        <w:t xml:space="preserve">en estado de excepción </w:t>
      </w:r>
      <w:r w:rsidR="006A7D84">
        <w:rPr>
          <w:lang w:val="es-ES_tradnl"/>
        </w:rPr>
        <w:t>está suspendido el derecho a la reunión.” A lo cual, los manifestantes les contestan –con sobrada razón—que</w:t>
      </w:r>
      <w:r w:rsidR="009D32E9">
        <w:rPr>
          <w:lang w:val="es-ES_tradnl"/>
        </w:rPr>
        <w:t>,</w:t>
      </w:r>
      <w:r w:rsidR="006A7D84">
        <w:rPr>
          <w:lang w:val="es-ES_tradnl"/>
        </w:rPr>
        <w:t xml:space="preserve"> en ese caso, los policías no sólo están reunidos sino además violentando a los ciudadanos que ejercen su libre expresión –que no está suspendida.</w:t>
      </w:r>
    </w:p>
    <w:p w14:paraId="5B5D7CF4" w14:textId="31478E85" w:rsidR="009D32E9" w:rsidRDefault="006A7D84" w:rsidP="007736A2">
      <w:pPr>
        <w:pStyle w:val="Prrafodelista"/>
        <w:rPr>
          <w:lang w:val="es-ES_tradnl"/>
        </w:rPr>
      </w:pPr>
      <w:r w:rsidRPr="009D32E9">
        <w:rPr>
          <w:lang w:val="es-ES_tradnl"/>
        </w:rPr>
        <w:t>Segundo, la “paralización de servicios públicos” es una figura prevista en el art. 324 del Código Integral Penal vigente en Ecuador</w:t>
      </w:r>
      <w:r w:rsidR="009D32E9">
        <w:rPr>
          <w:lang w:val="es-ES_tradnl"/>
        </w:rPr>
        <w:t>.</w:t>
      </w:r>
      <w:r w:rsidR="009D32E9" w:rsidRPr="009D32E9">
        <w:rPr>
          <w:lang w:val="es-ES_tradnl"/>
        </w:rPr>
        <w:t xml:space="preserve"> </w:t>
      </w:r>
      <w:r w:rsidR="009D32E9">
        <w:rPr>
          <w:lang w:val="es-ES_tradnl"/>
        </w:rPr>
        <w:t>S</w:t>
      </w:r>
      <w:r w:rsidR="009D32E9" w:rsidRPr="009D32E9">
        <w:rPr>
          <w:lang w:val="es-ES_tradnl"/>
        </w:rPr>
        <w:t xml:space="preserve">anciona con 1 a 3 años de privación de libertad a </w:t>
      </w:r>
      <w:r w:rsidR="009D32E9">
        <w:t>quien “</w:t>
      </w:r>
      <w:r w:rsidR="009D32E9" w:rsidRPr="009D32E9">
        <w:t>impida, entorpezca o paralice la</w:t>
      </w:r>
      <w:r w:rsidR="009D32E9">
        <w:t xml:space="preserve"> </w:t>
      </w:r>
      <w:r w:rsidR="009D32E9" w:rsidRPr="009D32E9">
        <w:t>normal prestación de un servicio público o se resista violentamente al restablecimiento del mismo; o,</w:t>
      </w:r>
      <w:r w:rsidR="009D32E9">
        <w:t xml:space="preserve"> </w:t>
      </w:r>
      <w:r w:rsidR="009D32E9" w:rsidRPr="009D32E9">
        <w:t>se tome por fuerza un edificio o instalación pública</w:t>
      </w:r>
      <w:r w:rsidRPr="009D32E9">
        <w:rPr>
          <w:lang w:val="es-ES_tradnl"/>
        </w:rPr>
        <w:t>.</w:t>
      </w:r>
      <w:r w:rsidR="009D32E9">
        <w:rPr>
          <w:lang w:val="es-ES_tradnl"/>
        </w:rPr>
        <w:t>” Esta vaga definición de un tipo penal se usa para criminalizar el cierre de vías que es una de las expresiones de la protesta protegida como derecho.</w:t>
      </w:r>
      <w:r w:rsidRPr="009D32E9">
        <w:rPr>
          <w:lang w:val="es-ES_tradnl"/>
        </w:rPr>
        <w:t xml:space="preserve">  </w:t>
      </w:r>
    </w:p>
    <w:p w14:paraId="61ABE1F5" w14:textId="20905A0A" w:rsidR="00BF501E" w:rsidRDefault="009D32E9" w:rsidP="007736A2">
      <w:pPr>
        <w:pStyle w:val="Prrafodelista"/>
      </w:pPr>
      <w:r>
        <w:rPr>
          <w:lang w:val="es-ES_tradnl"/>
        </w:rPr>
        <w:t>En</w:t>
      </w:r>
      <w:r w:rsidR="00BC4E29" w:rsidRPr="009D32E9">
        <w:rPr>
          <w:lang w:val="es-ES_tradnl"/>
        </w:rPr>
        <w:t xml:space="preserve"> la práctica, ni el gobierno ni la Corte Constitucional hacen prevalecer el derecho a la reunión</w:t>
      </w:r>
      <w:r w:rsidR="00BF501E" w:rsidRPr="009D32E9">
        <w:rPr>
          <w:lang w:val="es-ES_tradnl"/>
        </w:rPr>
        <w:t xml:space="preserve"> </w:t>
      </w:r>
      <w:r>
        <w:rPr>
          <w:lang w:val="es-ES_tradnl"/>
        </w:rPr>
        <w:t xml:space="preserve">ni la presunción de legalidad de las manifestaciones callejeras. </w:t>
      </w:r>
      <w:r w:rsidR="00BF501E" w:rsidRPr="009D32E9">
        <w:rPr>
          <w:lang w:val="es-ES_tradnl"/>
        </w:rPr>
        <w:t xml:space="preserve"> </w:t>
      </w:r>
      <w:r>
        <w:rPr>
          <w:lang w:val="es-ES_tradnl"/>
        </w:rPr>
        <w:t>E</w:t>
      </w:r>
      <w:r w:rsidR="00BF501E" w:rsidRPr="009D32E9">
        <w:rPr>
          <w:lang w:val="es-ES_tradnl"/>
        </w:rPr>
        <w:t>n cambio, mandan a la policía y a los militares a las calles con una orden legal para que determinen</w:t>
      </w:r>
      <w:r>
        <w:rPr>
          <w:lang w:val="es-ES_tradnl"/>
        </w:rPr>
        <w:t xml:space="preserve"> por su cuenta</w:t>
      </w:r>
      <w:r w:rsidR="00BF501E" w:rsidRPr="009D32E9">
        <w:rPr>
          <w:lang w:val="es-ES_tradnl"/>
        </w:rPr>
        <w:t xml:space="preserve"> la “</w:t>
      </w:r>
      <w:proofErr w:type="spellStart"/>
      <w:r w:rsidR="00BF501E" w:rsidRPr="009D32E9">
        <w:rPr>
          <w:lang w:val="es-ES_tradnl"/>
        </w:rPr>
        <w:t>pacificidad</w:t>
      </w:r>
      <w:proofErr w:type="spellEnd"/>
      <w:r w:rsidR="00BF501E" w:rsidRPr="009D32E9">
        <w:rPr>
          <w:lang w:val="es-ES_tradnl"/>
        </w:rPr>
        <w:t xml:space="preserve">” de una manifestación de </w:t>
      </w:r>
      <w:r w:rsidR="00BF501E" w:rsidRPr="009D32E9">
        <w:rPr>
          <w:i/>
          <w:iCs/>
          <w:lang w:val="es-ES_tradnl"/>
        </w:rPr>
        <w:t>protesta</w:t>
      </w:r>
      <w:r w:rsidR="00BF501E" w:rsidRPr="009D32E9">
        <w:rPr>
          <w:lang w:val="es-ES_tradnl"/>
        </w:rPr>
        <w:t xml:space="preserve"> pública y para que utilicen la fuerza estatal, incluida la fuerza letal. </w:t>
      </w:r>
      <w:r w:rsidR="002D3283" w:rsidRPr="009D32E9">
        <w:rPr>
          <w:lang w:val="es-ES_tradnl"/>
        </w:rPr>
        <w:t xml:space="preserve"> </w:t>
      </w:r>
      <w:r w:rsidR="00F314F3">
        <w:rPr>
          <w:lang w:val="es-ES_tradnl"/>
        </w:rPr>
        <w:t xml:space="preserve">Peor aún, como advirtió en voto salvado, el juez Raúl Llasag de la Corte Constitucional, </w:t>
      </w:r>
      <w:r w:rsidR="00F314F3">
        <w:t>decretar estado de excepción ante las manifestaciones populares genera un</w:t>
      </w:r>
      <w:r w:rsidR="00F314F3" w:rsidRPr="00F314F3">
        <w:t xml:space="preserve"> efecto estigmatizante y violencia simbólica contra quienes participan en una protesta pacífica, especialmente pueblos y nacionalidades indígenas. </w:t>
      </w:r>
      <w:r w:rsidR="00F314F3">
        <w:t>Llasag r</w:t>
      </w:r>
      <w:r w:rsidR="00F314F3" w:rsidRPr="00F314F3">
        <w:t xml:space="preserve">ecordó cómo la escalada de violencia en muchos casos se debe precisamente a la intervención de las fuerzas estatales en las protestas. </w:t>
      </w:r>
    </w:p>
    <w:p w14:paraId="5F918000" w14:textId="77777777" w:rsidR="004D4995" w:rsidRDefault="00F314F3" w:rsidP="007736A2">
      <w:pPr>
        <w:pStyle w:val="Prrafodelista"/>
      </w:pPr>
      <w:r>
        <w:t>En el paro de 2025, la declaratoria de estado de excepción y la suspensión del derecho a la reunión dio lugar a represión policial y militar que resultó en 2 muertos ejecutados en la calle, cientos de personas heridas y detenidas y manifestantes procesados por terrorismo, el movimiento indígena, líderes hombres y mujeres y miembros de organizaciones estigmatizados y perseguidos.</w:t>
      </w:r>
      <w:r w:rsidR="00DC082F">
        <w:t xml:space="preserve">  </w:t>
      </w:r>
      <w:r w:rsidR="004D4995">
        <w:t xml:space="preserve">Precisamente, lo que había anticipado el juez Llasag en su voto contrario a avalar el uso del estado de excepción como velada forma para reprimir las libertades de expresión, asociación y reunión. </w:t>
      </w:r>
    </w:p>
    <w:p w14:paraId="380AAB84" w14:textId="36CFDE57" w:rsidR="00F314F3" w:rsidRPr="00F314F3" w:rsidRDefault="00DC082F" w:rsidP="007736A2">
      <w:pPr>
        <w:pStyle w:val="Prrafodelista"/>
      </w:pPr>
      <w:r>
        <w:lastRenderedPageBreak/>
        <w:t>Una de las medidas de represión que se ha ido consolidando en los paros en Ecuador es la desaparición forzada temporal</w:t>
      </w:r>
      <w:r w:rsidR="004D4995">
        <w:t xml:space="preserve"> caracterizada por incertidumbre y falta de explicaciones acerca del paradero de personas a las que detienen y no las ponen a órdenes de autoridad competente como manda la ley. La temporalidad y el miedo hacen que estas desapariciones permanezcan subreportadas. </w:t>
      </w:r>
      <w:r>
        <w:t xml:space="preserve"> </w:t>
      </w:r>
    </w:p>
    <w:p w14:paraId="15C5766C" w14:textId="7A7D0BCF" w:rsidR="00152D76" w:rsidRDefault="00F314F3" w:rsidP="007736A2">
      <w:pPr>
        <w:pStyle w:val="Prrafodelista"/>
        <w:rPr>
          <w:lang w:val="es-ES_tradnl"/>
        </w:rPr>
      </w:pPr>
      <w:r>
        <w:rPr>
          <w:lang w:val="es-ES_tradnl"/>
        </w:rPr>
        <w:t>Entonces, es obligación negativa del Estado dejar de usar l</w:t>
      </w:r>
      <w:r w:rsidR="002D3283" w:rsidRPr="009D32E9">
        <w:rPr>
          <w:lang w:val="es-ES_tradnl"/>
        </w:rPr>
        <w:t>a suspensión de la libertad de reunión a través de estados de excepción ante el anuncio de movilizaciones</w:t>
      </w:r>
      <w:r>
        <w:rPr>
          <w:lang w:val="es-ES_tradnl"/>
        </w:rPr>
        <w:t xml:space="preserve"> populares. La violencia no es expresión protegida, entonces, no tiene sentido dictar estado de excepción para decir que no está protegida. En cambio, lo que no se puede hacer es usar la excepción como</w:t>
      </w:r>
      <w:r w:rsidR="002D3283" w:rsidRPr="009D32E9">
        <w:rPr>
          <w:lang w:val="es-ES_tradnl"/>
        </w:rPr>
        <w:t xml:space="preserve"> herramienta para limitar, desincentivar y hasta criminalizar esas manifestaciones de expresión popular legales, legítimas y necesarias en una sociedad democrática. </w:t>
      </w:r>
    </w:p>
    <w:p w14:paraId="1D6A7C11" w14:textId="6561FD59" w:rsidR="0084045D" w:rsidRDefault="007736A2" w:rsidP="00FF49A5">
      <w:pPr>
        <w:pStyle w:val="Prrafodelista"/>
        <w:rPr>
          <w:lang w:val="es-ES_tradnl"/>
        </w:rPr>
      </w:pPr>
      <w:r w:rsidRPr="007736A2">
        <w:rPr>
          <w:lang w:val="es-ES_tradnl"/>
        </w:rPr>
        <w:t xml:space="preserve">Además </w:t>
      </w:r>
      <w:r>
        <w:rPr>
          <w:lang w:val="es-ES_tradnl"/>
        </w:rPr>
        <w:t>de l</w:t>
      </w:r>
      <w:r w:rsidRPr="00152D76">
        <w:rPr>
          <w:lang w:val="es-ES_tradnl"/>
        </w:rPr>
        <w:t>a criminalización de la reunión</w:t>
      </w:r>
      <w:r>
        <w:rPr>
          <w:lang w:val="es-ES_tradnl"/>
        </w:rPr>
        <w:t>,</w:t>
      </w:r>
      <w:r w:rsidRPr="00152D76">
        <w:rPr>
          <w:lang w:val="es-ES_tradnl"/>
        </w:rPr>
        <w:t xml:space="preserve"> </w:t>
      </w:r>
      <w:r w:rsidRPr="007736A2">
        <w:rPr>
          <w:lang w:val="es-ES_tradnl"/>
        </w:rPr>
        <w:t xml:space="preserve">la represión en el paro incluyó paralelamente </w:t>
      </w:r>
      <w:r w:rsidRPr="00152D76">
        <w:rPr>
          <w:lang w:val="es-ES_tradnl"/>
        </w:rPr>
        <w:t xml:space="preserve">la criminalización de la asociación y </w:t>
      </w:r>
      <w:r>
        <w:rPr>
          <w:lang w:val="es-ES_tradnl"/>
        </w:rPr>
        <w:t>e</w:t>
      </w:r>
      <w:r w:rsidRPr="007736A2">
        <w:rPr>
          <w:lang w:val="es-ES_tradnl"/>
        </w:rPr>
        <w:t xml:space="preserve">l hostigamiento y persecución a organizaciones de la sociedad civil, formales y no formalizadas y a expresiones de autogobierno indígena y a sus miembros.  </w:t>
      </w:r>
      <w:r>
        <w:rPr>
          <w:lang w:val="es-ES_tradnl"/>
        </w:rPr>
        <w:t xml:space="preserve">Por lo menos a 60 personas y organizaciones críticas al gobierno se les aplicó una novedosa medida administrativa de </w:t>
      </w:r>
      <w:r w:rsidR="00510891">
        <w:rPr>
          <w:lang w:val="es-ES_tradnl"/>
        </w:rPr>
        <w:t>bloqueo</w:t>
      </w:r>
      <w:r>
        <w:rPr>
          <w:lang w:val="es-ES_tradnl"/>
        </w:rPr>
        <w:t xml:space="preserve"> de cuentas</w:t>
      </w:r>
      <w:r w:rsidR="00510891">
        <w:rPr>
          <w:lang w:val="es-ES_tradnl"/>
        </w:rPr>
        <w:t xml:space="preserve"> (“inmovilización cautelar de fondos</w:t>
      </w:r>
      <w:r w:rsidR="00057F8D">
        <w:rPr>
          <w:lang w:val="es-ES_tradnl"/>
        </w:rPr>
        <w:t>”</w:t>
      </w:r>
      <w:r w:rsidR="00510891">
        <w:rPr>
          <w:lang w:val="es-ES_tradnl"/>
        </w:rPr>
        <w:t>)</w:t>
      </w:r>
      <w:r w:rsidR="00DC082F">
        <w:rPr>
          <w:lang w:val="es-ES_tradnl"/>
        </w:rPr>
        <w:t xml:space="preserve"> en la que participaron entes públicos y privados,</w:t>
      </w:r>
      <w:r w:rsidR="00905DE7">
        <w:rPr>
          <w:lang w:val="es-ES_tradnl"/>
        </w:rPr>
        <w:t xml:space="preserve"> mientras eran procesadas penalmente por enriquecimiento privado ilícito y financiamiento al terrorismo. </w:t>
      </w:r>
      <w:r w:rsidR="00057F8D">
        <w:rPr>
          <w:lang w:val="es-ES_tradnl"/>
        </w:rPr>
        <w:t xml:space="preserve"> En algunos casos, el bloqueo ha sido levantado</w:t>
      </w:r>
      <w:r w:rsidR="002F4015">
        <w:rPr>
          <w:lang w:val="es-ES_tradnl"/>
        </w:rPr>
        <w:t>,</w:t>
      </w:r>
      <w:r w:rsidR="00057F8D">
        <w:rPr>
          <w:lang w:val="es-ES_tradnl"/>
        </w:rPr>
        <w:t xml:space="preserve"> pero hay instituciones bancarias que han decidido unilateralmente descontinuar los servicios a personas y organizaciones que estuvieron bloqueadas, invocando la “libertad de contratación”.  </w:t>
      </w:r>
      <w:r w:rsidR="00905DE7">
        <w:rPr>
          <w:lang w:val="es-ES_tradnl"/>
        </w:rPr>
        <w:t xml:space="preserve">Todo lo cual está documentado en el </w:t>
      </w:r>
      <w:hyperlink r:id="rId12" w:history="1">
        <w:r w:rsidR="00905DE7" w:rsidRPr="00905DE7">
          <w:rPr>
            <w:rStyle w:val="Hipervnculo"/>
            <w:lang w:val="es-ES_tradnl"/>
          </w:rPr>
          <w:t xml:space="preserve">informe de posicionamiento y </w:t>
        </w:r>
        <w:proofErr w:type="spellStart"/>
        <w:r w:rsidR="00905DE7" w:rsidRPr="00905DE7">
          <w:rPr>
            <w:rStyle w:val="Hipervnculo"/>
            <w:lang w:val="es-ES_tradnl"/>
          </w:rPr>
          <w:t>conyuntura</w:t>
        </w:r>
        <w:proofErr w:type="spellEnd"/>
        <w:r w:rsidR="00905DE7" w:rsidRPr="00905DE7">
          <w:rPr>
            <w:rStyle w:val="Hipervnculo"/>
            <w:lang w:val="es-ES_tradnl"/>
          </w:rPr>
          <w:t xml:space="preserve"> de esta Alianza por el periodo 2024-2026 primer cuatrimestre</w:t>
        </w:r>
      </w:hyperlink>
      <w:r w:rsidR="00905DE7">
        <w:rPr>
          <w:lang w:val="es-ES_tradnl"/>
        </w:rPr>
        <w:t xml:space="preserve">. </w:t>
      </w:r>
    </w:p>
    <w:p w14:paraId="5BE9BEC6" w14:textId="74614901" w:rsidR="000C45F7" w:rsidRDefault="00905DE7" w:rsidP="006A28A9">
      <w:pPr>
        <w:pStyle w:val="Prrafodelista"/>
        <w:rPr>
          <w:lang w:val="es-ES_tradnl"/>
        </w:rPr>
      </w:pPr>
      <w:r>
        <w:rPr>
          <w:lang w:val="es-ES_tradnl"/>
        </w:rPr>
        <w:t xml:space="preserve">En estos momentos en que líderes del movimiento indígena han </w:t>
      </w:r>
      <w:r w:rsidR="006A28A9">
        <w:rPr>
          <w:lang w:val="es-ES_tradnl"/>
        </w:rPr>
        <w:t>activado el proceso democrático de</w:t>
      </w:r>
      <w:r>
        <w:rPr>
          <w:lang w:val="es-ES_tradnl"/>
        </w:rPr>
        <w:t xml:space="preserve"> revocatoria del mandato del presidente Noboa, se ha reactivado el congelamiento de la</w:t>
      </w:r>
      <w:r w:rsidR="00790735">
        <w:rPr>
          <w:lang w:val="es-ES_tradnl"/>
        </w:rPr>
        <w:t>s</w:t>
      </w:r>
      <w:r>
        <w:rPr>
          <w:lang w:val="es-ES_tradnl"/>
        </w:rPr>
        <w:t xml:space="preserve"> cuentas. </w:t>
      </w:r>
      <w:r w:rsidR="006A28A9">
        <w:rPr>
          <w:lang w:val="es"/>
        </w:rPr>
        <w:t>A</w:t>
      </w:r>
      <w:r w:rsidR="0084045D" w:rsidRPr="0084045D">
        <w:rPr>
          <w:lang w:val="es"/>
        </w:rPr>
        <w:t xml:space="preserve"> 17 personas vinculadas al proceso</w:t>
      </w:r>
      <w:r w:rsidR="006A28A9">
        <w:rPr>
          <w:lang w:val="es"/>
        </w:rPr>
        <w:t xml:space="preserve"> </w:t>
      </w:r>
      <w:r w:rsidR="0084045D" w:rsidRPr="0084045D">
        <w:rPr>
          <w:lang w:val="es"/>
        </w:rPr>
        <w:t>de participación ciudadana considerado como un derecho en la Constitución, así como organizaciones indígenas y sus líderes y lideresas</w:t>
      </w:r>
      <w:r w:rsidR="006A28A9">
        <w:rPr>
          <w:vertAlign w:val="superscript"/>
          <w:lang w:val="es"/>
        </w:rPr>
        <w:t xml:space="preserve"> </w:t>
      </w:r>
      <w:r w:rsidR="0084045D" w:rsidRPr="0084045D">
        <w:rPr>
          <w:lang w:val="es"/>
        </w:rPr>
        <w:t>l</w:t>
      </w:r>
      <w:r w:rsidR="006A28A9">
        <w:rPr>
          <w:lang w:val="es"/>
        </w:rPr>
        <w:t>es bloquearon l</w:t>
      </w:r>
      <w:r w:rsidR="0084045D" w:rsidRPr="0084045D">
        <w:rPr>
          <w:lang w:val="es"/>
        </w:rPr>
        <w:t xml:space="preserve">as cuentas bancarias el 28 de mayo de 2026.  </w:t>
      </w:r>
      <w:r w:rsidRPr="006A28A9">
        <w:rPr>
          <w:lang w:val="es-ES_tradnl"/>
        </w:rPr>
        <w:t xml:space="preserve">Así lo </w:t>
      </w:r>
      <w:r w:rsidR="006A28A9">
        <w:rPr>
          <w:lang w:val="es-ES_tradnl"/>
        </w:rPr>
        <w:t xml:space="preserve">ha recogido la prensa alternativa y lo </w:t>
      </w:r>
      <w:r w:rsidRPr="006A28A9">
        <w:rPr>
          <w:lang w:val="es-ES_tradnl"/>
        </w:rPr>
        <w:t>ha</w:t>
      </w:r>
      <w:r w:rsidR="00790735" w:rsidRPr="006A28A9">
        <w:rPr>
          <w:lang w:val="es-ES_tradnl"/>
        </w:rPr>
        <w:t>n</w:t>
      </w:r>
      <w:r w:rsidRPr="006A28A9">
        <w:rPr>
          <w:lang w:val="es-ES_tradnl"/>
        </w:rPr>
        <w:t xml:space="preserve"> </w:t>
      </w:r>
      <w:hyperlink r:id="rId13" w:history="1">
        <w:r w:rsidRPr="006A28A9">
          <w:rPr>
            <w:rStyle w:val="Hipervnculo"/>
            <w:lang w:val="es-ES_tradnl"/>
          </w:rPr>
          <w:t xml:space="preserve">denunciado públicamente la </w:t>
        </w:r>
        <w:r w:rsidR="00790735" w:rsidRPr="006A28A9">
          <w:rPr>
            <w:rStyle w:val="Hipervnculo"/>
            <w:lang w:val="es-ES_tradnl"/>
          </w:rPr>
          <w:t>Unión de Organizaciones Campesinas e Indígenas de Cotacachi (</w:t>
        </w:r>
        <w:r w:rsidRPr="006A28A9">
          <w:rPr>
            <w:rStyle w:val="Hipervnculo"/>
            <w:lang w:val="es-ES_tradnl"/>
          </w:rPr>
          <w:t>UNORCAC</w:t>
        </w:r>
        <w:r w:rsidR="00790735" w:rsidRPr="006A28A9">
          <w:rPr>
            <w:rStyle w:val="Hipervnculo"/>
            <w:lang w:val="es-ES_tradnl"/>
          </w:rPr>
          <w:t>) y el Comité Central de Mujeres UNORCAC</w:t>
        </w:r>
      </w:hyperlink>
      <w:r w:rsidR="00790735" w:rsidRPr="006A28A9">
        <w:rPr>
          <w:lang w:val="es-ES_tradnl"/>
        </w:rPr>
        <w:t>.</w:t>
      </w:r>
      <w:r w:rsidR="000C45F7" w:rsidRPr="006A28A9">
        <w:rPr>
          <w:lang w:val="es-ES_tradnl"/>
        </w:rPr>
        <w:t xml:space="preserve">  </w:t>
      </w:r>
      <w:r w:rsidR="006A28A9" w:rsidRPr="0084045D">
        <w:rPr>
          <w:lang w:val="es"/>
        </w:rPr>
        <w:t>Hasta la fecha no han podido ni desbloquear las cuentas ni recuperar sus fondos</w:t>
      </w:r>
      <w:r w:rsidR="006A28A9">
        <w:rPr>
          <w:lang w:val="es"/>
        </w:rPr>
        <w:t xml:space="preserve"> lo cual genera </w:t>
      </w:r>
      <w:r w:rsidR="006A28A9" w:rsidRPr="0084045D">
        <w:rPr>
          <w:lang w:val="es"/>
        </w:rPr>
        <w:t>una grave afectación al proceso organizativo</w:t>
      </w:r>
      <w:r w:rsidR="006A28A9">
        <w:rPr>
          <w:lang w:val="es"/>
        </w:rPr>
        <w:t xml:space="preserve"> y ha sido denominado </w:t>
      </w:r>
      <w:hyperlink r:id="rId14" w:history="1">
        <w:r w:rsidR="006A28A9" w:rsidRPr="006A28A9">
          <w:rPr>
            <w:rStyle w:val="Hipervnculo"/>
            <w:lang w:val="es-ES_tradnl"/>
          </w:rPr>
          <w:t>asfixia o estrangulamiento financiero</w:t>
        </w:r>
      </w:hyperlink>
      <w:r w:rsidR="006A28A9">
        <w:rPr>
          <w:lang w:val="es-ES_tradnl"/>
        </w:rPr>
        <w:t>.</w:t>
      </w:r>
    </w:p>
    <w:p w14:paraId="17785770" w14:textId="6EB0E1B5" w:rsidR="007923CA" w:rsidRPr="007923CA" w:rsidRDefault="002F4015" w:rsidP="00FF49A5">
      <w:pPr>
        <w:pStyle w:val="Prrafodelista"/>
        <w:rPr>
          <w:lang w:val="es"/>
        </w:rPr>
      </w:pPr>
      <w:r>
        <w:rPr>
          <w:lang w:val="es"/>
        </w:rPr>
        <w:t>El control</w:t>
      </w:r>
      <w:r w:rsidRPr="007923CA">
        <w:rPr>
          <w:lang w:val="es"/>
        </w:rPr>
        <w:t xml:space="preserve"> excesivo del </w:t>
      </w:r>
      <w:r>
        <w:rPr>
          <w:lang w:val="es"/>
        </w:rPr>
        <w:t>E</w:t>
      </w:r>
      <w:r w:rsidRPr="007923CA">
        <w:rPr>
          <w:lang w:val="es"/>
        </w:rPr>
        <w:t xml:space="preserve">stado </w:t>
      </w:r>
      <w:r>
        <w:rPr>
          <w:lang w:val="es"/>
        </w:rPr>
        <w:t xml:space="preserve">al funcionamiento de organizaciones de la sociedad civil es </w:t>
      </w:r>
      <w:r w:rsidR="00BA08A6">
        <w:rPr>
          <w:lang w:val="es"/>
        </w:rPr>
        <w:t>otra</w:t>
      </w:r>
      <w:r>
        <w:rPr>
          <w:lang w:val="es"/>
        </w:rPr>
        <w:t xml:space="preserve"> de las medidas que se ha intensificado en el Ecuador. Ese control </w:t>
      </w:r>
      <w:r>
        <w:rPr>
          <w:lang w:val="es"/>
        </w:rPr>
        <w:lastRenderedPageBreak/>
        <w:t xml:space="preserve">excesivo incluye </w:t>
      </w:r>
      <w:r w:rsidRPr="007923CA">
        <w:rPr>
          <w:lang w:val="es"/>
        </w:rPr>
        <w:t xml:space="preserve">registro obligatorio, cumplimiento de objetivos, </w:t>
      </w:r>
      <w:r>
        <w:rPr>
          <w:lang w:val="es"/>
        </w:rPr>
        <w:t xml:space="preserve">registro de </w:t>
      </w:r>
      <w:r w:rsidRPr="007923CA">
        <w:rPr>
          <w:lang w:val="es"/>
        </w:rPr>
        <w:t>beneficiarios,</w:t>
      </w:r>
      <w:r>
        <w:rPr>
          <w:lang w:val="es"/>
        </w:rPr>
        <w:t xml:space="preserve"> donantes,</w:t>
      </w:r>
      <w:r w:rsidRPr="007923CA">
        <w:rPr>
          <w:lang w:val="es"/>
        </w:rPr>
        <w:t xml:space="preserve"> situación financiera, designación de </w:t>
      </w:r>
      <w:r>
        <w:rPr>
          <w:lang w:val="es"/>
        </w:rPr>
        <w:t xml:space="preserve">funcionarios </w:t>
      </w:r>
      <w:r w:rsidRPr="007923CA">
        <w:rPr>
          <w:lang w:val="es"/>
        </w:rPr>
        <w:t>responsables</w:t>
      </w:r>
      <w:r>
        <w:rPr>
          <w:lang w:val="es"/>
        </w:rPr>
        <w:t xml:space="preserve"> de controlar y reportar, entre otras</w:t>
      </w:r>
      <w:r w:rsidR="00F83ECA">
        <w:rPr>
          <w:lang w:val="es"/>
        </w:rPr>
        <w:t xml:space="preserve"> medidas restrictivas y onerosas especialmente a organizaciones pequeñas</w:t>
      </w:r>
      <w:r w:rsidRPr="007923CA">
        <w:rPr>
          <w:lang w:val="es"/>
        </w:rPr>
        <w:t xml:space="preserve">. </w:t>
      </w:r>
      <w:r w:rsidR="007923CA" w:rsidRPr="007923CA">
        <w:rPr>
          <w:lang w:val="es"/>
        </w:rPr>
        <w:t xml:space="preserve">En agosto de 2025, mediante el trámite </w:t>
      </w:r>
      <w:r w:rsidR="007923CA">
        <w:rPr>
          <w:lang w:val="es"/>
        </w:rPr>
        <w:t xml:space="preserve">expedito </w:t>
      </w:r>
      <w:r w:rsidR="007923CA" w:rsidRPr="007923CA">
        <w:rPr>
          <w:lang w:val="es"/>
        </w:rPr>
        <w:t>de</w:t>
      </w:r>
      <w:r w:rsidR="007923CA">
        <w:rPr>
          <w:lang w:val="es"/>
        </w:rPr>
        <w:t xml:space="preserve"> proyectos de ley de</w:t>
      </w:r>
      <w:r w:rsidR="007923CA" w:rsidRPr="007923CA">
        <w:rPr>
          <w:lang w:val="es"/>
        </w:rPr>
        <w:t xml:space="preserve"> urgencia en materia económica, </w:t>
      </w:r>
      <w:r w:rsidR="007923CA">
        <w:rPr>
          <w:lang w:val="es"/>
        </w:rPr>
        <w:t xml:space="preserve">se </w:t>
      </w:r>
      <w:r w:rsidR="007923CA" w:rsidRPr="007923CA">
        <w:rPr>
          <w:lang w:val="es"/>
        </w:rPr>
        <w:t>aprobó</w:t>
      </w:r>
      <w:r>
        <w:rPr>
          <w:lang w:val="es"/>
        </w:rPr>
        <w:t xml:space="preserve"> en Ecuador,</w:t>
      </w:r>
      <w:r w:rsidR="007923CA" w:rsidRPr="007923CA">
        <w:rPr>
          <w:lang w:val="es"/>
        </w:rPr>
        <w:t xml:space="preserve"> la </w:t>
      </w:r>
      <w:hyperlink r:id="rId15" w:history="1">
        <w:r w:rsidR="007923CA" w:rsidRPr="007923CA">
          <w:rPr>
            <w:rStyle w:val="Hipervnculo"/>
            <w:lang w:val="es"/>
          </w:rPr>
          <w:t>Ley Orgánica de Transparencia Social</w:t>
        </w:r>
      </w:hyperlink>
      <w:r w:rsidR="007923CA" w:rsidRPr="007923CA">
        <w:rPr>
          <w:lang w:val="es"/>
        </w:rPr>
        <w:t xml:space="preserve"> que impone nuevas obligaciones a las organizaciones de la sociedad civil, de reporte y gestión. </w:t>
      </w:r>
      <w:r>
        <w:rPr>
          <w:lang w:val="es"/>
        </w:rPr>
        <w:t>Estas medidas son adicionales a las que impone</w:t>
      </w:r>
      <w:r w:rsidR="007923CA" w:rsidRPr="007923CA">
        <w:rPr>
          <w:lang w:val="es"/>
        </w:rPr>
        <w:t xml:space="preserve"> </w:t>
      </w:r>
      <w:r w:rsidRPr="007923CA">
        <w:rPr>
          <w:lang w:val="es"/>
        </w:rPr>
        <w:t xml:space="preserve">la ley de lavado de activos vigente, </w:t>
      </w:r>
      <w:r>
        <w:rPr>
          <w:lang w:val="es"/>
        </w:rPr>
        <w:t xml:space="preserve">que incluye como sujetos obligados a </w:t>
      </w:r>
      <w:r w:rsidRPr="007923CA">
        <w:rPr>
          <w:lang w:val="es"/>
        </w:rPr>
        <w:t>las organizaciones de la sociedad civil, fundaciones y corporaciones.</w:t>
      </w:r>
      <w:r>
        <w:rPr>
          <w:lang w:val="es"/>
        </w:rPr>
        <w:t xml:space="preserve"> La ley de transparencia, conocida como “ley de fundaciones” por la evidente intencionalidad, i</w:t>
      </w:r>
      <w:r w:rsidR="007923CA" w:rsidRPr="007923CA">
        <w:rPr>
          <w:lang w:val="es"/>
        </w:rPr>
        <w:t>ncorpora reforma</w:t>
      </w:r>
      <w:r>
        <w:rPr>
          <w:lang w:val="es"/>
        </w:rPr>
        <w:t>s</w:t>
      </w:r>
      <w:r w:rsidR="007923CA" w:rsidRPr="007923CA">
        <w:rPr>
          <w:lang w:val="es"/>
        </w:rPr>
        <w:t xml:space="preserve"> a la ley de lavado de activos que permite el bloqueo de cuentas bancarias</w:t>
      </w:r>
      <w:r>
        <w:rPr>
          <w:lang w:val="es"/>
        </w:rPr>
        <w:t xml:space="preserve"> explicado ya</w:t>
      </w:r>
      <w:r w:rsidR="007923CA" w:rsidRPr="007923CA">
        <w:rPr>
          <w:lang w:val="es"/>
        </w:rPr>
        <w:t xml:space="preserve">. </w:t>
      </w:r>
      <w:r>
        <w:rPr>
          <w:lang w:val="es"/>
        </w:rPr>
        <w:t>El artículo 4 de</w:t>
      </w:r>
      <w:r w:rsidR="007923CA" w:rsidRPr="007923CA">
        <w:rPr>
          <w:lang w:val="es"/>
        </w:rPr>
        <w:t xml:space="preserve">l </w:t>
      </w:r>
      <w:hyperlink r:id="rId16" w:history="1">
        <w:r w:rsidR="007923CA" w:rsidRPr="002F4015">
          <w:rPr>
            <w:rStyle w:val="Hipervnculo"/>
            <w:lang w:val="es"/>
          </w:rPr>
          <w:t>reglamento</w:t>
        </w:r>
        <w:r w:rsidRPr="002F4015">
          <w:rPr>
            <w:rStyle w:val="Hipervnculo"/>
            <w:vertAlign w:val="superscript"/>
            <w:lang w:val="es"/>
          </w:rPr>
          <w:t xml:space="preserve"> </w:t>
        </w:r>
        <w:r w:rsidR="007923CA" w:rsidRPr="002F4015">
          <w:rPr>
            <w:rStyle w:val="Hipervnculo"/>
            <w:lang w:val="es"/>
          </w:rPr>
          <w:t xml:space="preserve">de la ley </w:t>
        </w:r>
      </w:hyperlink>
      <w:r w:rsidR="007923CA" w:rsidRPr="007923CA">
        <w:rPr>
          <w:lang w:val="es"/>
        </w:rPr>
        <w:t xml:space="preserve"> prohíbe expresamente a las organizaciones de la sociedad civil interferir en proyectos mineros aprobados por el Estado y establece la suspensión </w:t>
      </w:r>
      <w:r>
        <w:rPr>
          <w:lang w:val="es"/>
        </w:rPr>
        <w:t xml:space="preserve">de la organización </w:t>
      </w:r>
      <w:r w:rsidR="007923CA" w:rsidRPr="007923CA">
        <w:rPr>
          <w:lang w:val="es"/>
        </w:rPr>
        <w:t>por cuatro años en caso de no cumplir esta disposición. Esta</w:t>
      </w:r>
      <w:r>
        <w:rPr>
          <w:lang w:val="es"/>
        </w:rPr>
        <w:t xml:space="preserve">s medidas </w:t>
      </w:r>
      <w:r w:rsidR="007923CA" w:rsidRPr="007923CA">
        <w:rPr>
          <w:lang w:val="es"/>
        </w:rPr>
        <w:t>no solamente pone</w:t>
      </w:r>
      <w:r>
        <w:rPr>
          <w:lang w:val="es"/>
        </w:rPr>
        <w:t>n</w:t>
      </w:r>
      <w:r w:rsidR="007923CA" w:rsidRPr="007923CA">
        <w:rPr>
          <w:lang w:val="es"/>
        </w:rPr>
        <w:t xml:space="preserve"> en riesgo el derecho a defender derechos, el derecho de asociación, sino también la defensa de la naturaleza y el medio ambiente y otros derechos como salud, vida, vivienda, propiedad entre otros.  </w:t>
      </w:r>
    </w:p>
    <w:p w14:paraId="65FAAE94" w14:textId="54B25EAA" w:rsidR="006A28A9" w:rsidRDefault="006A28A9" w:rsidP="00FF49A5">
      <w:pPr>
        <w:pStyle w:val="Prrafodelista"/>
        <w:numPr>
          <w:ilvl w:val="0"/>
          <w:numId w:val="1"/>
        </w:numPr>
        <w:rPr>
          <w:lang w:val="es-ES_tradnl"/>
        </w:rPr>
      </w:pPr>
      <w:r>
        <w:rPr>
          <w:lang w:val="es-ES_tradnl"/>
        </w:rPr>
        <w:t>Por lo anterior, recomendamos</w:t>
      </w:r>
      <w:r w:rsidR="000C45F7" w:rsidRPr="006A28A9">
        <w:rPr>
          <w:lang w:val="es-ES_tradnl"/>
        </w:rPr>
        <w:t xml:space="preserve"> que en el </w:t>
      </w:r>
      <w:r w:rsidR="000C45F7" w:rsidRPr="00651465">
        <w:rPr>
          <w:b/>
          <w:bCs/>
          <w:lang w:val="es-ES_tradnl"/>
        </w:rPr>
        <w:t>párrafo 30</w:t>
      </w:r>
      <w:r w:rsidR="000C45F7" w:rsidRPr="006A28A9">
        <w:rPr>
          <w:lang w:val="es-ES_tradnl"/>
        </w:rPr>
        <w:t xml:space="preserve"> sobre la obligación de respetar, consideramos </w:t>
      </w:r>
      <w:r>
        <w:rPr>
          <w:lang w:val="es-ES_tradnl"/>
        </w:rPr>
        <w:t>se incluya</w:t>
      </w:r>
      <w:r w:rsidR="000C45F7" w:rsidRPr="006A28A9">
        <w:rPr>
          <w:lang w:val="es-ES_tradnl"/>
        </w:rPr>
        <w:t xml:space="preserve"> entre las medidas prohibidas explícitas</w:t>
      </w:r>
      <w:r w:rsidR="002F4015">
        <w:rPr>
          <w:lang w:val="es-ES_tradnl"/>
        </w:rPr>
        <w:t xml:space="preserve"> a</w:t>
      </w:r>
      <w:r w:rsidR="00057F8D" w:rsidRPr="006A28A9">
        <w:rPr>
          <w:lang w:val="es-ES_tradnl"/>
        </w:rPr>
        <w:t>: 1)</w:t>
      </w:r>
      <w:r w:rsidR="00510891" w:rsidRPr="006A28A9">
        <w:rPr>
          <w:lang w:val="es-ES_tradnl"/>
        </w:rPr>
        <w:t xml:space="preserve"> </w:t>
      </w:r>
      <w:r w:rsidR="00FF49A5">
        <w:rPr>
          <w:lang w:val="es-ES_tradnl"/>
        </w:rPr>
        <w:t xml:space="preserve">el uso de los estados de excepción para limitar las manifestaciones públicas; 2)  </w:t>
      </w:r>
      <w:r w:rsidR="002F4015" w:rsidRPr="00FF49A5">
        <w:rPr>
          <w:lang w:val="es-ES_tradnl"/>
        </w:rPr>
        <w:t>e</w:t>
      </w:r>
      <w:r w:rsidR="00510891" w:rsidRPr="00FF49A5">
        <w:rPr>
          <w:lang w:val="es-ES_tradnl"/>
        </w:rPr>
        <w:t xml:space="preserve">l bloqueo de cuentas como nueva forma de </w:t>
      </w:r>
      <w:r w:rsidRPr="00FF49A5">
        <w:rPr>
          <w:lang w:val="es-ES_tradnl"/>
        </w:rPr>
        <w:t>represión a la libertad de asociación</w:t>
      </w:r>
      <w:r w:rsidR="00FF49A5">
        <w:rPr>
          <w:lang w:val="es-ES_tradnl"/>
        </w:rPr>
        <w:t>;</w:t>
      </w:r>
      <w:r w:rsidR="00510891" w:rsidRPr="00FF49A5">
        <w:rPr>
          <w:lang w:val="es-ES_tradnl"/>
        </w:rPr>
        <w:t xml:space="preserve"> </w:t>
      </w:r>
      <w:r w:rsidR="00FF49A5">
        <w:rPr>
          <w:lang w:val="es-ES_tradnl"/>
        </w:rPr>
        <w:t>3</w:t>
      </w:r>
      <w:r w:rsidR="00057F8D" w:rsidRPr="00FF49A5">
        <w:rPr>
          <w:lang w:val="es-ES_tradnl"/>
        </w:rPr>
        <w:t>)</w:t>
      </w:r>
      <w:r w:rsidR="00510891" w:rsidRPr="00FF49A5">
        <w:rPr>
          <w:lang w:val="es-ES_tradnl"/>
        </w:rPr>
        <w:t xml:space="preserve"> la estigmatización de personas, organizaciones y movimientos sociales y sus expresiones organizativas</w:t>
      </w:r>
      <w:r w:rsidR="002F4015" w:rsidRPr="00FF49A5">
        <w:rPr>
          <w:lang w:val="es-ES_tradnl"/>
        </w:rPr>
        <w:t xml:space="preserve">; </w:t>
      </w:r>
      <w:r w:rsidR="00FF49A5">
        <w:rPr>
          <w:lang w:val="es-ES_tradnl"/>
        </w:rPr>
        <w:t>4</w:t>
      </w:r>
      <w:r w:rsidR="002F4015" w:rsidRPr="00FF49A5">
        <w:rPr>
          <w:lang w:val="es-ES_tradnl"/>
        </w:rPr>
        <w:t xml:space="preserve">) las </w:t>
      </w:r>
      <w:r w:rsidR="00F83ECA" w:rsidRPr="00FF49A5">
        <w:rPr>
          <w:lang w:val="es-ES_tradnl"/>
        </w:rPr>
        <w:t>sanciones por</w:t>
      </w:r>
      <w:r w:rsidR="002F4015" w:rsidRPr="00FF49A5">
        <w:rPr>
          <w:lang w:val="es-ES_tradnl"/>
        </w:rPr>
        <w:t xml:space="preserve"> ejercicio de derechos, incluido el derecho a la expresión y </w:t>
      </w:r>
      <w:r w:rsidR="00F83ECA" w:rsidRPr="00FF49A5">
        <w:rPr>
          <w:lang w:val="es-ES_tradnl"/>
        </w:rPr>
        <w:t>por</w:t>
      </w:r>
      <w:r w:rsidR="002F4015" w:rsidRPr="00FF49A5">
        <w:rPr>
          <w:lang w:val="es-ES_tradnl"/>
        </w:rPr>
        <w:t xml:space="preserve"> ejercicio de actividades lícitas</w:t>
      </w:r>
      <w:r w:rsidR="00F83ECA" w:rsidRPr="00FF49A5">
        <w:rPr>
          <w:lang w:val="es-ES_tradnl"/>
        </w:rPr>
        <w:t xml:space="preserve"> como la defensa de derechos.</w:t>
      </w:r>
    </w:p>
    <w:p w14:paraId="2E3CAE8F" w14:textId="77777777" w:rsidR="00651465" w:rsidRPr="00651465" w:rsidRDefault="00651465" w:rsidP="00651465">
      <w:pPr>
        <w:pStyle w:val="Prrafodelista"/>
        <w:numPr>
          <w:ilvl w:val="0"/>
          <w:numId w:val="1"/>
        </w:numPr>
      </w:pPr>
      <w:r w:rsidRPr="00651465">
        <w:t xml:space="preserve">En relación con el </w:t>
      </w:r>
      <w:r w:rsidRPr="00651465">
        <w:rPr>
          <w:b/>
          <w:bCs/>
        </w:rPr>
        <w:t>párrafo 20</w:t>
      </w:r>
      <w:r w:rsidRPr="00651465">
        <w:t xml:space="preserve"> y la dimensión individual del derecho a fundar sindicatos y afiliarse a ellos "sin distinción alguna", en Ecuador los artículos 443, 449, 452 y 459 del Código del Trabajo exigen un mínimo de 30 personas trabajadoras para constituir una asociación profesional o sindicato. Dado que el 93% de las unidades productivas del país son microempresas, este umbral hace jurídicamente imposible la sindicalización en más del 90% de los centros de trabajo. La CEACR ha solicitado reiteradamente al Estado reducir este número mínimo, sin que se hayan adoptado reformas. Recomendamos que la observación general reconozca expresamente que los umbrales numéricos de afiliados pueden constituir, por sí mismos, una restricción incompatible con el artículo 22 cuando su efecto práctico excluye estructuralmente a la mayoría de las y los trabajadores </w:t>
      </w:r>
      <w:r w:rsidRPr="00651465">
        <w:lastRenderedPageBreak/>
        <w:t xml:space="preserve">ecuatorianos del ejercicio del derecho (véanse </w:t>
      </w:r>
      <w:hyperlink r:id="rId17" w:history="1">
        <w:r w:rsidRPr="00651465">
          <w:rPr>
            <w:rStyle w:val="Hipervnculo"/>
          </w:rPr>
          <w:t>Observaciones sindicales OIT C8798, 2025</w:t>
        </w:r>
      </w:hyperlink>
      <w:r w:rsidRPr="00651465">
        <w:t xml:space="preserve">, y su </w:t>
      </w:r>
      <w:hyperlink r:id="rId18" w:history="1">
        <w:r w:rsidRPr="00651465">
          <w:rPr>
            <w:rStyle w:val="Hipervnculo"/>
          </w:rPr>
          <w:t>Alcance, 2025</w:t>
        </w:r>
      </w:hyperlink>
      <w:r w:rsidRPr="00651465">
        <w:t xml:space="preserve">). </w:t>
      </w:r>
    </w:p>
    <w:p w14:paraId="715ADDC4" w14:textId="68324743" w:rsidR="00651465" w:rsidRPr="00651465" w:rsidRDefault="00651465" w:rsidP="00651465">
      <w:pPr>
        <w:pStyle w:val="Prrafodelista"/>
        <w:numPr>
          <w:ilvl w:val="0"/>
          <w:numId w:val="1"/>
        </w:numPr>
      </w:pPr>
      <w:r w:rsidRPr="00651465">
        <w:t xml:space="preserve">Sobre el </w:t>
      </w:r>
      <w:r w:rsidRPr="00651465">
        <w:rPr>
          <w:b/>
          <w:bCs/>
        </w:rPr>
        <w:t>párrafo 24</w:t>
      </w:r>
      <w:r w:rsidRPr="00651465">
        <w:t xml:space="preserve"> y la autonomía y autogobierno sindical frente a la injerencia estatal, el nuevo Reglamento de Organizaciones Laborales (Acuerdo Ministerial MDT-2025-082)</w:t>
      </w:r>
      <w:r>
        <w:t xml:space="preserve"> de Ecuador</w:t>
      </w:r>
      <w:r w:rsidRPr="00651465">
        <w:t xml:space="preserve"> introduce dos restricciones no previstas en la normativa anterior: (i) exige que las personas fundadoras y directivas sean trabajadoras activas bajo relación de dependencia, excluyendo a quienes han sido despedidas en represalia sindical justo cuando más necesitan la protección organizativa; y (ii) obliga a que las organizaciones de primer y segundo grado se afilien a una única confederación de tercer grado, limitando la libre articulación federativa que el Convenio 87 de la OIT garantiza. A esto se suma el control financiero, de suspensión y disolución que la Ley Orgánica de Transparencia Social atribuye a la Superintendencia de Economía Popular y Solidaria sobre organizaciones sociales. Sugerimos que el párrafo 24 incorpore expresamente estos mecanismos de "unicidad orgánica impuesta" y de control financiero externo como formas de injerencia estatal contrarias al artículo 22 (véase </w:t>
      </w:r>
      <w:hyperlink r:id="rId19" w:history="1">
        <w:r w:rsidRPr="00651465">
          <w:rPr>
            <w:rStyle w:val="Hipervnculo"/>
          </w:rPr>
          <w:t>Observaciones sindicales OIT C8798, 2025</w:t>
        </w:r>
      </w:hyperlink>
      <w:r w:rsidRPr="00651465">
        <w:t xml:space="preserve">). </w:t>
      </w:r>
    </w:p>
    <w:p w14:paraId="45FAAEB3" w14:textId="77777777" w:rsidR="00651465" w:rsidRPr="00651465" w:rsidRDefault="00651465" w:rsidP="00651465">
      <w:pPr>
        <w:pStyle w:val="Prrafodelista"/>
        <w:numPr>
          <w:ilvl w:val="0"/>
          <w:numId w:val="1"/>
        </w:numPr>
      </w:pPr>
      <w:r w:rsidRPr="00651465">
        <w:t xml:space="preserve">Respecto del </w:t>
      </w:r>
      <w:r w:rsidRPr="00651465">
        <w:rPr>
          <w:b/>
          <w:bCs/>
        </w:rPr>
        <w:t>párrafo 25</w:t>
      </w:r>
      <w:r w:rsidRPr="00651465">
        <w:t xml:space="preserve"> sobre negociación colectiva y derecho de huelga, el artículo 221 del Código del Trabajo exige que la organización negociadora represente a más del 50% de los trabajadores de una empresa, umbral que la CEACR ha calificado de desproporcionado en contextos de fragmentación laboral, tercerización y dispersión geográfica, y que mantiene la cobertura de la negociación colectiva ecuatoriana por debajo del 1%. Asimismo, el artículo 346 del Código Orgánico Integral Penal es aplicado para criminalizar el ejercicio legítimo del derecho de huelga, en los términos observados por la CEACR. Recomendamos que la observación general precise que tanto los umbrales de representatividad desproporcionados como la tipificación penal de la huelga son incompatibles con el artículo 22 (véase Informe de la </w:t>
      </w:r>
      <w:hyperlink r:id="rId20" w:history="1">
        <w:r w:rsidRPr="00651465">
          <w:rPr>
            <w:rStyle w:val="Hipervnculo"/>
          </w:rPr>
          <w:t>Misión Sindical Internacional, Ecuador 2026</w:t>
        </w:r>
      </w:hyperlink>
      <w:r w:rsidRPr="00651465">
        <w:t xml:space="preserve">). </w:t>
      </w:r>
    </w:p>
    <w:p w14:paraId="3D0CE4AA" w14:textId="77777777" w:rsidR="00651465" w:rsidRPr="00651465" w:rsidRDefault="00651465" w:rsidP="00651465">
      <w:pPr>
        <w:pStyle w:val="Prrafodelista"/>
        <w:numPr>
          <w:ilvl w:val="0"/>
          <w:numId w:val="1"/>
        </w:numPr>
      </w:pPr>
      <w:r w:rsidRPr="00651465">
        <w:t xml:space="preserve">Sobre el </w:t>
      </w:r>
      <w:r w:rsidRPr="00651465">
        <w:rPr>
          <w:b/>
          <w:bCs/>
        </w:rPr>
        <w:t>párrafo 26</w:t>
      </w:r>
      <w:r w:rsidRPr="00651465">
        <w:t xml:space="preserve"> y la sindicalización de todas las categorías de trabajadores, Ecuador prohíbe la constitución de sindicatos de primer grado que agrupen a trabajadores de distintas empresas (sindicalización por rama de actividad). Esto, sumado a lo que ya se mencionó en relación con el párrafo 20, implica la imposibilidad real de las y los trabajadores de constituirse en organizaciones de tipo sindical. Aunque en 2021 la Corte Constitucional ordenó registrar como sindicato de rama a uno del sector bananero agroindustrial, el gobierno interpreta esa sentencia como un caso aislado y el Reglamento de 2025 mantiene el impedimento general. Tampoco existe un marco efectivo de negociación colectiva para el sector público, excluido por el Mandato Constituyente 8 y condicionado a </w:t>
      </w:r>
      <w:r w:rsidRPr="00651465">
        <w:lastRenderedPageBreak/>
        <w:t xml:space="preserve">un dictamen presupuestario favorable. Sugerimos incorporar en el párrafo 26 una referencia expresa a la sindicalización por rama y sector como parte del derecho protegido, y a la ausencia de marcos de negociación colectiva sectorial o en el sector público como incumplimiento del artículo 22 (véanse </w:t>
      </w:r>
      <w:hyperlink r:id="rId21" w:history="1">
        <w:r w:rsidRPr="00651465">
          <w:rPr>
            <w:rStyle w:val="Hipervnculo"/>
          </w:rPr>
          <w:t>Informe de la Misión Sindical Internacional, Ecuador 2026</w:t>
        </w:r>
      </w:hyperlink>
      <w:r w:rsidRPr="00651465">
        <w:t xml:space="preserve">, y </w:t>
      </w:r>
      <w:hyperlink r:id="rId22" w:history="1">
        <w:r w:rsidRPr="00651465">
          <w:rPr>
            <w:rStyle w:val="Hipervnculo"/>
          </w:rPr>
          <w:t>Observaciones sindicales OIT C8798, 2025</w:t>
        </w:r>
      </w:hyperlink>
      <w:r w:rsidRPr="00651465">
        <w:t xml:space="preserve">). </w:t>
      </w:r>
    </w:p>
    <w:p w14:paraId="5E599882" w14:textId="1A673723" w:rsidR="00651465" w:rsidRPr="00651465" w:rsidRDefault="00651465" w:rsidP="00651465">
      <w:pPr>
        <w:pStyle w:val="Prrafodelista"/>
        <w:numPr>
          <w:ilvl w:val="0"/>
          <w:numId w:val="1"/>
        </w:numPr>
      </w:pPr>
      <w:r>
        <w:t>L</w:t>
      </w:r>
      <w:r w:rsidRPr="00651465">
        <w:t xml:space="preserve">a persecución penal y administrativa contra personas dirigentes sindicales, incluidos procesos fiscales sin sustento, despidos represivos y el incumplimiento de sentencias como la relativa al caso FETRAPEC (sentencia 28-19-AN/21 de la Corte Constitucional), ilustra cómo la ausencia de garantías efectivas en los </w:t>
      </w:r>
      <w:r w:rsidRPr="00651465">
        <w:rPr>
          <w:b/>
          <w:bCs/>
        </w:rPr>
        <w:t>párrafos 20 a 26</w:t>
      </w:r>
      <w:r w:rsidRPr="00651465">
        <w:t xml:space="preserve"> se traduce en violaciones concretas que comprometen además las obligaciones estatales negativas y positivas desarrolladas en la sección IV (véase </w:t>
      </w:r>
      <w:hyperlink r:id="rId23" w:history="1">
        <w:r w:rsidRPr="00651465">
          <w:rPr>
            <w:rStyle w:val="Hipervnculo"/>
          </w:rPr>
          <w:t>Informe de la Misión Sindical Internacional, Ecuador 2026, secc. VIII</w:t>
        </w:r>
      </w:hyperlink>
      <w:r w:rsidRPr="00651465">
        <w:t>).</w:t>
      </w:r>
    </w:p>
    <w:p w14:paraId="68B62310" w14:textId="7C443238" w:rsidR="00057F8D" w:rsidRPr="006A28A9" w:rsidRDefault="00FF49A5" w:rsidP="006A28A9">
      <w:pPr>
        <w:pStyle w:val="Prrafodelista"/>
        <w:numPr>
          <w:ilvl w:val="0"/>
          <w:numId w:val="1"/>
        </w:numPr>
        <w:rPr>
          <w:lang w:val="es-ES_tradnl"/>
        </w:rPr>
      </w:pPr>
      <w:r>
        <w:rPr>
          <w:lang w:val="es-ES_tradnl"/>
        </w:rPr>
        <w:t>Los</w:t>
      </w:r>
      <w:r w:rsidRPr="006A28A9">
        <w:rPr>
          <w:lang w:val="es-ES_tradnl"/>
        </w:rPr>
        <w:t xml:space="preserve"> </w:t>
      </w:r>
      <w:r w:rsidRPr="00651465">
        <w:rPr>
          <w:b/>
          <w:bCs/>
          <w:lang w:val="es-ES_tradnl"/>
        </w:rPr>
        <w:t>párrafos 35 y 37</w:t>
      </w:r>
      <w:r w:rsidRPr="006A28A9">
        <w:rPr>
          <w:lang w:val="es-ES_tradnl"/>
        </w:rPr>
        <w:t xml:space="preserve"> sólo se refiere</w:t>
      </w:r>
      <w:r>
        <w:rPr>
          <w:lang w:val="es-ES_tradnl"/>
        </w:rPr>
        <w:t>n</w:t>
      </w:r>
      <w:r w:rsidRPr="006A28A9">
        <w:rPr>
          <w:lang w:val="es-ES_tradnl"/>
        </w:rPr>
        <w:t xml:space="preserve"> a la obligación estatal de hacer frente a acciones y narrativas hostiles por parte de personas y actores privados. </w:t>
      </w:r>
      <w:r>
        <w:rPr>
          <w:lang w:val="es-ES_tradnl"/>
        </w:rPr>
        <w:t>C</w:t>
      </w:r>
      <w:r w:rsidR="00057F8D" w:rsidRPr="006A28A9">
        <w:rPr>
          <w:lang w:val="es-ES_tradnl"/>
        </w:rPr>
        <w:t>onsiderando que en el caso de la asfixia financiera</w:t>
      </w:r>
      <w:r w:rsidR="00DC082F" w:rsidRPr="006A28A9">
        <w:rPr>
          <w:lang w:val="es-ES_tradnl"/>
        </w:rPr>
        <w:t xml:space="preserve"> </w:t>
      </w:r>
      <w:r w:rsidR="00057F8D" w:rsidRPr="006A28A9">
        <w:rPr>
          <w:lang w:val="es-ES_tradnl"/>
        </w:rPr>
        <w:t>participa</w:t>
      </w:r>
      <w:r w:rsidR="00DC082F" w:rsidRPr="006A28A9">
        <w:rPr>
          <w:lang w:val="es-ES_tradnl"/>
        </w:rPr>
        <w:t>n</w:t>
      </w:r>
      <w:r w:rsidR="00057F8D" w:rsidRPr="006A28A9">
        <w:rPr>
          <w:lang w:val="es-ES_tradnl"/>
        </w:rPr>
        <w:t xml:space="preserve"> también entidades privadas como bancos y cooperativas</w:t>
      </w:r>
      <w:r w:rsidR="00DC082F" w:rsidRPr="006A28A9">
        <w:rPr>
          <w:lang w:val="es-ES_tradnl"/>
        </w:rPr>
        <w:t xml:space="preserve"> y que en la estigmatización participan no sólo voceros estatales sino además medios de comunicación masiva,</w:t>
      </w:r>
      <w:r w:rsidR="00057F8D" w:rsidRPr="006A28A9">
        <w:rPr>
          <w:lang w:val="es-ES_tradnl"/>
        </w:rPr>
        <w:t xml:space="preserve"> la recomendación es que se considere agregar referencias a las obligaciones negativas de respetar que corresponden </w:t>
      </w:r>
      <w:r w:rsidR="00057F8D" w:rsidRPr="006A28A9">
        <w:rPr>
          <w:u w:val="single"/>
          <w:lang w:val="es-ES_tradnl"/>
        </w:rPr>
        <w:t>a toda la sociedad más allá del Estado</w:t>
      </w:r>
      <w:r w:rsidR="00057F8D" w:rsidRPr="006A28A9">
        <w:rPr>
          <w:lang w:val="es-ES_tradnl"/>
        </w:rPr>
        <w:t xml:space="preserve">. </w:t>
      </w:r>
      <w:r w:rsidR="005C79CD" w:rsidRPr="006A28A9">
        <w:rPr>
          <w:lang w:val="es-ES_tradnl"/>
        </w:rPr>
        <w:t xml:space="preserve"> </w:t>
      </w:r>
    </w:p>
    <w:p w14:paraId="43A9CA0A" w14:textId="0F3CD742" w:rsidR="00980FE2" w:rsidRDefault="004D4995" w:rsidP="00980FE2">
      <w:pPr>
        <w:pStyle w:val="Prrafodelista"/>
        <w:numPr>
          <w:ilvl w:val="0"/>
          <w:numId w:val="1"/>
        </w:numPr>
        <w:rPr>
          <w:lang w:val="es-ES_tradnl"/>
        </w:rPr>
      </w:pPr>
      <w:r>
        <w:rPr>
          <w:lang w:val="es-ES_tradnl"/>
        </w:rPr>
        <w:t xml:space="preserve">En el párrafo </w:t>
      </w:r>
      <w:r w:rsidRPr="00651465">
        <w:rPr>
          <w:b/>
          <w:bCs/>
          <w:lang w:val="es-ES_tradnl"/>
        </w:rPr>
        <w:t>31</w:t>
      </w:r>
      <w:r>
        <w:rPr>
          <w:lang w:val="es-ES_tradnl"/>
        </w:rPr>
        <w:t>, recom</w:t>
      </w:r>
      <w:r w:rsidR="00651465">
        <w:rPr>
          <w:lang w:val="es-ES_tradnl"/>
        </w:rPr>
        <w:t>endamos</w:t>
      </w:r>
      <w:r>
        <w:rPr>
          <w:lang w:val="es-ES_tradnl"/>
        </w:rPr>
        <w:t xml:space="preserve"> incluir como una de las formas más graves de violación a la desaparición forzada temporal en contextos de protestas públicas, descrita en el párrafo 4 arriba. La temporalidad parecería no calificar como forma más grave en general ante las otras formas indicadas (detención, tortura, muerte y la misma desaparición indefinida). Sin embargo, es una práctica que precisamente por la temporalidad permanece sub</w:t>
      </w:r>
      <w:r w:rsidR="00651465">
        <w:rPr>
          <w:lang w:val="es-ES_tradnl"/>
        </w:rPr>
        <w:t>-</w:t>
      </w:r>
      <w:r>
        <w:rPr>
          <w:lang w:val="es-ES_tradnl"/>
        </w:rPr>
        <w:t>registrada y es particularmente efectiva para desincentivar el ejercicio de las libertades de expresión, reunión y asociación, esta última</w:t>
      </w:r>
      <w:r w:rsidR="007923CA">
        <w:rPr>
          <w:lang w:val="es-ES_tradnl"/>
        </w:rPr>
        <w:t>,</w:t>
      </w:r>
      <w:r>
        <w:rPr>
          <w:lang w:val="es-ES_tradnl"/>
        </w:rPr>
        <w:t xml:space="preserve"> el objeto de la Observación General bajo comentario. </w:t>
      </w:r>
    </w:p>
    <w:p w14:paraId="4D561071" w14:textId="77777777" w:rsidR="00980FE2" w:rsidRDefault="00980FE2" w:rsidP="00980FE2">
      <w:pPr>
        <w:rPr>
          <w:lang w:val="es-ES_tradnl"/>
        </w:rPr>
      </w:pPr>
    </w:p>
    <w:p w14:paraId="4616BCC3" w14:textId="77777777" w:rsidR="00980FE2" w:rsidRDefault="00980FE2" w:rsidP="00980FE2">
      <w:pPr>
        <w:rPr>
          <w:lang w:val="es-ES_tradnl"/>
        </w:rPr>
      </w:pPr>
    </w:p>
    <w:p w14:paraId="4BD5557D" w14:textId="3A91CCAB" w:rsidR="00980FE2" w:rsidRDefault="00980FE2" w:rsidP="00980FE2">
      <w:pPr>
        <w:spacing w:after="0"/>
        <w:rPr>
          <w:lang w:val="es-ES_tradnl"/>
        </w:rPr>
      </w:pPr>
      <w:r>
        <w:rPr>
          <w:lang w:val="es-ES_tradnl"/>
        </w:rPr>
        <w:t>Verónica Potes Guerra</w:t>
      </w:r>
    </w:p>
    <w:p w14:paraId="3BC19625" w14:textId="1CCE6FE5" w:rsidR="00980FE2" w:rsidRDefault="00980FE2" w:rsidP="00980FE2">
      <w:pPr>
        <w:spacing w:after="0"/>
        <w:rPr>
          <w:lang w:val="es-ES_tradnl"/>
        </w:rPr>
      </w:pPr>
      <w:r>
        <w:rPr>
          <w:lang w:val="es-ES_tradnl"/>
        </w:rPr>
        <w:t>Coordinación de Investigación y Reportes</w:t>
      </w:r>
    </w:p>
    <w:p w14:paraId="508422A2" w14:textId="6443DECF" w:rsidR="00980FE2" w:rsidRDefault="00980FE2" w:rsidP="00980FE2">
      <w:pPr>
        <w:spacing w:after="0"/>
        <w:rPr>
          <w:lang w:val="es-ES_tradnl"/>
        </w:rPr>
      </w:pPr>
      <w:r>
        <w:rPr>
          <w:lang w:val="es-ES_tradnl"/>
        </w:rPr>
        <w:t>Alianza de Organizaciones por los Derechos Humanos, Ecuador</w:t>
      </w:r>
    </w:p>
    <w:p w14:paraId="0125BC54" w14:textId="77777777" w:rsidR="00980FE2" w:rsidRPr="00980FE2" w:rsidRDefault="00980FE2" w:rsidP="00980FE2">
      <w:pPr>
        <w:rPr>
          <w:lang w:val="es-ES_tradnl"/>
        </w:rPr>
      </w:pPr>
    </w:p>
    <w:p w14:paraId="0095E566" w14:textId="77777777" w:rsidR="007923CA" w:rsidRPr="007736A2" w:rsidRDefault="007923CA" w:rsidP="007923CA">
      <w:pPr>
        <w:pStyle w:val="Prrafodelista"/>
        <w:rPr>
          <w:lang w:val="es-ES_tradnl"/>
        </w:rPr>
      </w:pPr>
    </w:p>
    <w:p w14:paraId="73527CBA" w14:textId="77777777" w:rsidR="007736A2" w:rsidRPr="00152D76" w:rsidRDefault="007736A2" w:rsidP="007736A2">
      <w:pPr>
        <w:pStyle w:val="Prrafodelista"/>
        <w:rPr>
          <w:lang w:val="es-ES_tradnl"/>
        </w:rPr>
      </w:pPr>
    </w:p>
    <w:sectPr w:rsidR="007736A2" w:rsidRPr="00152D7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1B0FC7" w14:textId="77777777" w:rsidR="00B166CF" w:rsidRDefault="00B166CF" w:rsidP="009D32E9">
      <w:pPr>
        <w:spacing w:after="0" w:line="240" w:lineRule="auto"/>
      </w:pPr>
      <w:r>
        <w:separator/>
      </w:r>
    </w:p>
  </w:endnote>
  <w:endnote w:type="continuationSeparator" w:id="0">
    <w:p w14:paraId="2CD0F402" w14:textId="77777777" w:rsidR="00B166CF" w:rsidRDefault="00B166CF" w:rsidP="009D3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0A219" w14:textId="77777777" w:rsidR="00B166CF" w:rsidRDefault="00B166CF" w:rsidP="009D32E9">
      <w:pPr>
        <w:spacing w:after="0" w:line="240" w:lineRule="auto"/>
      </w:pPr>
      <w:r>
        <w:separator/>
      </w:r>
    </w:p>
  </w:footnote>
  <w:footnote w:type="continuationSeparator" w:id="0">
    <w:p w14:paraId="35BDA2D5" w14:textId="77777777" w:rsidR="00B166CF" w:rsidRDefault="00B166CF" w:rsidP="009D32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54CEF"/>
    <w:multiLevelType w:val="hybridMultilevel"/>
    <w:tmpl w:val="0FE29F5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A9914E9"/>
    <w:multiLevelType w:val="hybridMultilevel"/>
    <w:tmpl w:val="0FE29F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24385973">
    <w:abstractNumId w:val="0"/>
  </w:num>
  <w:num w:numId="2" w16cid:durableId="168096178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F8C"/>
    <w:rsid w:val="00057F8D"/>
    <w:rsid w:val="000A057A"/>
    <w:rsid w:val="000C45F7"/>
    <w:rsid w:val="000D71D3"/>
    <w:rsid w:val="001008BB"/>
    <w:rsid w:val="00152D76"/>
    <w:rsid w:val="00283940"/>
    <w:rsid w:val="002D3283"/>
    <w:rsid w:val="002F4015"/>
    <w:rsid w:val="003C1AA2"/>
    <w:rsid w:val="003C2BDF"/>
    <w:rsid w:val="004255A9"/>
    <w:rsid w:val="00433A5A"/>
    <w:rsid w:val="00440E1B"/>
    <w:rsid w:val="004D4995"/>
    <w:rsid w:val="00510891"/>
    <w:rsid w:val="005C79CD"/>
    <w:rsid w:val="00643AE8"/>
    <w:rsid w:val="00651465"/>
    <w:rsid w:val="00673765"/>
    <w:rsid w:val="006A28A9"/>
    <w:rsid w:val="006A7D84"/>
    <w:rsid w:val="007736A2"/>
    <w:rsid w:val="00790735"/>
    <w:rsid w:val="007923CA"/>
    <w:rsid w:val="007F3F8C"/>
    <w:rsid w:val="0084045D"/>
    <w:rsid w:val="00905DE7"/>
    <w:rsid w:val="00980FE2"/>
    <w:rsid w:val="00982B67"/>
    <w:rsid w:val="00983D55"/>
    <w:rsid w:val="009D32E9"/>
    <w:rsid w:val="00A02C66"/>
    <w:rsid w:val="00AB44DC"/>
    <w:rsid w:val="00AC471A"/>
    <w:rsid w:val="00AD5468"/>
    <w:rsid w:val="00B166CF"/>
    <w:rsid w:val="00BA08A6"/>
    <w:rsid w:val="00BB4EFA"/>
    <w:rsid w:val="00BC4E29"/>
    <w:rsid w:val="00BF501E"/>
    <w:rsid w:val="00DC082F"/>
    <w:rsid w:val="00F314F3"/>
    <w:rsid w:val="00F83ECA"/>
    <w:rsid w:val="00FA1253"/>
    <w:rsid w:val="00FF49A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4:docId w14:val="4839F604"/>
  <w15:chartTrackingRefBased/>
  <w15:docId w15:val="{4151E3FF-CD33-7B4F-8751-D0DE9D56C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F3F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F3F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F3F8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F3F8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F3F8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F3F8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F3F8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F3F8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F3F8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3F8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F3F8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F3F8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F3F8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F3F8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F3F8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F3F8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F3F8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F3F8C"/>
    <w:rPr>
      <w:rFonts w:eastAsiaTheme="majorEastAsia" w:cstheme="majorBidi"/>
      <w:color w:val="272727" w:themeColor="text1" w:themeTint="D8"/>
    </w:rPr>
  </w:style>
  <w:style w:type="paragraph" w:styleId="Ttulo">
    <w:name w:val="Title"/>
    <w:basedOn w:val="Normal"/>
    <w:next w:val="Normal"/>
    <w:link w:val="TtuloCar"/>
    <w:uiPriority w:val="10"/>
    <w:qFormat/>
    <w:rsid w:val="007F3F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F3F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F3F8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F3F8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F3F8C"/>
    <w:pPr>
      <w:spacing w:before="160"/>
      <w:jc w:val="center"/>
    </w:pPr>
    <w:rPr>
      <w:i/>
      <w:iCs/>
      <w:color w:val="404040" w:themeColor="text1" w:themeTint="BF"/>
    </w:rPr>
  </w:style>
  <w:style w:type="character" w:customStyle="1" w:styleId="CitaCar">
    <w:name w:val="Cita Car"/>
    <w:basedOn w:val="Fuentedeprrafopredeter"/>
    <w:link w:val="Cita"/>
    <w:uiPriority w:val="29"/>
    <w:rsid w:val="007F3F8C"/>
    <w:rPr>
      <w:i/>
      <w:iCs/>
      <w:color w:val="404040" w:themeColor="text1" w:themeTint="BF"/>
    </w:rPr>
  </w:style>
  <w:style w:type="paragraph" w:styleId="Prrafodelista">
    <w:name w:val="List Paragraph"/>
    <w:basedOn w:val="Normal"/>
    <w:uiPriority w:val="34"/>
    <w:qFormat/>
    <w:rsid w:val="007F3F8C"/>
    <w:pPr>
      <w:ind w:left="720"/>
      <w:contextualSpacing/>
    </w:pPr>
  </w:style>
  <w:style w:type="character" w:styleId="nfasisintenso">
    <w:name w:val="Intense Emphasis"/>
    <w:basedOn w:val="Fuentedeprrafopredeter"/>
    <w:uiPriority w:val="21"/>
    <w:qFormat/>
    <w:rsid w:val="007F3F8C"/>
    <w:rPr>
      <w:i/>
      <w:iCs/>
      <w:color w:val="2F5496" w:themeColor="accent1" w:themeShade="BF"/>
    </w:rPr>
  </w:style>
  <w:style w:type="paragraph" w:styleId="Citadestacada">
    <w:name w:val="Intense Quote"/>
    <w:basedOn w:val="Normal"/>
    <w:next w:val="Normal"/>
    <w:link w:val="CitadestacadaCar"/>
    <w:uiPriority w:val="30"/>
    <w:qFormat/>
    <w:rsid w:val="007F3F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F3F8C"/>
    <w:rPr>
      <w:i/>
      <w:iCs/>
      <w:color w:val="2F5496" w:themeColor="accent1" w:themeShade="BF"/>
    </w:rPr>
  </w:style>
  <w:style w:type="character" w:styleId="Referenciaintensa">
    <w:name w:val="Intense Reference"/>
    <w:basedOn w:val="Fuentedeprrafopredeter"/>
    <w:uiPriority w:val="32"/>
    <w:qFormat/>
    <w:rsid w:val="007F3F8C"/>
    <w:rPr>
      <w:b/>
      <w:bCs/>
      <w:smallCaps/>
      <w:color w:val="2F5496" w:themeColor="accent1" w:themeShade="BF"/>
      <w:spacing w:val="5"/>
    </w:rPr>
  </w:style>
  <w:style w:type="character" w:styleId="Hipervnculo">
    <w:name w:val="Hyperlink"/>
    <w:basedOn w:val="Fuentedeprrafopredeter"/>
    <w:uiPriority w:val="99"/>
    <w:unhideWhenUsed/>
    <w:rsid w:val="000D71D3"/>
    <w:rPr>
      <w:color w:val="0563C1" w:themeColor="hyperlink"/>
      <w:u w:val="single"/>
    </w:rPr>
  </w:style>
  <w:style w:type="character" w:styleId="Mencinsinresolver">
    <w:name w:val="Unresolved Mention"/>
    <w:basedOn w:val="Fuentedeprrafopredeter"/>
    <w:uiPriority w:val="99"/>
    <w:semiHidden/>
    <w:unhideWhenUsed/>
    <w:rsid w:val="000D71D3"/>
    <w:rPr>
      <w:color w:val="605E5C"/>
      <w:shd w:val="clear" w:color="auto" w:fill="E1DFDD"/>
    </w:rPr>
  </w:style>
  <w:style w:type="paragraph" w:styleId="Textonotapie">
    <w:name w:val="footnote text"/>
    <w:basedOn w:val="Normal"/>
    <w:link w:val="TextonotapieCar"/>
    <w:uiPriority w:val="99"/>
    <w:semiHidden/>
    <w:unhideWhenUsed/>
    <w:rsid w:val="009D32E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D32E9"/>
    <w:rPr>
      <w:sz w:val="20"/>
      <w:szCs w:val="20"/>
    </w:rPr>
  </w:style>
  <w:style w:type="character" w:styleId="Refdenotaalpie">
    <w:name w:val="footnote reference"/>
    <w:basedOn w:val="Fuentedeprrafopredeter"/>
    <w:uiPriority w:val="99"/>
    <w:semiHidden/>
    <w:unhideWhenUsed/>
    <w:rsid w:val="009D32E9"/>
    <w:rPr>
      <w:vertAlign w:val="superscript"/>
    </w:rPr>
  </w:style>
  <w:style w:type="paragraph" w:styleId="NormalWeb">
    <w:name w:val="Normal (Web)"/>
    <w:basedOn w:val="Normal"/>
    <w:uiPriority w:val="99"/>
    <w:semiHidden/>
    <w:unhideWhenUsed/>
    <w:rsid w:val="00F314F3"/>
    <w:rPr>
      <w:rFonts w:ascii="Times New Roman" w:hAnsi="Times New Roman" w:cs="Times New Roman"/>
    </w:rPr>
  </w:style>
  <w:style w:type="character" w:styleId="Hipervnculovisitado">
    <w:name w:val="FollowedHyperlink"/>
    <w:basedOn w:val="Fuentedeprrafopredeter"/>
    <w:uiPriority w:val="99"/>
    <w:semiHidden/>
    <w:unhideWhenUsed/>
    <w:rsid w:val="000C45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ianzaddhh.org/alerta-urgente-grave-situacion-de-violencia-atraviesa-la-federacion-interprovincial-de-centros-shuar-ficsh-por-los-conflictos-causados-y-exacerbados-por-la-intervencion-de-la-industria-minera-en-sus/" TargetMode="External"/><Relationship Id="rId13" Type="http://schemas.openxmlformats.org/officeDocument/2006/relationships/hyperlink" Target="https://www.facebook.com/Unorcac/posts/pfbid02XTq5Hm5aQc78iFGqqb2CVUKGngQywzu2ZigvV2kbaMVBLcxpQ5uRU47uYgtPWFxwl" TargetMode="External"/><Relationship Id="rId18" Type="http://schemas.openxmlformats.org/officeDocument/2006/relationships/hyperlink" Target="https://drive.google.com/file/d/1eGEu7maoQJpijmygDlF7FC8Qq5pjaUfP/view?usp=drive_link"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yperlink" Target="https://drive.google.com/file/d/13744JDuL-UkjMgOWXRaHh_hGhQRSgpFy/view?usp=drive_link" TargetMode="External"/><Relationship Id="rId7" Type="http://schemas.openxmlformats.org/officeDocument/2006/relationships/image" Target="media/image1.png"/><Relationship Id="rId12" Type="http://schemas.openxmlformats.org/officeDocument/2006/relationships/hyperlink" Target="https://alianzaddhh.org/informe-de-posicionamiento-sobre-coyuntura-y-situacion-de-derechos-humanos-colectivos-y-de-la-naturaleza-ecuador-periodo-2024-2026-primer-cuatrimestre/" TargetMode="External"/><Relationship Id="rId17" Type="http://schemas.openxmlformats.org/officeDocument/2006/relationships/hyperlink" Target="https://drive.google.com/file/d/1lbNftukKmqD7Ibz0SYUUys_Cqvuo74Xk/view?usp=drive_lin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trapi.lexis.com.ec/uploads/Decreto_Ejecutivo_No_191_20250927192025_20250927192035_compressed_9e4b07e717.pdf" TargetMode="External"/><Relationship Id="rId20" Type="http://schemas.openxmlformats.org/officeDocument/2006/relationships/hyperlink" Target="https://drive.google.com/file/d/13744JDuL-UkjMgOWXRaHh_hGhQRSgpFy/view?usp=drive_lin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acc.corteconstitucional.gob.ec/storage/api/v1/10_DWL_FL/e2NhcnBldGE6J3RyYW1pdGUnLCB1dWlkOicyOGE1NTExYS03YjZkLTQyNDMtYmI4NC1iZDg3OGQ5NzcwYmEucGRmJ3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gob.ec/sites/default/files/regulations/2026-03/Ley%20Orga%CC%81nica%20de%20Transparencia%20Social.pdf" TargetMode="External"/><Relationship Id="rId23" Type="http://schemas.openxmlformats.org/officeDocument/2006/relationships/hyperlink" Target="https://drive.google.com/file/d/13744JDuL-UkjMgOWXRaHh_hGhQRSgpFy/view?usp=drive_link" TargetMode="External"/><Relationship Id="rId28" Type="http://schemas.openxmlformats.org/officeDocument/2006/relationships/customXml" Target="../customXml/item3.xml"/><Relationship Id="rId10" Type="http://schemas.openxmlformats.org/officeDocument/2006/relationships/hyperlink" Target="https://www.alianzaceibo.org/guardia-indigena-ejerciendo-derechos-defendiendo-vida-y-territorio/" TargetMode="External"/><Relationship Id="rId19" Type="http://schemas.openxmlformats.org/officeDocument/2006/relationships/hyperlink" Target="https://drive.google.com/file/d/1lbNftukKmqD7Ibz0SYUUys_Cqvuo74Xk/view?usp=drive_link" TargetMode="External"/><Relationship Id="rId4" Type="http://schemas.openxmlformats.org/officeDocument/2006/relationships/webSettings" Target="webSettings.xml"/><Relationship Id="rId9" Type="http://schemas.openxmlformats.org/officeDocument/2006/relationships/hyperlink" Target="https://www.lahora.com.ec/politica/Secretaria-de-Pueblos-y-Nacionalidades-quien-es-el-presidente-de-la-Federacion-Interprovincial-de-Centros-Shuar-20250530-0015.html" TargetMode="External"/><Relationship Id="rId14" Type="http://schemas.openxmlformats.org/officeDocument/2006/relationships/hyperlink" Target="https://www.cambio16.com/bloquean-cuentas-bancarias-a-defensores-ambientales-en-ecuador/" TargetMode="External"/><Relationship Id="rId22" Type="http://schemas.openxmlformats.org/officeDocument/2006/relationships/hyperlink" Target="https://drive.google.com/file/d/1lbNftukKmqD7Ibz0SYUUys_Cqvuo74Xk/view?usp=drive_link" TargetMode="External"/><Relationship Id="rId27"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Alianza de Organizaciones por los Derechos Humanos, Ecuador</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E5939FB0-817F-4867-9B05-FFD535DAE342}"/>
</file>

<file path=customXml/itemProps2.xml><?xml version="1.0" encoding="utf-8"?>
<ds:datastoreItem xmlns:ds="http://schemas.openxmlformats.org/officeDocument/2006/customXml" ds:itemID="{FF0D79DE-8A25-4FAA-B94E-12B08E69A3F7}"/>
</file>

<file path=customXml/itemProps3.xml><?xml version="1.0" encoding="utf-8"?>
<ds:datastoreItem xmlns:ds="http://schemas.openxmlformats.org/officeDocument/2006/customXml" ds:itemID="{350CAB03-AE7D-4ADD-BFE9-10C205287999}"/>
</file>

<file path=docProps/app.xml><?xml version="1.0" encoding="utf-8"?>
<Properties xmlns="http://schemas.openxmlformats.org/officeDocument/2006/extended-properties" xmlns:vt="http://schemas.openxmlformats.org/officeDocument/2006/docPropsVTypes">
  <Template>Normal.dotm</Template>
  <TotalTime>227</TotalTime>
  <Pages>8</Pages>
  <Words>3548</Words>
  <Characters>19516</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potes</dc:creator>
  <cp:keywords/>
  <dc:description/>
  <cp:lastModifiedBy>veronica potes</cp:lastModifiedBy>
  <cp:revision>10</cp:revision>
  <dcterms:created xsi:type="dcterms:W3CDTF">2026-06-30T17:13:00Z</dcterms:created>
  <dcterms:modified xsi:type="dcterms:W3CDTF">2026-07-15T21:16:00Z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