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1514" w14:textId="77777777" w:rsidR="005111B0" w:rsidRDefault="00000000">
      <w:pPr>
        <w:jc w:val="center"/>
        <w:rPr>
          <w:rFonts w:ascii="Garamond" w:eastAsia="Garamond" w:hAnsi="Garamond" w:cs="Garamond"/>
          <w:b/>
          <w:bCs/>
          <w:color w:val="134F5C"/>
          <w:sz w:val="30"/>
          <w:szCs w:val="30"/>
        </w:rPr>
      </w:pPr>
      <w:r>
        <w:rPr>
          <w:rFonts w:ascii="Garamond" w:eastAsia="Garamond" w:hAnsi="Garamond" w:cs="Garamond"/>
          <w:b/>
          <w:bCs/>
          <w:color w:val="134F5C"/>
          <w:sz w:val="30"/>
          <w:szCs w:val="30"/>
        </w:rPr>
        <w:t>Draft General Comment No. 38 on Article 22 (on the right to freedom of association) of the International Covenant on Civil and Political Rights</w:t>
      </w:r>
      <w:r>
        <w:rPr>
          <w:rFonts w:ascii="Garamond" w:eastAsia="Garamond" w:hAnsi="Garamond" w:cs="Garamond"/>
          <w:b/>
          <w:bCs/>
          <w:color w:val="134F5C"/>
          <w:sz w:val="30"/>
          <w:szCs w:val="30"/>
        </w:rPr>
        <w:br/>
      </w:r>
      <w:r>
        <w:rPr>
          <w:rFonts w:ascii="Garamond" w:eastAsia="Garamond" w:hAnsi="Garamond" w:cs="Garamond"/>
          <w:b/>
          <w:bCs/>
          <w:color w:val="134F5C"/>
          <w:sz w:val="28"/>
          <w:szCs w:val="28"/>
        </w:rPr>
        <w:t>Call for comments</w:t>
      </w:r>
      <w:r>
        <w:rPr>
          <w:rFonts w:ascii="Garamond" w:eastAsia="Garamond" w:hAnsi="Garamond" w:cs="Garamond"/>
          <w:b/>
          <w:bCs/>
          <w:color w:val="134F5C"/>
          <w:sz w:val="30"/>
          <w:szCs w:val="30"/>
        </w:rPr>
        <w:t xml:space="preserve"> </w:t>
      </w:r>
    </w:p>
    <w:p w14:paraId="6E974713" w14:textId="77777777" w:rsidR="005111B0" w:rsidRDefault="00000000">
      <w:pPr>
        <w:jc w:val="center"/>
        <w:rPr>
          <w:rFonts w:ascii="Garamond" w:eastAsia="Garamond" w:hAnsi="Garamond" w:cs="Garamond"/>
          <w:b/>
          <w:bCs/>
          <w:i/>
          <w:iCs/>
          <w:color w:val="666666"/>
        </w:rPr>
      </w:pPr>
      <w:r>
        <w:rPr>
          <w:rFonts w:ascii="Garamond" w:eastAsia="Garamond" w:hAnsi="Garamond" w:cs="Garamond"/>
          <w:b/>
          <w:bCs/>
          <w:i/>
          <w:iCs/>
          <w:color w:val="666666"/>
        </w:rPr>
        <w:t>15 July 2026</w:t>
      </w:r>
    </w:p>
    <w:p w14:paraId="3C8EA78D" w14:textId="77777777" w:rsidR="005111B0" w:rsidRDefault="005111B0">
      <w:pPr>
        <w:jc w:val="both"/>
        <w:rPr>
          <w:rFonts w:ascii="Garamond" w:eastAsia="Garamond" w:hAnsi="Garamond" w:cs="Garamond"/>
        </w:rPr>
      </w:pPr>
    </w:p>
    <w:p w14:paraId="47BEAB9B" w14:textId="77777777" w:rsidR="005111B0" w:rsidRDefault="00000000">
      <w:pPr>
        <w:jc w:val="both"/>
        <w:rPr>
          <w:rFonts w:ascii="Garamond" w:eastAsia="Garamond" w:hAnsi="Garamond" w:cs="Garamond"/>
        </w:rPr>
      </w:pPr>
      <w:r>
        <w:rPr>
          <w:rFonts w:ascii="Garamond" w:eastAsia="Garamond" w:hAnsi="Garamond" w:cs="Garamond"/>
        </w:rPr>
        <w:t>The Center for International Environmental Law (CIEL) warmly welcomes the Human Rights Committee’s draft General Comment No. 38 on Article 22, which provides a critical framework for safeguarding civic space globally. The enclosed textual suggestions focus primarily on strengthening protections for environmental human rights defenders and groups, as well as mentioning explicitly the right to a clean, healthy, and sustainable environment, ensuring the final text effectively addresses contemporary challenges to the right to freedom of association.</w:t>
      </w:r>
    </w:p>
    <w:p w14:paraId="78CA3BE9" w14:textId="77777777" w:rsidR="005111B0" w:rsidRDefault="005111B0">
      <w:pPr>
        <w:jc w:val="both"/>
        <w:rPr>
          <w:rFonts w:ascii="Garamond" w:eastAsia="Garamond" w:hAnsi="Garamond" w:cs="Garamond"/>
        </w:rPr>
      </w:pPr>
    </w:p>
    <w:p w14:paraId="01695B59" w14:textId="77777777" w:rsidR="005111B0" w:rsidRDefault="00000000">
      <w:pPr>
        <w:jc w:val="both"/>
        <w:rPr>
          <w:rFonts w:ascii="Garamond" w:eastAsia="Garamond" w:hAnsi="Garamond" w:cs="Garamond"/>
          <w:b/>
          <w:bCs/>
        </w:rPr>
      </w:pPr>
      <w:r>
        <w:rPr>
          <w:rFonts w:ascii="Garamond" w:eastAsia="Garamond" w:hAnsi="Garamond" w:cs="Garamond"/>
          <w:b/>
          <w:bCs/>
        </w:rPr>
        <w:t xml:space="preserve">The amendments suggested </w:t>
      </w:r>
      <w:proofErr w:type="gramStart"/>
      <w:r>
        <w:rPr>
          <w:rFonts w:ascii="Garamond" w:eastAsia="Garamond" w:hAnsi="Garamond" w:cs="Garamond"/>
          <w:b/>
          <w:bCs/>
        </w:rPr>
        <w:t>include</w:t>
      </w:r>
      <w:proofErr w:type="gramEnd"/>
      <w:r>
        <w:rPr>
          <w:rFonts w:ascii="Garamond" w:eastAsia="Garamond" w:hAnsi="Garamond" w:cs="Garamond"/>
          <w:b/>
          <w:bCs/>
        </w:rPr>
        <w:t>:</w:t>
      </w:r>
    </w:p>
    <w:p w14:paraId="41E228FE" w14:textId="77777777" w:rsidR="005111B0" w:rsidRDefault="005111B0">
      <w:pPr>
        <w:jc w:val="both"/>
        <w:rPr>
          <w:rFonts w:ascii="Garamond" w:eastAsia="Garamond" w:hAnsi="Garamond" w:cs="Garamond"/>
        </w:rPr>
      </w:pPr>
    </w:p>
    <w:p w14:paraId="1C4B72F1" w14:textId="77777777" w:rsidR="005111B0" w:rsidRDefault="00000000">
      <w:pPr>
        <w:tabs>
          <w:tab w:val="left" w:pos="1701"/>
          <w:tab w:val="left" w:pos="2268"/>
        </w:tabs>
        <w:spacing w:after="120"/>
        <w:jc w:val="both"/>
        <w:rPr>
          <w:rFonts w:ascii="Times New Roman" w:eastAsia="Times New Roman" w:hAnsi="Times New Roman" w:cs="Times New Roman"/>
        </w:rPr>
      </w:pPr>
      <w:r>
        <w:rPr>
          <w:rFonts w:ascii="Times New Roman" w:eastAsia="Times New Roman" w:hAnsi="Times New Roman" w:cs="Times New Roman"/>
        </w:rPr>
        <w:t xml:space="preserve">3. More broadly, the right to freedom of association is a valuable tool to defend, promote, educate, raise awareness of, recognize and realize a wide range of other interests and rights, including economic, social, cultural, and environmental rights, </w:t>
      </w:r>
      <w:r>
        <w:rPr>
          <w:rFonts w:ascii="Times New Roman" w:eastAsia="Times New Roman" w:hAnsi="Times New Roman" w:cs="Times New Roman"/>
          <w:b/>
          <w:bCs/>
          <w:color w:val="FF0000"/>
        </w:rPr>
        <w:t>as well as the right to a clean, healthy and sustainable environment</w:t>
      </w:r>
      <w:r>
        <w:rPr>
          <w:rFonts w:ascii="Times New Roman" w:eastAsia="Times New Roman" w:hAnsi="Times New Roman" w:cs="Times New Roman"/>
          <w:color w:val="FF0000"/>
        </w:rPr>
        <w:t>.</w:t>
      </w:r>
      <w:r>
        <w:rPr>
          <w:rFonts w:ascii="Times New Roman" w:eastAsia="Times New Roman" w:hAnsi="Times New Roman" w:cs="Times New Roman"/>
        </w:rPr>
        <w:t xml:space="preserve"> Failure to respect and ensure the right to freedom of association is typically indicative of a broader repressive society.</w:t>
      </w:r>
      <w:r>
        <w:rPr>
          <w:rFonts w:ascii="Times New Roman" w:eastAsia="Times New Roman" w:hAnsi="Times New Roman" w:cs="Times New Roman"/>
          <w:vertAlign w:val="superscript"/>
        </w:rPr>
        <w:t xml:space="preserve"> </w:t>
      </w:r>
      <w:r>
        <w:rPr>
          <w:rFonts w:ascii="Times New Roman" w:eastAsia="Times New Roman" w:hAnsi="Times New Roman" w:cs="Times New Roman"/>
        </w:rPr>
        <w:t>In this context, grass-roots organizations,</w:t>
      </w:r>
      <w:r>
        <w:rPr>
          <w:rFonts w:ascii="Times New Roman" w:eastAsia="Times New Roman" w:hAnsi="Times New Roman" w:cs="Times New Roman"/>
          <w:b/>
          <w:bCs/>
        </w:rPr>
        <w:t xml:space="preserve"> </w:t>
      </w:r>
      <w:r>
        <w:rPr>
          <w:rFonts w:ascii="Times New Roman" w:eastAsia="Times New Roman" w:hAnsi="Times New Roman" w:cs="Times New Roman"/>
          <w:b/>
          <w:bCs/>
          <w:color w:val="FF0000"/>
        </w:rPr>
        <w:t>climate movements, networks of environmental human rights defenders,</w:t>
      </w:r>
      <w:r>
        <w:rPr>
          <w:rFonts w:ascii="Times New Roman" w:eastAsia="Times New Roman" w:hAnsi="Times New Roman" w:cs="Times New Roman"/>
          <w:color w:val="FF0000"/>
        </w:rPr>
        <w:t xml:space="preserve"> </w:t>
      </w:r>
      <w:r>
        <w:rPr>
          <w:rFonts w:ascii="Times New Roman" w:eastAsia="Times New Roman" w:hAnsi="Times New Roman" w:cs="Times New Roman"/>
          <w:b/>
          <w:bCs/>
          <w:color w:val="FF0000"/>
        </w:rPr>
        <w:t>movements working on non-discrimination, women’s and gender rights, and migrants' rights</w:t>
      </w:r>
      <w:r>
        <w:rPr>
          <w:rFonts w:ascii="Times New Roman" w:eastAsia="Times New Roman" w:hAnsi="Times New Roman" w:cs="Times New Roman"/>
          <w:b/>
          <w:bCs/>
        </w:rPr>
        <w:t xml:space="preserve">, </w:t>
      </w:r>
      <w:r>
        <w:rPr>
          <w:rFonts w:ascii="Times New Roman" w:eastAsia="Times New Roman" w:hAnsi="Times New Roman" w:cs="Times New Roman"/>
        </w:rPr>
        <w:t xml:space="preserve">trade unions and political parties, have been instrumental in achieving fundamental goals and promoting values such as peace, social justice, sustainable development, </w:t>
      </w:r>
      <w:r>
        <w:rPr>
          <w:rFonts w:ascii="Times New Roman" w:eastAsia="Times New Roman" w:hAnsi="Times New Roman" w:cs="Times New Roman"/>
          <w:b/>
          <w:bCs/>
          <w:color w:val="FF0000"/>
        </w:rPr>
        <w:t>climate justice</w:t>
      </w:r>
      <w:r>
        <w:rPr>
          <w:rFonts w:ascii="Times New Roman" w:eastAsia="Times New Roman" w:hAnsi="Times New Roman" w:cs="Times New Roman"/>
        </w:rPr>
        <w:t xml:space="preserve"> and the protection of the environment.</w:t>
      </w:r>
    </w:p>
    <w:p w14:paraId="5F2C81B8" w14:textId="77777777" w:rsidR="00172150" w:rsidRDefault="00172150">
      <w:pPr>
        <w:tabs>
          <w:tab w:val="left" w:pos="1701"/>
          <w:tab w:val="left" w:pos="2268"/>
        </w:tabs>
        <w:spacing w:after="120"/>
        <w:jc w:val="both"/>
        <w:rPr>
          <w:rFonts w:ascii="Times New Roman" w:eastAsia="Times New Roman" w:hAnsi="Times New Roman" w:cs="Times New Roman"/>
        </w:rPr>
      </w:pPr>
      <w:bookmarkStart w:id="0" w:name="_5gdzgnrronyo" w:colFirst="0" w:colLast="0"/>
      <w:bookmarkEnd w:id="0"/>
    </w:p>
    <w:p w14:paraId="33B1E7A8" w14:textId="3B379A70" w:rsidR="005111B0" w:rsidRDefault="00000000">
      <w:pPr>
        <w:tabs>
          <w:tab w:val="left" w:pos="1701"/>
          <w:tab w:val="left" w:pos="2268"/>
        </w:tabs>
        <w:spacing w:after="120"/>
        <w:jc w:val="both"/>
        <w:rPr>
          <w:rFonts w:ascii="Times New Roman" w:eastAsia="Times New Roman" w:hAnsi="Times New Roman" w:cs="Times New Roman"/>
        </w:rPr>
      </w:pPr>
      <w:r>
        <w:rPr>
          <w:rFonts w:ascii="Times New Roman" w:eastAsia="Times New Roman" w:hAnsi="Times New Roman" w:cs="Times New Roman"/>
        </w:rPr>
        <w:t xml:space="preserve">9. While the right to freedom of association in article 22 (1) applies to everyone, restrictions and interferences of the right may have a differentiated and heightened impact on marginalized, disenfranchised or disadvantaged persons, groups, communities and peoples. </w:t>
      </w:r>
      <w:proofErr w:type="spellStart"/>
      <w:r>
        <w:rPr>
          <w:rFonts w:ascii="Times New Roman" w:eastAsia="Times New Roman" w:hAnsi="Times New Roman" w:cs="Times New Roman"/>
          <w:b/>
          <w:bCs/>
          <w:color w:val="FF0000"/>
        </w:rPr>
        <w:t>W</w:t>
      </w:r>
      <w:r>
        <w:rPr>
          <w:rFonts w:ascii="Times New Roman" w:eastAsia="Times New Roman" w:hAnsi="Times New Roman" w:cs="Times New Roman"/>
          <w:strike/>
          <w:color w:val="FF0000"/>
        </w:rPr>
        <w:t>Particularly</w:t>
      </w:r>
      <w:proofErr w:type="spellEnd"/>
      <w:r>
        <w:rPr>
          <w:rFonts w:ascii="Times New Roman" w:eastAsia="Times New Roman" w:hAnsi="Times New Roman" w:cs="Times New Roman"/>
          <w:strike/>
          <w:color w:val="FF0000"/>
        </w:rPr>
        <w:t xml:space="preserve"> affected individuals include w</w:t>
      </w:r>
      <w:r>
        <w:rPr>
          <w:rFonts w:ascii="Times New Roman" w:eastAsia="Times New Roman" w:hAnsi="Times New Roman" w:cs="Times New Roman"/>
        </w:rPr>
        <w:t xml:space="preserve">omen, especially women human rights defenders, women journalists and women trade unions members and representatives </w:t>
      </w:r>
      <w:r>
        <w:rPr>
          <w:rFonts w:ascii="Times New Roman" w:eastAsia="Times New Roman" w:hAnsi="Times New Roman" w:cs="Times New Roman"/>
          <w:b/>
          <w:bCs/>
          <w:color w:val="FF0000"/>
        </w:rPr>
        <w:t>are more severely impacted when the freedom of association is restricted.</w:t>
      </w:r>
      <w:r>
        <w:rPr>
          <w:rFonts w:ascii="Times New Roman" w:eastAsia="Times New Roman" w:hAnsi="Times New Roman" w:cs="Times New Roman"/>
        </w:rPr>
        <w:t xml:space="preserve"> </w:t>
      </w:r>
      <w:r>
        <w:rPr>
          <w:rFonts w:ascii="Times New Roman" w:eastAsia="Times New Roman" w:hAnsi="Times New Roman" w:cs="Times New Roman"/>
          <w:b/>
          <w:bCs/>
          <w:color w:val="FF0000"/>
        </w:rPr>
        <w:t>Likewise</w:t>
      </w:r>
      <w:r>
        <w:rPr>
          <w:rFonts w:ascii="Times New Roman" w:eastAsia="Times New Roman" w:hAnsi="Times New Roman" w:cs="Times New Roman"/>
        </w:rPr>
        <w:t>, Indigenous Peoples, people living in rural or remote areas, people living in overseas territories, environmental and land rights defenders,</w:t>
      </w:r>
      <w:r>
        <w:rPr>
          <w:rFonts w:ascii="Times New Roman" w:eastAsia="Times New Roman" w:hAnsi="Times New Roman" w:cs="Times New Roman"/>
          <w:b/>
          <w:bCs/>
          <w:color w:val="FF0000"/>
        </w:rPr>
        <w:t xml:space="preserve"> including climate activists,  </w:t>
      </w:r>
      <w:r>
        <w:rPr>
          <w:rFonts w:ascii="Times New Roman" w:eastAsia="Times New Roman" w:hAnsi="Times New Roman" w:cs="Times New Roman"/>
        </w:rPr>
        <w:t>children and young people, trade union members and representatives, LGBTQI+ persons,  persons with disabilities,  persons who use drugs, migrants and asylum-seekers,  convicted persons, in particular when they are deprived of their voting rights,  and members of political parties,</w:t>
      </w:r>
      <w:r>
        <w:rPr>
          <w:rFonts w:ascii="Times New Roman" w:eastAsia="Times New Roman" w:hAnsi="Times New Roman" w:cs="Times New Roman"/>
          <w:b/>
          <w:bCs/>
          <w:color w:val="FF0000"/>
        </w:rPr>
        <w:t xml:space="preserve"> </w:t>
      </w:r>
      <w:r>
        <w:rPr>
          <w:rFonts w:ascii="Times New Roman" w:eastAsia="Times New Roman" w:hAnsi="Times New Roman" w:cs="Times New Roman"/>
        </w:rPr>
        <w:t xml:space="preserve">especially when they are in opposition to the Government </w:t>
      </w:r>
      <w:r>
        <w:rPr>
          <w:rFonts w:ascii="Times New Roman" w:eastAsia="Times New Roman" w:hAnsi="Times New Roman" w:cs="Times New Roman"/>
          <w:b/>
          <w:bCs/>
          <w:color w:val="FF0000"/>
        </w:rPr>
        <w:t>are particularly affected by restrictions and interference in the exercise of the freedom of association</w:t>
      </w:r>
      <w:r>
        <w:rPr>
          <w:rFonts w:ascii="Times New Roman" w:eastAsia="Times New Roman" w:hAnsi="Times New Roman" w:cs="Times New Roman"/>
        </w:rPr>
        <w:t xml:space="preserve">. Therefore, the right to freedom of association must be interpreted and implemented by taking into consideration the structural and intersecting barriers that might hamper the concrete and effective realization of the right for these </w:t>
      </w:r>
      <w:proofErr w:type="gramStart"/>
      <w:r>
        <w:rPr>
          <w:rFonts w:ascii="Times New Roman" w:eastAsia="Times New Roman" w:hAnsi="Times New Roman" w:cs="Times New Roman"/>
        </w:rPr>
        <w:t>persons</w:t>
      </w:r>
      <w:proofErr w:type="gramEnd"/>
      <w:r>
        <w:rPr>
          <w:rFonts w:ascii="Times New Roman" w:eastAsia="Times New Roman" w:hAnsi="Times New Roman" w:cs="Times New Roman"/>
        </w:rPr>
        <w:t>, groups and communities.</w:t>
      </w:r>
    </w:p>
    <w:p w14:paraId="4B10D9AB" w14:textId="77777777" w:rsidR="005111B0" w:rsidRDefault="005111B0">
      <w:pPr>
        <w:tabs>
          <w:tab w:val="left" w:pos="1701"/>
          <w:tab w:val="left" w:pos="2268"/>
        </w:tabs>
        <w:spacing w:after="120"/>
        <w:jc w:val="both"/>
        <w:rPr>
          <w:rFonts w:ascii="Times New Roman" w:eastAsia="Times New Roman" w:hAnsi="Times New Roman" w:cs="Times New Roman"/>
        </w:rPr>
      </w:pPr>
      <w:bookmarkStart w:id="1" w:name="_7wxdhifj2gwo" w:colFirst="0" w:colLast="0"/>
      <w:bookmarkEnd w:id="1"/>
    </w:p>
    <w:p w14:paraId="607B5374" w14:textId="77777777" w:rsidR="005111B0" w:rsidRDefault="00000000">
      <w:pPr>
        <w:tabs>
          <w:tab w:val="left" w:pos="1701"/>
          <w:tab w:val="left" w:pos="2268"/>
        </w:tabs>
        <w:spacing w:after="120"/>
        <w:jc w:val="both"/>
        <w:rPr>
          <w:rFonts w:ascii="Times New Roman" w:eastAsia="Times New Roman" w:hAnsi="Times New Roman" w:cs="Times New Roman"/>
        </w:rPr>
      </w:pPr>
      <w:bookmarkStart w:id="2" w:name="_whjzql3u2lg" w:colFirst="0" w:colLast="0"/>
      <w:bookmarkEnd w:id="2"/>
      <w:r>
        <w:rPr>
          <w:rFonts w:ascii="Times New Roman" w:eastAsia="Times New Roman" w:hAnsi="Times New Roman" w:cs="Times New Roman"/>
        </w:rPr>
        <w:lastRenderedPageBreak/>
        <w:t xml:space="preserve">10. In addition, the right to freedom of association cannot be recognized only for activities, </w:t>
      </w:r>
      <w:proofErr w:type="spellStart"/>
      <w:r>
        <w:rPr>
          <w:rFonts w:ascii="Times New Roman" w:eastAsia="Times New Roman" w:hAnsi="Times New Roman" w:cs="Times New Roman"/>
        </w:rPr>
        <w:t>programmes</w:t>
      </w:r>
      <w:proofErr w:type="spellEnd"/>
      <w:r>
        <w:rPr>
          <w:rFonts w:ascii="Times New Roman" w:eastAsia="Times New Roman" w:hAnsi="Times New Roman" w:cs="Times New Roman"/>
        </w:rPr>
        <w:t xml:space="preserve"> and discourses that align with the opinions of the Government or </w:t>
      </w:r>
      <w:proofErr w:type="gramStart"/>
      <w:r>
        <w:rPr>
          <w:rFonts w:ascii="Times New Roman" w:eastAsia="Times New Roman" w:hAnsi="Times New Roman" w:cs="Times New Roman"/>
        </w:rPr>
        <w:t>the majority of</w:t>
      </w:r>
      <w:proofErr w:type="gramEnd"/>
      <w:r>
        <w:rPr>
          <w:rFonts w:ascii="Times New Roman" w:eastAsia="Times New Roman" w:hAnsi="Times New Roman" w:cs="Times New Roman"/>
        </w:rPr>
        <w:t xml:space="preserve"> the population in a State Party. The right to freedom of association applies also to ideas, activities and actions that </w:t>
      </w:r>
      <w:r>
        <w:rPr>
          <w:rFonts w:ascii="Times New Roman" w:eastAsia="Times New Roman" w:hAnsi="Times New Roman" w:cs="Times New Roman"/>
          <w:strike/>
          <w:color w:val="FF0000"/>
        </w:rPr>
        <w:t xml:space="preserve">might be </w:t>
      </w:r>
      <w:proofErr w:type="gramStart"/>
      <w:r>
        <w:rPr>
          <w:rFonts w:ascii="Times New Roman" w:eastAsia="Times New Roman" w:hAnsi="Times New Roman" w:cs="Times New Roman"/>
          <w:strike/>
          <w:color w:val="FF0000"/>
        </w:rPr>
        <w:t xml:space="preserve">seen  </w:t>
      </w:r>
      <w:r>
        <w:rPr>
          <w:rFonts w:ascii="Times New Roman" w:eastAsia="Times New Roman" w:hAnsi="Times New Roman" w:cs="Times New Roman"/>
          <w:b/>
          <w:bCs/>
          <w:color w:val="FF0000"/>
        </w:rPr>
        <w:t>may</w:t>
      </w:r>
      <w:proofErr w:type="gramEnd"/>
      <w:r>
        <w:rPr>
          <w:rFonts w:ascii="Times New Roman" w:eastAsia="Times New Roman" w:hAnsi="Times New Roman" w:cs="Times New Roman"/>
          <w:b/>
          <w:bCs/>
          <w:color w:val="FF0000"/>
        </w:rPr>
        <w:t xml:space="preserve"> be regarded by State authorities or sections of society</w:t>
      </w:r>
      <w:r>
        <w:rPr>
          <w:rFonts w:ascii="Times New Roman" w:eastAsia="Times New Roman" w:hAnsi="Times New Roman" w:cs="Times New Roman"/>
        </w:rPr>
        <w:t xml:space="preserve"> as controversial, dissent</w:t>
      </w:r>
      <w:r>
        <w:rPr>
          <w:rFonts w:ascii="Times New Roman" w:eastAsia="Times New Roman" w:hAnsi="Times New Roman" w:cs="Times New Roman"/>
          <w:b/>
          <w:bCs/>
          <w:color w:val="FF0000"/>
        </w:rPr>
        <w:t>ing</w:t>
      </w:r>
      <w:r>
        <w:rPr>
          <w:rFonts w:ascii="Times New Roman" w:eastAsia="Times New Roman" w:hAnsi="Times New Roman" w:cs="Times New Roman"/>
        </w:rPr>
        <w:t xml:space="preserve"> or disruptive. </w:t>
      </w:r>
      <w:r>
        <w:rPr>
          <w:rFonts w:ascii="Times New Roman" w:eastAsia="Times New Roman" w:hAnsi="Times New Roman" w:cs="Times New Roman"/>
          <w:b/>
          <w:bCs/>
          <w:color w:val="FF0000"/>
        </w:rPr>
        <w:t xml:space="preserve">This includes </w:t>
      </w:r>
      <w:proofErr w:type="gramStart"/>
      <w:r>
        <w:rPr>
          <w:rFonts w:ascii="Times New Roman" w:eastAsia="Times New Roman" w:hAnsi="Times New Roman" w:cs="Times New Roman"/>
          <w:b/>
          <w:bCs/>
          <w:strike/>
          <w:color w:val="FF0000"/>
        </w:rPr>
        <w:t xml:space="preserve">including </w:t>
      </w:r>
      <w:r>
        <w:rPr>
          <w:rFonts w:ascii="Times New Roman" w:eastAsia="Times New Roman" w:hAnsi="Times New Roman" w:cs="Times New Roman"/>
        </w:rPr>
        <w:t xml:space="preserve"> </w:t>
      </w:r>
      <w:r>
        <w:rPr>
          <w:rFonts w:ascii="Times New Roman" w:eastAsia="Times New Roman" w:hAnsi="Times New Roman" w:cs="Times New Roman"/>
          <w:b/>
          <w:bCs/>
          <w:color w:val="FF0000"/>
        </w:rPr>
        <w:t>acts</w:t>
      </w:r>
      <w:proofErr w:type="gramEnd"/>
      <w:r>
        <w:rPr>
          <w:rFonts w:ascii="Times New Roman" w:eastAsia="Times New Roman" w:hAnsi="Times New Roman" w:cs="Times New Roman"/>
          <w:b/>
          <w:bCs/>
          <w:color w:val="FF0000"/>
        </w:rPr>
        <w:t xml:space="preserve"> of civil disobedience and advocacy relating to</w:t>
      </w:r>
      <w:r>
        <w:rPr>
          <w:rFonts w:ascii="Times New Roman" w:eastAsia="Times New Roman" w:hAnsi="Times New Roman" w:cs="Times New Roman"/>
        </w:rPr>
        <w:t xml:space="preserve"> human rights, </w:t>
      </w:r>
      <w:r>
        <w:rPr>
          <w:rFonts w:ascii="Times New Roman" w:eastAsia="Times New Roman" w:hAnsi="Times New Roman" w:cs="Times New Roman"/>
          <w:b/>
          <w:bCs/>
          <w:color w:val="FF0000"/>
        </w:rPr>
        <w:t xml:space="preserve">environmental protection, </w:t>
      </w:r>
      <w:r>
        <w:rPr>
          <w:rFonts w:ascii="Times New Roman" w:eastAsia="Times New Roman" w:hAnsi="Times New Roman" w:cs="Times New Roman"/>
        </w:rPr>
        <w:t xml:space="preserve">the denunciation of corruption and other politically sensitive issues.  As the Committee has consistently stressed, the reference to “democratic society” in the context of article 22 indicates that the existence and operation of associations, including those that peacefully promote ideas that are not necessarily </w:t>
      </w:r>
      <w:proofErr w:type="spellStart"/>
      <w:r>
        <w:rPr>
          <w:rFonts w:ascii="Times New Roman" w:eastAsia="Times New Roman" w:hAnsi="Times New Roman" w:cs="Times New Roman"/>
        </w:rPr>
        <w:t>favourably</w:t>
      </w:r>
      <w:proofErr w:type="spellEnd"/>
      <w:r>
        <w:rPr>
          <w:rFonts w:ascii="Times New Roman" w:eastAsia="Times New Roman" w:hAnsi="Times New Roman" w:cs="Times New Roman"/>
        </w:rPr>
        <w:t xml:space="preserve"> viewed by the Government or the majority of the population, are a cornerstone of any democratic society.  Attacks and infringements on the right to freedom of association of minority groups or marginalized persons or communities are thus a crucial barometer of a broader crackdown on human rights, the rule of law and democracy.</w:t>
      </w:r>
    </w:p>
    <w:p w14:paraId="763D7D47" w14:textId="77777777" w:rsidR="005111B0" w:rsidRDefault="005111B0">
      <w:pPr>
        <w:tabs>
          <w:tab w:val="left" w:pos="1701"/>
          <w:tab w:val="left" w:pos="2268"/>
        </w:tabs>
        <w:spacing w:after="120"/>
        <w:jc w:val="both"/>
        <w:rPr>
          <w:rFonts w:ascii="Times New Roman" w:eastAsia="Times New Roman" w:hAnsi="Times New Roman" w:cs="Times New Roman"/>
        </w:rPr>
      </w:pPr>
      <w:bookmarkStart w:id="3" w:name="_e2nswffgm0yq" w:colFirst="0" w:colLast="0"/>
      <w:bookmarkEnd w:id="3"/>
    </w:p>
    <w:p w14:paraId="2FFBFB77" w14:textId="77777777" w:rsidR="005111B0" w:rsidRDefault="00000000">
      <w:pPr>
        <w:tabs>
          <w:tab w:val="left" w:pos="1701"/>
          <w:tab w:val="left" w:pos="2268"/>
        </w:tabs>
        <w:spacing w:after="120"/>
        <w:jc w:val="both"/>
        <w:rPr>
          <w:rFonts w:ascii="Times New Roman" w:eastAsia="Times New Roman" w:hAnsi="Times New Roman" w:cs="Times New Roman"/>
        </w:rPr>
      </w:pPr>
      <w:r>
        <w:rPr>
          <w:rFonts w:ascii="Times New Roman" w:eastAsia="Times New Roman" w:hAnsi="Times New Roman" w:cs="Times New Roman"/>
        </w:rPr>
        <w:t>12.</w:t>
      </w:r>
      <w:r>
        <w:rPr>
          <w:rFonts w:ascii="Times New Roman" w:eastAsia="Times New Roman" w:hAnsi="Times New Roman" w:cs="Times New Roman"/>
          <w:b/>
          <w:bCs/>
        </w:rPr>
        <w:t xml:space="preserve"> </w:t>
      </w:r>
      <w:r>
        <w:rPr>
          <w:rFonts w:ascii="Times New Roman" w:eastAsia="Times New Roman" w:hAnsi="Times New Roman" w:cs="Times New Roman"/>
        </w:rPr>
        <w:t xml:space="preserve">Associations are organized, independent, non-profit entities that bring people together voluntarily to pursue common </w:t>
      </w:r>
      <w:r>
        <w:rPr>
          <w:rFonts w:ascii="Times New Roman" w:eastAsia="Times New Roman" w:hAnsi="Times New Roman" w:cs="Times New Roman"/>
          <w:b/>
          <w:bCs/>
          <w:color w:val="FF0000"/>
        </w:rPr>
        <w:t xml:space="preserve">legitimate </w:t>
      </w:r>
      <w:r>
        <w:rPr>
          <w:rFonts w:ascii="Times New Roman" w:eastAsia="Times New Roman" w:hAnsi="Times New Roman" w:cs="Times New Roman"/>
          <w:b/>
          <w:bCs/>
          <w:strike/>
          <w:color w:val="FF0000"/>
        </w:rPr>
        <w:t xml:space="preserve">licit </w:t>
      </w:r>
      <w:r>
        <w:rPr>
          <w:rFonts w:ascii="Times New Roman" w:eastAsia="Times New Roman" w:hAnsi="Times New Roman" w:cs="Times New Roman"/>
        </w:rPr>
        <w:t>goals,</w:t>
      </w:r>
      <w:r>
        <w:rPr>
          <w:rFonts w:ascii="Times New Roman" w:eastAsia="Times New Roman" w:hAnsi="Times New Roman" w:cs="Times New Roman"/>
          <w:strike/>
        </w:rPr>
        <w:t xml:space="preserve"> </w:t>
      </w:r>
      <w:r>
        <w:rPr>
          <w:rFonts w:ascii="Times New Roman" w:eastAsia="Times New Roman" w:hAnsi="Times New Roman" w:cs="Times New Roman"/>
        </w:rPr>
        <w:t xml:space="preserve">interests or activities. They may include political parties, non-governmental organizations, international and cross-border civic organizations, </w:t>
      </w:r>
      <w:r>
        <w:rPr>
          <w:rFonts w:ascii="Times New Roman" w:eastAsia="Times New Roman" w:hAnsi="Times New Roman" w:cs="Times New Roman"/>
          <w:b/>
          <w:bCs/>
          <w:color w:val="FF0000"/>
        </w:rPr>
        <w:t xml:space="preserve">transnational environmental and climate networks, </w:t>
      </w:r>
      <w:r>
        <w:rPr>
          <w:rFonts w:ascii="Times New Roman" w:eastAsia="Times New Roman" w:hAnsi="Times New Roman" w:cs="Times New Roman"/>
        </w:rPr>
        <w:t xml:space="preserve">religious organizations, social movements, </w:t>
      </w:r>
      <w:r>
        <w:rPr>
          <w:rFonts w:ascii="Times New Roman" w:eastAsia="Times New Roman" w:hAnsi="Times New Roman" w:cs="Times New Roman"/>
          <w:b/>
          <w:bCs/>
          <w:color w:val="FF0000"/>
        </w:rPr>
        <w:t xml:space="preserve">frontline and grassroots community collectives, </w:t>
      </w:r>
      <w:r>
        <w:rPr>
          <w:rFonts w:ascii="Times New Roman" w:eastAsia="Times New Roman" w:hAnsi="Times New Roman" w:cs="Times New Roman"/>
        </w:rPr>
        <w:t xml:space="preserve">trade unions, including federations and confederations, school- and university-based associations, professional associations, such as bar associations, legal aid organizations, foundations, and clubs. </w:t>
      </w:r>
    </w:p>
    <w:p w14:paraId="70EAC2A5" w14:textId="77777777" w:rsidR="005111B0" w:rsidRDefault="005111B0">
      <w:pPr>
        <w:tabs>
          <w:tab w:val="left" w:pos="1701"/>
          <w:tab w:val="left" w:pos="2268"/>
        </w:tabs>
        <w:spacing w:after="120"/>
        <w:jc w:val="both"/>
        <w:rPr>
          <w:rFonts w:ascii="Times New Roman" w:eastAsia="Times New Roman" w:hAnsi="Times New Roman" w:cs="Times New Roman"/>
        </w:rPr>
      </w:pPr>
    </w:p>
    <w:p w14:paraId="793A198A" w14:textId="77777777" w:rsidR="005111B0" w:rsidRDefault="00000000">
      <w:pPr>
        <w:tabs>
          <w:tab w:val="left" w:pos="1701"/>
          <w:tab w:val="left" w:pos="2268"/>
        </w:tabs>
        <w:spacing w:after="120"/>
        <w:jc w:val="both"/>
        <w:rPr>
          <w:rFonts w:ascii="Times New Roman" w:eastAsia="Times New Roman" w:hAnsi="Times New Roman" w:cs="Times New Roman"/>
        </w:rPr>
      </w:pPr>
      <w:r>
        <w:rPr>
          <w:rFonts w:ascii="Times New Roman" w:eastAsia="Times New Roman" w:hAnsi="Times New Roman" w:cs="Times New Roman"/>
        </w:rPr>
        <w:t>30.  Applied to the right to freedom of association, the obligation to respect means that States Parties must refrain from restricting the right de jure</w:t>
      </w:r>
      <w:r>
        <w:rPr>
          <w:rFonts w:ascii="Times New Roman" w:eastAsia="Times New Roman" w:hAnsi="Times New Roman" w:cs="Times New Roman"/>
          <w:i/>
          <w:iCs/>
        </w:rPr>
        <w:t xml:space="preserve"> </w:t>
      </w:r>
      <w:r>
        <w:rPr>
          <w:rFonts w:ascii="Times New Roman" w:eastAsia="Times New Roman" w:hAnsi="Times New Roman" w:cs="Times New Roman"/>
        </w:rPr>
        <w:t>or de facto</w:t>
      </w:r>
      <w:r>
        <w:rPr>
          <w:rFonts w:ascii="Times New Roman" w:eastAsia="Times New Roman" w:hAnsi="Times New Roman" w:cs="Times New Roman"/>
          <w:i/>
          <w:iCs/>
        </w:rPr>
        <w:t xml:space="preserve"> </w:t>
      </w:r>
      <w:r>
        <w:rPr>
          <w:rFonts w:ascii="Times New Roman" w:eastAsia="Times New Roman" w:hAnsi="Times New Roman" w:cs="Times New Roman"/>
        </w:rPr>
        <w:t xml:space="preserve">in a way that would be incompatible with article 22 (2) (see </w:t>
      </w:r>
      <w:r>
        <w:rPr>
          <w:rFonts w:ascii="Times New Roman" w:eastAsia="Times New Roman" w:hAnsi="Times New Roman" w:cs="Times New Roman"/>
          <w:color w:val="0D0D0D"/>
        </w:rPr>
        <w:t>sect. V below</w:t>
      </w:r>
      <w:r>
        <w:rPr>
          <w:rFonts w:ascii="Times New Roman" w:eastAsia="Times New Roman" w:hAnsi="Times New Roman" w:cs="Times New Roman"/>
        </w:rPr>
        <w:t xml:space="preserve">). Accordingly, measures that are prohibited include arbitrarily refusing to register an association, dissolving or banning an association, imposing a travel ban on association members or making it compulsory for them to request travel authorization, ban on the right to enter their own country, withdrawing association members’ nationality, cancelling their passports and identity documents, performing surveillance, including online, of the organization’s activities, infiltrating an association with covert police or intelligence services, carrying out police raids and search of private homes, reprisals, and harassment of association’s members, including through administrative proceedings and requirements, misuse of counter-terrorism and anti‑money-laundering measures, </w:t>
      </w:r>
      <w:r>
        <w:rPr>
          <w:rFonts w:ascii="Times New Roman" w:eastAsia="Times New Roman" w:hAnsi="Times New Roman" w:cs="Times New Roman"/>
          <w:b/>
          <w:bCs/>
          <w:color w:val="FF0000"/>
        </w:rPr>
        <w:t xml:space="preserve">adopting overbroad classifications of environmental advocacy as violent extremism or "eco-terrorism", </w:t>
      </w:r>
      <w:r>
        <w:rPr>
          <w:rFonts w:ascii="Times New Roman" w:eastAsia="Times New Roman" w:hAnsi="Times New Roman" w:cs="Times New Roman"/>
        </w:rPr>
        <w:t xml:space="preserve">imposing restrictive and burdensome funding or tax regulations on associations, criminalizing association activities or membership or criminalizing legal aid associations, and instrumentalizing defamation proceedings and other means of “strategic litigation against public participation” (SLAPP lawsuits). Such measures impede the full </w:t>
      </w:r>
      <w:proofErr w:type="spellStart"/>
      <w:r>
        <w:rPr>
          <w:rFonts w:ascii="Times New Roman" w:eastAsia="Times New Roman" w:hAnsi="Times New Roman" w:cs="Times New Roman"/>
        </w:rPr>
        <w:t>realisation</w:t>
      </w:r>
      <w:proofErr w:type="spellEnd"/>
      <w:r>
        <w:rPr>
          <w:rFonts w:ascii="Times New Roman" w:eastAsia="Times New Roman" w:hAnsi="Times New Roman" w:cs="Times New Roman"/>
        </w:rPr>
        <w:t xml:space="preserve"> of the right and may have a chilling effect on its exercise.</w:t>
      </w:r>
    </w:p>
    <w:p w14:paraId="4E2C0350" w14:textId="77777777" w:rsidR="00172150" w:rsidRDefault="00172150">
      <w:pPr>
        <w:tabs>
          <w:tab w:val="left" w:pos="1701"/>
          <w:tab w:val="left" w:pos="2268"/>
        </w:tabs>
        <w:spacing w:after="120"/>
        <w:jc w:val="both"/>
        <w:rPr>
          <w:rFonts w:ascii="Times New Roman" w:eastAsia="Times New Roman" w:hAnsi="Times New Roman" w:cs="Times New Roman"/>
        </w:rPr>
      </w:pPr>
    </w:p>
    <w:p w14:paraId="44F2CF06" w14:textId="4979512D" w:rsidR="005111B0" w:rsidRDefault="00000000">
      <w:pPr>
        <w:tabs>
          <w:tab w:val="left" w:pos="1701"/>
          <w:tab w:val="left" w:pos="2268"/>
        </w:tabs>
        <w:spacing w:after="120"/>
        <w:jc w:val="both"/>
        <w:rPr>
          <w:rFonts w:ascii="Times New Roman" w:eastAsia="Times New Roman" w:hAnsi="Times New Roman" w:cs="Times New Roman"/>
          <w:b/>
          <w:bCs/>
          <w:color w:val="FF0000"/>
        </w:rPr>
      </w:pPr>
      <w:r>
        <w:rPr>
          <w:rFonts w:ascii="Times New Roman" w:eastAsia="Times New Roman" w:hAnsi="Times New Roman" w:cs="Times New Roman"/>
        </w:rPr>
        <w:t xml:space="preserve">35. Under the positive obligations of article 22, States Parties are required to ensure the existence of a functioning environment for associations. They are also obliged to address hostile actions, discourses and narratives, including online, </w:t>
      </w:r>
      <w:proofErr w:type="gramStart"/>
      <w:r>
        <w:rPr>
          <w:rFonts w:ascii="Times New Roman" w:eastAsia="Times New Roman" w:hAnsi="Times New Roman" w:cs="Times New Roman"/>
        </w:rPr>
        <w:t>vis-à-vis</w:t>
      </w:r>
      <w:proofErr w:type="gramEnd"/>
      <w:r>
        <w:rPr>
          <w:rFonts w:ascii="Times New Roman" w:eastAsia="Times New Roman" w:hAnsi="Times New Roman" w:cs="Times New Roman"/>
        </w:rPr>
        <w:t xml:space="preserve"> associations and their members, whether they emanate from public figures or private persons or actors. This is especially so where associations focus on issues considered by </w:t>
      </w:r>
      <w:proofErr w:type="gramStart"/>
      <w:r>
        <w:rPr>
          <w:rFonts w:ascii="Times New Roman" w:eastAsia="Times New Roman" w:hAnsi="Times New Roman" w:cs="Times New Roman"/>
        </w:rPr>
        <w:lastRenderedPageBreak/>
        <w:t>the majority of</w:t>
      </w:r>
      <w:proofErr w:type="gramEnd"/>
      <w:r>
        <w:rPr>
          <w:rFonts w:ascii="Times New Roman" w:eastAsia="Times New Roman" w:hAnsi="Times New Roman" w:cs="Times New Roman"/>
        </w:rPr>
        <w:t xml:space="preserve"> the population or the Government to be controversial or sensitive, such as gender issues, migrants’ rights, corruption, business projects in the context of extractive industries, opponents to economic development projects or megaprojects or other opposition political issues.</w:t>
      </w:r>
      <w:r>
        <w:rPr>
          <w:rFonts w:ascii="Times New Roman" w:eastAsia="Times New Roman" w:hAnsi="Times New Roman" w:cs="Times New Roman"/>
          <w:vertAlign w:val="superscript"/>
        </w:rPr>
        <w:t xml:space="preserve"> </w:t>
      </w:r>
      <w:r>
        <w:rPr>
          <w:rFonts w:ascii="Times New Roman" w:eastAsia="Times New Roman" w:hAnsi="Times New Roman" w:cs="Times New Roman"/>
          <w:b/>
          <w:bCs/>
          <w:color w:val="FF0000"/>
        </w:rPr>
        <w:t xml:space="preserve">States parties have an explicit positive obligation to adopt robust anti-SLAPP legislation that enables the early dismissal of malicious lawsuits brought by corporate or private actors against environmental associations, and to penalize the use of private security firms to intimidate or surveil association members. </w:t>
      </w:r>
    </w:p>
    <w:p w14:paraId="31FCF7D1" w14:textId="77777777" w:rsidR="005111B0" w:rsidRDefault="00000000">
      <w:pPr>
        <w:tabs>
          <w:tab w:val="left" w:pos="1701"/>
          <w:tab w:val="left" w:pos="2268"/>
        </w:tabs>
        <w:spacing w:after="120"/>
        <w:jc w:val="both"/>
        <w:rPr>
          <w:rFonts w:ascii="Times New Roman" w:eastAsia="Times New Roman" w:hAnsi="Times New Roman" w:cs="Times New Roman"/>
          <w:b/>
          <w:bCs/>
          <w:color w:val="FF0000"/>
        </w:rPr>
      </w:pPr>
      <w:r>
        <w:rPr>
          <w:rFonts w:ascii="Times New Roman" w:eastAsia="Times New Roman" w:hAnsi="Times New Roman" w:cs="Times New Roman"/>
          <w:b/>
          <w:bCs/>
          <w:color w:val="FF0000"/>
        </w:rPr>
        <w:t xml:space="preserve">35-bis States Parties must ensure that private corporations and business enterprises do not directly or indirectly undermine, or infiltrate associations. The State’s positive obligation to protect under Article 22 requires the enactment and enforcement of robust regulatory frameworks that explicitly prohibit corporate retaliation against members of associations, including environmental ones. This includes a prohibition on blacklisting environmental defenders, the unlawful termination of employees engaging in public interest environmental advocacy, and the outsourcing of surveillance to private security or corporate intelligence firms to monitor, map, or disrupt legitimate civil society networks. If corporate harassment, intimidation and interference with freedom of association occurs, States have an obligation to pursue, prosecute and punish the relevant corporate conduct. </w:t>
      </w:r>
    </w:p>
    <w:p w14:paraId="50BBD036" w14:textId="77777777" w:rsidR="005111B0" w:rsidRDefault="005111B0">
      <w:pPr>
        <w:tabs>
          <w:tab w:val="left" w:pos="1701"/>
          <w:tab w:val="left" w:pos="2268"/>
        </w:tabs>
        <w:spacing w:after="120"/>
        <w:jc w:val="both"/>
        <w:rPr>
          <w:rFonts w:ascii="Times New Roman" w:eastAsia="Times New Roman" w:hAnsi="Times New Roman" w:cs="Times New Roman"/>
        </w:rPr>
      </w:pPr>
      <w:bookmarkStart w:id="4" w:name="_xs0d15tnf1vq" w:colFirst="0" w:colLast="0"/>
      <w:bookmarkEnd w:id="4"/>
    </w:p>
    <w:p w14:paraId="502F85CD" w14:textId="77777777" w:rsidR="005111B0" w:rsidRDefault="00000000">
      <w:pPr>
        <w:tabs>
          <w:tab w:val="left" w:pos="1701"/>
          <w:tab w:val="left" w:pos="2268"/>
        </w:tabs>
        <w:spacing w:after="120"/>
        <w:jc w:val="both"/>
        <w:rPr>
          <w:rFonts w:ascii="Times New Roman" w:eastAsia="Times New Roman" w:hAnsi="Times New Roman" w:cs="Times New Roman"/>
        </w:rPr>
      </w:pPr>
      <w:r>
        <w:rPr>
          <w:rFonts w:ascii="Times New Roman" w:eastAsia="Times New Roman" w:hAnsi="Times New Roman" w:cs="Times New Roman"/>
        </w:rPr>
        <w:t>38. States Parties’ positive obligation to create an enabling environment must be read in conjunction with the provisions on non-discrimination (arts. 2 and 3) and the right to equality before the law (art. 26). Specific measures might be required to address the</w:t>
      </w:r>
      <w:r>
        <w:rPr>
          <w:rFonts w:ascii="Times New Roman" w:eastAsia="Times New Roman" w:hAnsi="Times New Roman" w:cs="Times New Roman"/>
          <w:i/>
          <w:iCs/>
        </w:rPr>
        <w:t xml:space="preserve"> de facto </w:t>
      </w:r>
      <w:r>
        <w:rPr>
          <w:rFonts w:ascii="Times New Roman" w:eastAsia="Times New Roman" w:hAnsi="Times New Roman" w:cs="Times New Roman"/>
        </w:rPr>
        <w:t xml:space="preserve">situation of minorities, marginalized, disenfranchised, or disadvantaged rights holders and the structural barriers that they face to enjoying and operationalizing their rights. It may also be necessary to adapt measures to the context of the associations’ activities, such as organizations working in prisons and other detention facilities, </w:t>
      </w:r>
      <w:r>
        <w:rPr>
          <w:rFonts w:ascii="Times New Roman" w:eastAsia="Times New Roman" w:hAnsi="Times New Roman" w:cs="Times New Roman"/>
          <w:b/>
          <w:bCs/>
          <w:color w:val="FF0000"/>
        </w:rPr>
        <w:t>indigenous associations protecting ancestral domains, frontline communities facing ecological destruction,</w:t>
      </w:r>
      <w:r>
        <w:rPr>
          <w:rFonts w:ascii="Times New Roman" w:eastAsia="Times New Roman" w:hAnsi="Times New Roman" w:cs="Times New Roman"/>
          <w:color w:val="FF0000"/>
        </w:rPr>
        <w:t xml:space="preserve"> </w:t>
      </w:r>
      <w:r>
        <w:rPr>
          <w:rFonts w:ascii="Times New Roman" w:eastAsia="Times New Roman" w:hAnsi="Times New Roman" w:cs="Times New Roman"/>
        </w:rPr>
        <w:t xml:space="preserve">and organizations providing life-saving assistance in </w:t>
      </w:r>
      <w:r>
        <w:rPr>
          <w:rFonts w:ascii="Times New Roman" w:eastAsia="Times New Roman" w:hAnsi="Times New Roman" w:cs="Times New Roman"/>
          <w:b/>
          <w:bCs/>
          <w:strike/>
          <w:color w:val="FF0000"/>
        </w:rPr>
        <w:t xml:space="preserve">risky </w:t>
      </w:r>
      <w:r>
        <w:rPr>
          <w:rFonts w:ascii="Times New Roman" w:eastAsia="Times New Roman" w:hAnsi="Times New Roman" w:cs="Times New Roman"/>
          <w:b/>
          <w:bCs/>
          <w:color w:val="FF0000"/>
        </w:rPr>
        <w:t>dangerous</w:t>
      </w:r>
      <w:r>
        <w:rPr>
          <w:rFonts w:ascii="Times New Roman" w:eastAsia="Times New Roman" w:hAnsi="Times New Roman" w:cs="Times New Roman"/>
        </w:rPr>
        <w:t xml:space="preserve"> contexts, such as armed conflicts, occupied territories or maritime search and rescue missions (see sections VI and VII below).</w:t>
      </w:r>
    </w:p>
    <w:p w14:paraId="4A2CEFAD" w14:textId="77777777" w:rsidR="005111B0" w:rsidRDefault="005111B0">
      <w:pPr>
        <w:tabs>
          <w:tab w:val="left" w:pos="1701"/>
          <w:tab w:val="left" w:pos="2268"/>
        </w:tabs>
        <w:spacing w:after="120"/>
        <w:jc w:val="both"/>
        <w:rPr>
          <w:rFonts w:ascii="Times New Roman" w:eastAsia="Times New Roman" w:hAnsi="Times New Roman" w:cs="Times New Roman"/>
        </w:rPr>
      </w:pPr>
      <w:bookmarkStart w:id="5" w:name="_nl0v1zvws3eh" w:colFirst="0" w:colLast="0"/>
      <w:bookmarkEnd w:id="5"/>
    </w:p>
    <w:p w14:paraId="38F39065" w14:textId="77777777" w:rsidR="005111B0" w:rsidRDefault="00000000">
      <w:pPr>
        <w:tabs>
          <w:tab w:val="left" w:pos="1701"/>
          <w:tab w:val="left" w:pos="2268"/>
        </w:tabs>
        <w:spacing w:after="120"/>
        <w:jc w:val="both"/>
        <w:rPr>
          <w:rFonts w:ascii="Times New Roman" w:eastAsia="Times New Roman" w:hAnsi="Times New Roman" w:cs="Times New Roman"/>
        </w:rPr>
      </w:pPr>
      <w:r>
        <w:rPr>
          <w:rFonts w:ascii="Times New Roman" w:eastAsia="Times New Roman" w:hAnsi="Times New Roman" w:cs="Times New Roman"/>
        </w:rPr>
        <w:t>40. The remedies must be effective in theory and in practice and they must not impose undue restrictions on the individuals concerned. The measures of reparation must be tailored to the situation of the rights holder. For instance, in the case of the dissolution of an association, including a political party, in violation of article 22, an effective remedy might be access to domestic proceedings to review the denial of registration, the reregistration of the association,</w:t>
      </w:r>
      <w:r>
        <w:rPr>
          <w:rFonts w:ascii="Times New Roman" w:eastAsia="Times New Roman" w:hAnsi="Times New Roman" w:cs="Times New Roman"/>
          <w:vertAlign w:val="superscript"/>
        </w:rPr>
        <w:t xml:space="preserve"> </w:t>
      </w:r>
      <w:r>
        <w:rPr>
          <w:rFonts w:ascii="Times New Roman" w:eastAsia="Times New Roman" w:hAnsi="Times New Roman" w:cs="Times New Roman"/>
          <w:b/>
          <w:bCs/>
          <w:color w:val="FF0000"/>
        </w:rPr>
        <w:t xml:space="preserve">the immediate unfreezing of assets and restoration of tax-exempt status, </w:t>
      </w:r>
      <w:r>
        <w:rPr>
          <w:rFonts w:ascii="Times New Roman" w:eastAsia="Times New Roman" w:hAnsi="Times New Roman" w:cs="Times New Roman"/>
        </w:rPr>
        <w:t>in addition to other measures such as compensation, reimbursement of court fees and legal expenses. When the violation of article 22 is rooted in domestic legislation, the amendment of the legislative framework might be an adequate guarantee of non-repetition.</w:t>
      </w:r>
    </w:p>
    <w:p w14:paraId="72F756A5" w14:textId="77777777" w:rsidR="005111B0" w:rsidRDefault="005111B0">
      <w:pPr>
        <w:tabs>
          <w:tab w:val="left" w:pos="1701"/>
          <w:tab w:val="left" w:pos="2268"/>
        </w:tabs>
        <w:spacing w:after="120"/>
        <w:jc w:val="both"/>
        <w:rPr>
          <w:rFonts w:ascii="Times New Roman" w:eastAsia="Times New Roman" w:hAnsi="Times New Roman" w:cs="Times New Roman"/>
        </w:rPr>
      </w:pPr>
    </w:p>
    <w:p w14:paraId="15C3DD9F" w14:textId="77777777" w:rsidR="005111B0" w:rsidRDefault="00000000">
      <w:pPr>
        <w:tabs>
          <w:tab w:val="left" w:pos="1701"/>
          <w:tab w:val="left" w:pos="2268"/>
        </w:tabs>
        <w:spacing w:after="120"/>
        <w:jc w:val="both"/>
        <w:rPr>
          <w:rFonts w:ascii="Times New Roman" w:eastAsia="Times New Roman" w:hAnsi="Times New Roman" w:cs="Times New Roman"/>
        </w:rPr>
      </w:pPr>
      <w:r>
        <w:rPr>
          <w:rFonts w:ascii="Times New Roman" w:eastAsia="Times New Roman" w:hAnsi="Times New Roman" w:cs="Times New Roman"/>
        </w:rPr>
        <w:t xml:space="preserve">42. Applied to the right to freedom of association, this long-standing strict interpretation of restrictions implies a general presumption in </w:t>
      </w:r>
      <w:proofErr w:type="spellStart"/>
      <w:r>
        <w:rPr>
          <w:rFonts w:ascii="Times New Roman" w:eastAsia="Times New Roman" w:hAnsi="Times New Roman" w:cs="Times New Roman"/>
        </w:rPr>
        <w:t>favour</w:t>
      </w:r>
      <w:proofErr w:type="spellEnd"/>
      <w:r>
        <w:rPr>
          <w:rFonts w:ascii="Times New Roman" w:eastAsia="Times New Roman" w:hAnsi="Times New Roman" w:cs="Times New Roman"/>
        </w:rPr>
        <w:t xml:space="preserve"> of the lawfulness of the creation of associations, their objectives and their activities. </w:t>
      </w:r>
      <w:r>
        <w:rPr>
          <w:rFonts w:ascii="Times New Roman" w:eastAsia="Times New Roman" w:hAnsi="Times New Roman" w:cs="Times New Roman"/>
          <w:b/>
          <w:bCs/>
          <w:color w:val="FF0000"/>
        </w:rPr>
        <w:t>This presumption</w:t>
      </w:r>
      <w:r>
        <w:rPr>
          <w:rFonts w:ascii="Times New Roman" w:eastAsia="Times New Roman" w:hAnsi="Times New Roman" w:cs="Times New Roman"/>
        </w:rPr>
        <w:t xml:space="preserve"> </w:t>
      </w:r>
      <w:r>
        <w:rPr>
          <w:rFonts w:ascii="Times New Roman" w:eastAsia="Times New Roman" w:hAnsi="Times New Roman" w:cs="Times New Roman"/>
          <w:b/>
          <w:bCs/>
          <w:strike/>
          <w:color w:val="FF0000"/>
        </w:rPr>
        <w:t xml:space="preserve">that </w:t>
      </w:r>
      <w:r>
        <w:rPr>
          <w:rFonts w:ascii="Times New Roman" w:eastAsia="Times New Roman" w:hAnsi="Times New Roman" w:cs="Times New Roman"/>
        </w:rPr>
        <w:t xml:space="preserve">must guide the interpretation and implementation of article </w:t>
      </w:r>
      <w:proofErr w:type="gramStart"/>
      <w:r>
        <w:rPr>
          <w:rFonts w:ascii="Times New Roman" w:eastAsia="Times New Roman" w:hAnsi="Times New Roman" w:cs="Times New Roman"/>
        </w:rPr>
        <w:t>22</w:t>
      </w:r>
      <w:r>
        <w:rPr>
          <w:rFonts w:ascii="Times New Roman" w:eastAsia="Times New Roman" w:hAnsi="Times New Roman" w:cs="Times New Roman"/>
          <w:b/>
          <w:bCs/>
          <w:strike/>
          <w:color w:val="FF0000"/>
        </w:rPr>
        <w:t>,</w:t>
      </w:r>
      <w:r>
        <w:rPr>
          <w:rFonts w:ascii="Times New Roman" w:eastAsia="Times New Roman" w:hAnsi="Times New Roman" w:cs="Times New Roman"/>
          <w:b/>
          <w:bCs/>
          <w:color w:val="FF0000"/>
        </w:rPr>
        <w:t>.</w:t>
      </w:r>
      <w:proofErr w:type="gramEnd"/>
      <w:r>
        <w:rPr>
          <w:rFonts w:ascii="Times New Roman" w:eastAsia="Times New Roman" w:hAnsi="Times New Roman" w:cs="Times New Roman"/>
        </w:rPr>
        <w:t xml:space="preserve"> </w:t>
      </w:r>
      <w:r>
        <w:rPr>
          <w:rFonts w:ascii="Times New Roman" w:eastAsia="Times New Roman" w:hAnsi="Times New Roman" w:cs="Times New Roman"/>
          <w:b/>
          <w:bCs/>
          <w:strike/>
          <w:color w:val="FF0000"/>
        </w:rPr>
        <w:t xml:space="preserve">as well as </w:t>
      </w:r>
      <w:proofErr w:type="spellStart"/>
      <w:r>
        <w:rPr>
          <w:rFonts w:ascii="Times New Roman" w:eastAsia="Times New Roman" w:hAnsi="Times New Roman" w:cs="Times New Roman"/>
          <w:b/>
          <w:bCs/>
          <w:strike/>
          <w:color w:val="FF0000"/>
        </w:rPr>
        <w:t>t</w:t>
      </w:r>
      <w:r>
        <w:rPr>
          <w:rFonts w:ascii="Times New Roman" w:eastAsia="Times New Roman" w:hAnsi="Times New Roman" w:cs="Times New Roman"/>
          <w:b/>
          <w:bCs/>
          <w:color w:val="FF0000"/>
        </w:rPr>
        <w:t>T</w:t>
      </w:r>
      <w:r>
        <w:rPr>
          <w:rFonts w:ascii="Times New Roman" w:eastAsia="Times New Roman" w:hAnsi="Times New Roman" w:cs="Times New Roman"/>
        </w:rPr>
        <w:t>he</w:t>
      </w:r>
      <w:proofErr w:type="spellEnd"/>
      <w:r>
        <w:rPr>
          <w:rFonts w:ascii="Times New Roman" w:eastAsia="Times New Roman" w:hAnsi="Times New Roman" w:cs="Times New Roman"/>
        </w:rPr>
        <w:t xml:space="preserve"> requirement that any </w:t>
      </w:r>
      <w:proofErr w:type="gramStart"/>
      <w:r>
        <w:rPr>
          <w:rFonts w:ascii="Times New Roman" w:eastAsia="Times New Roman" w:hAnsi="Times New Roman" w:cs="Times New Roman"/>
        </w:rPr>
        <w:t>restrictions</w:t>
      </w:r>
      <w:proofErr w:type="gramEnd"/>
      <w:r>
        <w:rPr>
          <w:rFonts w:ascii="Times New Roman" w:eastAsia="Times New Roman" w:hAnsi="Times New Roman" w:cs="Times New Roman"/>
        </w:rPr>
        <w:t xml:space="preserve"> be accompanied by adequate procedural safeguards, including prior review where appropriate and effective access to independent and impartial judicial oversight, should also be interpreted narrowly.</w:t>
      </w:r>
    </w:p>
    <w:p w14:paraId="1619E2F9" w14:textId="77777777" w:rsidR="005111B0" w:rsidRDefault="005111B0">
      <w:pPr>
        <w:tabs>
          <w:tab w:val="left" w:pos="1701"/>
          <w:tab w:val="left" w:pos="2268"/>
        </w:tabs>
        <w:spacing w:after="120"/>
        <w:jc w:val="both"/>
        <w:rPr>
          <w:rFonts w:ascii="Times New Roman" w:eastAsia="Times New Roman" w:hAnsi="Times New Roman" w:cs="Times New Roman"/>
        </w:rPr>
      </w:pPr>
    </w:p>
    <w:p w14:paraId="7A25257F" w14:textId="77777777" w:rsidR="005111B0" w:rsidRDefault="00000000">
      <w:pPr>
        <w:tabs>
          <w:tab w:val="left" w:pos="1701"/>
          <w:tab w:val="left" w:pos="2268"/>
        </w:tabs>
        <w:spacing w:after="120"/>
        <w:jc w:val="both"/>
        <w:rPr>
          <w:rFonts w:ascii="Times New Roman" w:eastAsia="Times New Roman" w:hAnsi="Times New Roman" w:cs="Times New Roman"/>
        </w:rPr>
      </w:pPr>
      <w:r>
        <w:rPr>
          <w:rFonts w:ascii="Times New Roman" w:eastAsia="Times New Roman" w:hAnsi="Times New Roman" w:cs="Times New Roman"/>
        </w:rPr>
        <w:t>44. In this regard, the use of domestic legislation to criminalize an association, its members, human rights</w:t>
      </w:r>
      <w:r>
        <w:rPr>
          <w:rFonts w:ascii="Times New Roman" w:eastAsia="Times New Roman" w:hAnsi="Times New Roman" w:cs="Times New Roman"/>
          <w:b/>
          <w:bCs/>
        </w:rPr>
        <w:t xml:space="preserve"> </w:t>
      </w:r>
      <w:r>
        <w:rPr>
          <w:rFonts w:ascii="Times New Roman" w:eastAsia="Times New Roman" w:hAnsi="Times New Roman" w:cs="Times New Roman"/>
          <w:b/>
          <w:bCs/>
          <w:color w:val="FF0000"/>
        </w:rPr>
        <w:t xml:space="preserve">and environmental </w:t>
      </w:r>
      <w:r>
        <w:rPr>
          <w:rFonts w:ascii="Times New Roman" w:eastAsia="Times New Roman" w:hAnsi="Times New Roman" w:cs="Times New Roman"/>
        </w:rPr>
        <w:t>defenders or journalists for their activities must not only respect article 22 but also meet the strict “criminal legality principle” as enshrined in article 15 of the Covenant. The criminal legality principle is non-</w:t>
      </w:r>
      <w:proofErr w:type="spellStart"/>
      <w:r>
        <w:rPr>
          <w:rFonts w:ascii="Times New Roman" w:eastAsia="Times New Roman" w:hAnsi="Times New Roman" w:cs="Times New Roman"/>
        </w:rPr>
        <w:t>derogable</w:t>
      </w:r>
      <w:proofErr w:type="spellEnd"/>
      <w:r>
        <w:rPr>
          <w:rFonts w:ascii="Times New Roman" w:eastAsia="Times New Roman" w:hAnsi="Times New Roman" w:cs="Times New Roman"/>
        </w:rPr>
        <w:t xml:space="preserve"> and therefore no circumstances such as counterterrorism or anti-money-laundering measures can justify its infringement. The same applies to vaguely worded legislation adopted to combat “extremism”, “extremist activity”, funding coming from abroad or “undesirable” organizations.</w:t>
      </w:r>
    </w:p>
    <w:p w14:paraId="4028B84C" w14:textId="77777777" w:rsidR="00172150" w:rsidRDefault="00172150">
      <w:pPr>
        <w:tabs>
          <w:tab w:val="left" w:pos="1701"/>
          <w:tab w:val="left" w:pos="2268"/>
        </w:tabs>
        <w:spacing w:after="120"/>
        <w:jc w:val="both"/>
        <w:rPr>
          <w:rFonts w:ascii="Times New Roman" w:eastAsia="Times New Roman" w:hAnsi="Times New Roman" w:cs="Times New Roman"/>
        </w:rPr>
      </w:pPr>
    </w:p>
    <w:p w14:paraId="7E1C7E6E" w14:textId="0987F759" w:rsidR="005111B0" w:rsidRDefault="00000000">
      <w:pPr>
        <w:tabs>
          <w:tab w:val="left" w:pos="1701"/>
          <w:tab w:val="left" w:pos="2268"/>
        </w:tabs>
        <w:spacing w:after="120"/>
        <w:jc w:val="both"/>
        <w:rPr>
          <w:rFonts w:ascii="Times New Roman" w:eastAsia="Times New Roman" w:hAnsi="Times New Roman" w:cs="Times New Roman"/>
        </w:rPr>
      </w:pPr>
      <w:r>
        <w:rPr>
          <w:rFonts w:ascii="Times New Roman" w:eastAsia="Times New Roman" w:hAnsi="Times New Roman" w:cs="Times New Roman"/>
        </w:rPr>
        <w:t>46. As affirmed in the Siracusa Principles on the Limitation and Derogation Provisions in the International Covenant on Civil and Political Rights and applied to the restriction regime of other rights enshrined in the Covenant, “national security may be invoked to justify measures limiting certain rights only when they are taken to protect the existence of the nation, its territorial integrity or political independence against force or threat of force”.  Similarly, “public safety means protection against danger to the safety of persons, to their life or physical integrity or serious damage to their property”.  The public order (</w:t>
      </w:r>
      <w:proofErr w:type="spellStart"/>
      <w:r>
        <w:rPr>
          <w:rFonts w:ascii="Times New Roman" w:eastAsia="Times New Roman" w:hAnsi="Times New Roman" w:cs="Times New Roman"/>
        </w:rPr>
        <w:t>ordre</w:t>
      </w:r>
      <w:proofErr w:type="spellEnd"/>
      <w:r>
        <w:rPr>
          <w:rFonts w:ascii="Times New Roman" w:eastAsia="Times New Roman" w:hAnsi="Times New Roman" w:cs="Times New Roman"/>
        </w:rPr>
        <w:t xml:space="preserve"> public) element may be defined as the sum of rules which ensure the functioning of society or the set of fundamental principles on which society is founded. Respect for human rights is itself part of public order (</w:t>
      </w:r>
      <w:proofErr w:type="spellStart"/>
      <w:r>
        <w:rPr>
          <w:rFonts w:ascii="Times New Roman" w:eastAsia="Times New Roman" w:hAnsi="Times New Roman" w:cs="Times New Roman"/>
        </w:rPr>
        <w:t>ordre</w:t>
      </w:r>
      <w:proofErr w:type="spellEnd"/>
      <w:r>
        <w:rPr>
          <w:rFonts w:ascii="Times New Roman" w:eastAsia="Times New Roman" w:hAnsi="Times New Roman" w:cs="Times New Roman"/>
        </w:rPr>
        <w:t xml:space="preserve"> public). </w:t>
      </w:r>
      <w:r>
        <w:rPr>
          <w:rFonts w:ascii="Times New Roman" w:eastAsia="Times New Roman" w:hAnsi="Times New Roman" w:cs="Times New Roman"/>
          <w:b/>
          <w:bCs/>
          <w:color w:val="FF0000"/>
        </w:rPr>
        <w:t>The peaceful, non-violent disruption of public spaces or economic activities by environmental associations does not, in and of itself, constitute a threat to public safety or public order (</w:t>
      </w:r>
      <w:proofErr w:type="spellStart"/>
      <w:r>
        <w:rPr>
          <w:rFonts w:ascii="Times New Roman" w:eastAsia="Times New Roman" w:hAnsi="Times New Roman" w:cs="Times New Roman"/>
          <w:b/>
          <w:bCs/>
          <w:color w:val="FF0000"/>
        </w:rPr>
        <w:t>ordre</w:t>
      </w:r>
      <w:proofErr w:type="spellEnd"/>
      <w:r>
        <w:rPr>
          <w:rFonts w:ascii="Times New Roman" w:eastAsia="Times New Roman" w:hAnsi="Times New Roman" w:cs="Times New Roman"/>
          <w:b/>
          <w:bCs/>
          <w:color w:val="FF0000"/>
        </w:rPr>
        <w:t xml:space="preserve"> public). Indeed, public interest actions intended to raise awareness of climate change and biodiversity loss serve to protect the long-term safety and rights of the population. </w:t>
      </w:r>
      <w:r>
        <w:rPr>
          <w:rFonts w:ascii="Times New Roman" w:eastAsia="Times New Roman" w:hAnsi="Times New Roman" w:cs="Times New Roman"/>
        </w:rPr>
        <w:t>Therefore, the existence of any reasonable and objective justification for limiting freedom of association is not sufficient, and the State Party must further demonstrate that the prohibition of the association and the criminal prosecution of individuals for membership in such organizations are in fact necessary to avert a genuine, and not only hypothetical, danger to the national security or democratic order and that less intrusive measures would be insufficient to achieve this purpose.</w:t>
      </w:r>
    </w:p>
    <w:p w14:paraId="262B478F" w14:textId="77777777" w:rsidR="005111B0" w:rsidRDefault="005111B0">
      <w:pPr>
        <w:tabs>
          <w:tab w:val="left" w:pos="1701"/>
          <w:tab w:val="left" w:pos="2268"/>
        </w:tabs>
        <w:spacing w:after="120"/>
        <w:jc w:val="both"/>
        <w:rPr>
          <w:rFonts w:ascii="Times New Roman" w:eastAsia="Times New Roman" w:hAnsi="Times New Roman" w:cs="Times New Roman"/>
        </w:rPr>
      </w:pPr>
    </w:p>
    <w:p w14:paraId="65650DB1" w14:textId="77777777" w:rsidR="005111B0" w:rsidRDefault="00000000">
      <w:pPr>
        <w:tabs>
          <w:tab w:val="left" w:pos="1701"/>
          <w:tab w:val="left" w:pos="2268"/>
        </w:tabs>
        <w:spacing w:after="120"/>
        <w:jc w:val="both"/>
        <w:rPr>
          <w:rFonts w:ascii="Times New Roman" w:eastAsia="Times New Roman" w:hAnsi="Times New Roman" w:cs="Times New Roman"/>
        </w:rPr>
      </w:pPr>
      <w:r>
        <w:rPr>
          <w:rFonts w:ascii="Times New Roman" w:eastAsia="Times New Roman" w:hAnsi="Times New Roman" w:cs="Times New Roman"/>
        </w:rPr>
        <w:t xml:space="preserve">52. States Parties’ obligations under the Covenant apply not only in peacetime but also during emergency situations, pandemics, </w:t>
      </w:r>
      <w:r>
        <w:rPr>
          <w:rFonts w:ascii="Times New Roman" w:eastAsia="Times New Roman" w:hAnsi="Times New Roman" w:cs="Times New Roman"/>
          <w:b/>
          <w:bCs/>
          <w:color w:val="FF0000"/>
        </w:rPr>
        <w:t xml:space="preserve">environmental and climate-induced disasters, </w:t>
      </w:r>
      <w:r>
        <w:rPr>
          <w:rFonts w:ascii="Times New Roman" w:eastAsia="Times New Roman" w:hAnsi="Times New Roman" w:cs="Times New Roman"/>
        </w:rPr>
        <w:t>situations of aggression, internal and international armed conflicts, occupations, and struggles against non-State groups. The principle of the continuity of States Parties’ Covenant obligations in times of conflict and occupation has been consistently reaffirmed in various emergency contexts, including on territories where a State exercises effective control.</w:t>
      </w:r>
    </w:p>
    <w:p w14:paraId="70CB29D9" w14:textId="77777777" w:rsidR="005111B0" w:rsidRDefault="005111B0">
      <w:pPr>
        <w:tabs>
          <w:tab w:val="left" w:pos="1701"/>
          <w:tab w:val="left" w:pos="2268"/>
        </w:tabs>
        <w:spacing w:after="120"/>
        <w:jc w:val="both"/>
        <w:rPr>
          <w:rFonts w:ascii="Times New Roman" w:eastAsia="Times New Roman" w:hAnsi="Times New Roman" w:cs="Times New Roman"/>
        </w:rPr>
      </w:pPr>
    </w:p>
    <w:p w14:paraId="3D114EE9" w14:textId="77777777" w:rsidR="005111B0" w:rsidRDefault="00000000">
      <w:pPr>
        <w:tabs>
          <w:tab w:val="left" w:pos="1701"/>
          <w:tab w:val="left" w:pos="2268"/>
        </w:tabs>
        <w:spacing w:after="120"/>
        <w:jc w:val="both"/>
        <w:rPr>
          <w:rFonts w:ascii="Times New Roman" w:eastAsia="Times New Roman" w:hAnsi="Times New Roman" w:cs="Times New Roman"/>
          <w:b/>
          <w:bCs/>
          <w:color w:val="FF0000"/>
        </w:rPr>
      </w:pPr>
      <w:r>
        <w:rPr>
          <w:rFonts w:ascii="Times New Roman" w:eastAsia="Times New Roman" w:hAnsi="Times New Roman" w:cs="Times New Roman"/>
        </w:rPr>
        <w:t>57.  In addition</w:t>
      </w:r>
      <w:r>
        <w:rPr>
          <w:rFonts w:ascii="Times New Roman" w:eastAsia="Times New Roman" w:hAnsi="Times New Roman" w:cs="Times New Roman"/>
          <w:b/>
          <w:bCs/>
        </w:rPr>
        <w:t xml:space="preserve"> </w:t>
      </w:r>
      <w:r>
        <w:rPr>
          <w:rFonts w:ascii="Times New Roman" w:eastAsia="Times New Roman" w:hAnsi="Times New Roman" w:cs="Times New Roman"/>
        </w:rPr>
        <w:t xml:space="preserve">to the close relationship that the right to freedom of association has with international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law, as referred to in article 22 (3), and with international humanitarian law, as implicitly mentioned in article 4 of the Covenant, States Parties’ obligations under this right are also closely connected to and must be read in harmony with other universal, and regional regimes that are binding on the States Parties to the Covenant. For example, when maritime search and rescue operations and humanitarian assistance provided by associations and non-governmental organizations are at stake, States Parties’ obligations under the law of the sea and maritime search and rescue instruments might be relevant. In the same vein, international refugee law might be relevant when dealing with the right of refugees to freedom of association</w:t>
      </w:r>
      <w:r>
        <w:rPr>
          <w:rFonts w:ascii="Times New Roman" w:eastAsia="Times New Roman" w:hAnsi="Times New Roman" w:cs="Times New Roman"/>
          <w:b/>
          <w:bCs/>
          <w:strike/>
          <w:color w:val="FF0000"/>
        </w:rPr>
        <w:t>,</w:t>
      </w:r>
      <w:r>
        <w:rPr>
          <w:rFonts w:ascii="Times New Roman" w:eastAsia="Times New Roman" w:hAnsi="Times New Roman" w:cs="Times New Roman"/>
        </w:rPr>
        <w:t xml:space="preserve"> </w:t>
      </w:r>
      <w:r>
        <w:rPr>
          <w:rFonts w:ascii="Times New Roman" w:eastAsia="Times New Roman" w:hAnsi="Times New Roman" w:cs="Times New Roman"/>
          <w:b/>
          <w:bCs/>
          <w:strike/>
          <w:color w:val="FF0000"/>
        </w:rPr>
        <w:t xml:space="preserve">as well as </w:t>
      </w:r>
      <w:proofErr w:type="spellStart"/>
      <w:r>
        <w:rPr>
          <w:rFonts w:ascii="Times New Roman" w:eastAsia="Times New Roman" w:hAnsi="Times New Roman" w:cs="Times New Roman"/>
          <w:b/>
          <w:bCs/>
          <w:strike/>
          <w:color w:val="FF0000"/>
        </w:rPr>
        <w:t>i</w:t>
      </w:r>
      <w:r>
        <w:rPr>
          <w:rFonts w:ascii="Times New Roman" w:eastAsia="Times New Roman" w:hAnsi="Times New Roman" w:cs="Times New Roman"/>
          <w:b/>
          <w:bCs/>
          <w:color w:val="FF0000"/>
        </w:rPr>
        <w:t>I</w:t>
      </w:r>
      <w:r>
        <w:rPr>
          <w:rFonts w:ascii="Times New Roman" w:eastAsia="Times New Roman" w:hAnsi="Times New Roman" w:cs="Times New Roman"/>
        </w:rPr>
        <w:t>nternational</w:t>
      </w:r>
      <w:proofErr w:type="spellEnd"/>
      <w:r>
        <w:rPr>
          <w:rFonts w:ascii="Times New Roman" w:eastAsia="Times New Roman" w:hAnsi="Times New Roman" w:cs="Times New Roman"/>
        </w:rPr>
        <w:t xml:space="preserve"> environmental law, </w:t>
      </w:r>
      <w:r>
        <w:rPr>
          <w:rFonts w:ascii="Times New Roman" w:eastAsia="Times New Roman" w:hAnsi="Times New Roman" w:cs="Times New Roman"/>
          <w:b/>
          <w:bCs/>
          <w:color w:val="FF0000"/>
        </w:rPr>
        <w:t xml:space="preserve">specifically regional and international instruments governing access </w:t>
      </w:r>
      <w:r>
        <w:rPr>
          <w:rFonts w:ascii="Times New Roman" w:eastAsia="Times New Roman" w:hAnsi="Times New Roman" w:cs="Times New Roman"/>
          <w:b/>
          <w:bCs/>
          <w:color w:val="FF0000"/>
        </w:rPr>
        <w:lastRenderedPageBreak/>
        <w:t xml:space="preserve">to information, public participation, and justice in environmental matters (which explicitly guarantee the safety and associative freedom of environmental defenders), is specifically relevant to the freedom of association of environmental defenders and climate change activists. Furthermore, the Almaty Guidelines on Promoting the Application of the Principles of the Aarhus Convention in International Forums provide authoritative guidance that States, when acting within international organizations, intergovernmental conferences, and multilateral environmental agreements (such as the UNFCCC), must ensure that the accreditation, participation, and collective advocacy of environmental associations are not arbitrarily restricted, siloed, or subjected to state surveillance. </w:t>
      </w:r>
    </w:p>
    <w:p w14:paraId="5C0D1BD5" w14:textId="77777777" w:rsidR="005111B0" w:rsidRDefault="00000000">
      <w:pPr>
        <w:tabs>
          <w:tab w:val="left" w:pos="1701"/>
          <w:tab w:val="left" w:pos="2268"/>
        </w:tabs>
        <w:spacing w:after="120"/>
        <w:jc w:val="both"/>
        <w:rPr>
          <w:rFonts w:ascii="Times New Roman" w:eastAsia="Times New Roman" w:hAnsi="Times New Roman" w:cs="Times New Roman"/>
        </w:rPr>
      </w:pPr>
      <w:proofErr w:type="spellStart"/>
      <w:r>
        <w:rPr>
          <w:rFonts w:ascii="Times New Roman" w:eastAsia="Times New Roman" w:hAnsi="Times New Roman" w:cs="Times New Roman"/>
          <w:b/>
          <w:bCs/>
          <w:strike/>
          <w:color w:val="FF0000"/>
        </w:rPr>
        <w:t>Ior</w:t>
      </w:r>
      <w:proofErr w:type="spellEnd"/>
      <w:r>
        <w:rPr>
          <w:rFonts w:ascii="Times New Roman" w:eastAsia="Times New Roman" w:hAnsi="Times New Roman" w:cs="Times New Roman"/>
          <w:b/>
          <w:bCs/>
          <w:strike/>
          <w:color w:val="FF0000"/>
        </w:rPr>
        <w:t xml:space="preserve"> i</w:t>
      </w:r>
      <w:r>
        <w:rPr>
          <w:rFonts w:ascii="Times New Roman" w:eastAsia="Times New Roman" w:hAnsi="Times New Roman" w:cs="Times New Roman"/>
        </w:rPr>
        <w:t xml:space="preserve">nternational economic law, especially international financial regulations </w:t>
      </w:r>
      <w:r>
        <w:rPr>
          <w:rFonts w:ascii="Times New Roman" w:eastAsia="Times New Roman" w:hAnsi="Times New Roman" w:cs="Times New Roman"/>
          <w:b/>
          <w:bCs/>
          <w:color w:val="FF0000"/>
        </w:rPr>
        <w:t>may also be applicable here</w:t>
      </w:r>
      <w:r>
        <w:rPr>
          <w:rFonts w:ascii="Times New Roman" w:eastAsia="Times New Roman" w:hAnsi="Times New Roman" w:cs="Times New Roman"/>
        </w:rPr>
        <w:t>.</w:t>
      </w:r>
    </w:p>
    <w:p w14:paraId="7DF19663" w14:textId="77777777" w:rsidR="005111B0" w:rsidRDefault="005111B0">
      <w:pPr>
        <w:tabs>
          <w:tab w:val="left" w:pos="1701"/>
          <w:tab w:val="left" w:pos="2268"/>
        </w:tabs>
        <w:spacing w:after="120"/>
        <w:jc w:val="both"/>
        <w:rPr>
          <w:rFonts w:ascii="Times New Roman" w:eastAsia="Times New Roman" w:hAnsi="Times New Roman" w:cs="Times New Roman"/>
        </w:rPr>
      </w:pPr>
    </w:p>
    <w:p w14:paraId="38235644" w14:textId="77777777" w:rsidR="005111B0" w:rsidRDefault="00000000">
      <w:pPr>
        <w:tabs>
          <w:tab w:val="left" w:pos="1701"/>
          <w:tab w:val="left" w:pos="2268"/>
        </w:tabs>
        <w:spacing w:after="120"/>
        <w:jc w:val="both"/>
        <w:rPr>
          <w:rFonts w:ascii="Times New Roman" w:eastAsia="Times New Roman" w:hAnsi="Times New Roman" w:cs="Times New Roman"/>
          <w:b/>
          <w:bCs/>
          <w:color w:val="FF0000"/>
        </w:rPr>
      </w:pPr>
      <w:r>
        <w:rPr>
          <w:rFonts w:ascii="Times New Roman" w:eastAsia="Times New Roman" w:hAnsi="Times New Roman" w:cs="Times New Roman"/>
        </w:rPr>
        <w:t>60. In addition, to achieve the full realization of the right to freedom of association pursuant to articles 2 and 22 of the Covenant, States Parties should refrain from adopting retrogressive measures or introducing new barriers</w:t>
      </w:r>
      <w:r>
        <w:rPr>
          <w:rFonts w:ascii="Times New Roman" w:eastAsia="Times New Roman" w:hAnsi="Times New Roman" w:cs="Times New Roman"/>
          <w:vertAlign w:val="superscript"/>
        </w:rPr>
        <w:t xml:space="preserve"> </w:t>
      </w:r>
      <w:r>
        <w:rPr>
          <w:rFonts w:ascii="Times New Roman" w:eastAsia="Times New Roman" w:hAnsi="Times New Roman" w:cs="Times New Roman"/>
        </w:rPr>
        <w:t xml:space="preserve">and </w:t>
      </w:r>
      <w:r>
        <w:rPr>
          <w:rFonts w:ascii="Times New Roman" w:eastAsia="Times New Roman" w:hAnsi="Times New Roman" w:cs="Times New Roman"/>
          <w:i/>
          <w:iCs/>
        </w:rPr>
        <w:t xml:space="preserve">de jure </w:t>
      </w:r>
      <w:r>
        <w:rPr>
          <w:rFonts w:ascii="Times New Roman" w:eastAsia="Times New Roman" w:hAnsi="Times New Roman" w:cs="Times New Roman"/>
        </w:rPr>
        <w:t xml:space="preserve">or </w:t>
      </w:r>
      <w:r>
        <w:rPr>
          <w:rFonts w:ascii="Times New Roman" w:eastAsia="Times New Roman" w:hAnsi="Times New Roman" w:cs="Times New Roman"/>
          <w:i/>
          <w:iCs/>
        </w:rPr>
        <w:t xml:space="preserve">de facto </w:t>
      </w:r>
      <w:r>
        <w:rPr>
          <w:rFonts w:ascii="Times New Roman" w:eastAsia="Times New Roman" w:hAnsi="Times New Roman" w:cs="Times New Roman"/>
        </w:rPr>
        <w:t>obstacles to the enjoyment and exercise of freedom of association. Any retrogressive measure must be carefully justified by States Parties and must fully meet all the conditions of legality, legitimacy, necessity, proportionality and judicial guarantees set out in the previous sections.</w:t>
      </w:r>
      <w:r>
        <w:rPr>
          <w:rFonts w:ascii="Times New Roman" w:eastAsia="Times New Roman" w:hAnsi="Times New Roman" w:cs="Times New Roman"/>
          <w:b/>
          <w:bCs/>
          <w:color w:val="FF0000"/>
          <w:vertAlign w:val="superscript"/>
        </w:rPr>
        <w:t xml:space="preserve">  </w:t>
      </w:r>
      <w:r>
        <w:rPr>
          <w:rFonts w:ascii="Times New Roman" w:eastAsia="Times New Roman" w:hAnsi="Times New Roman" w:cs="Times New Roman"/>
          <w:b/>
          <w:bCs/>
          <w:color w:val="FF0000"/>
        </w:rPr>
        <w:t>For instance, the introduction of new criminal penalties for peaceful civic disruption and disobedience, the reclassification of public interest advocacy as unauthorized lobbying, or the expansion of public order laws to deter environmental and climate associations constitute retrogressive measures.</w:t>
      </w:r>
    </w:p>
    <w:p w14:paraId="3EB143BF" w14:textId="77777777" w:rsidR="005111B0" w:rsidRDefault="005111B0">
      <w:pPr>
        <w:tabs>
          <w:tab w:val="left" w:pos="1701"/>
          <w:tab w:val="left" w:pos="2268"/>
        </w:tabs>
        <w:spacing w:after="120"/>
        <w:ind w:right="1140"/>
        <w:jc w:val="both"/>
        <w:rPr>
          <w:rFonts w:ascii="Times New Roman" w:eastAsia="Times New Roman" w:hAnsi="Times New Roman" w:cs="Times New Roman"/>
          <w:sz w:val="20"/>
          <w:szCs w:val="20"/>
        </w:rPr>
      </w:pPr>
    </w:p>
    <w:sectPr w:rsidR="005111B0">
      <w:headerReference w:type="default" r:id="rId6"/>
      <w:headerReference w:type="first" r:id="rId7"/>
      <w:foot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4922D" w14:textId="77777777" w:rsidR="00183E55" w:rsidRDefault="00183E55">
      <w:pPr>
        <w:spacing w:line="240" w:lineRule="auto"/>
      </w:pPr>
      <w:r>
        <w:separator/>
      </w:r>
    </w:p>
  </w:endnote>
  <w:endnote w:type="continuationSeparator" w:id="0">
    <w:p w14:paraId="149C6F68" w14:textId="77777777" w:rsidR="00183E55" w:rsidRDefault="00183E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58F85C36-9771-4FDC-B3FC-274478625F0C}"/>
    <w:embedBold r:id="rId2" w:fontKey="{67CED552-3F07-4EED-B3CA-A55369E64588}"/>
    <w:embedBoldItalic r:id="rId3" w:fontKey="{1152A504-3284-4C90-BB0C-29080FCE700C}"/>
  </w:font>
  <w:font w:name="Calibri">
    <w:panose1 w:val="020F0502020204030204"/>
    <w:charset w:val="00"/>
    <w:family w:val="swiss"/>
    <w:pitch w:val="variable"/>
    <w:sig w:usb0="E4002EFF" w:usb1="C200247B" w:usb2="00000009" w:usb3="00000000" w:csb0="000001FF" w:csb1="00000000"/>
    <w:embedRegular r:id="rId4" w:fontKey="{100AAAE1-BEAA-42F3-B816-5A8C29518704}"/>
  </w:font>
  <w:font w:name="Cambria">
    <w:panose1 w:val="02040503050406030204"/>
    <w:charset w:val="00"/>
    <w:family w:val="roman"/>
    <w:pitch w:val="variable"/>
    <w:sig w:usb0="E00006FF" w:usb1="420024FF" w:usb2="02000000" w:usb3="00000000" w:csb0="0000019F" w:csb1="00000000"/>
    <w:embedRegular r:id="rId5" w:fontKey="{BDBB1763-55C5-4627-BEA9-882D8828AE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2EED8" w14:textId="77777777" w:rsidR="005111B0" w:rsidRDefault="005111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1F4DC" w14:textId="77777777" w:rsidR="00183E55" w:rsidRDefault="00183E55">
      <w:pPr>
        <w:spacing w:line="240" w:lineRule="auto"/>
      </w:pPr>
      <w:r>
        <w:separator/>
      </w:r>
    </w:p>
  </w:footnote>
  <w:footnote w:type="continuationSeparator" w:id="0">
    <w:p w14:paraId="05D7C17C" w14:textId="77777777" w:rsidR="00183E55" w:rsidRDefault="00183E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9C53" w14:textId="77777777" w:rsidR="005111B0" w:rsidRDefault="005111B0">
    <w:pPr>
      <w:pStyle w:val="Title"/>
      <w:spacing w:after="100"/>
      <w:ind w:left="-180" w:right="-180"/>
      <w:jc w:val="center"/>
    </w:pPr>
    <w:bookmarkStart w:id="6" w:name="_yvyclu6ilxe2" w:colFirst="0" w:colLast="0"/>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0759" w14:textId="77777777" w:rsidR="005111B0" w:rsidRDefault="00000000">
    <w:pPr>
      <w:pStyle w:val="Title"/>
      <w:spacing w:after="100"/>
      <w:ind w:left="-180" w:right="-180"/>
      <w:jc w:val="center"/>
    </w:pPr>
    <w:bookmarkStart w:id="7" w:name="_ue85hvbcv9uk" w:colFirst="0" w:colLast="0"/>
    <w:bookmarkEnd w:id="7"/>
    <w:r>
      <w:rPr>
        <w:rFonts w:ascii="Garamond" w:eastAsia="Garamond" w:hAnsi="Garamond" w:cs="Garamond"/>
        <w:b/>
        <w:bCs/>
        <w:noProof/>
        <w:sz w:val="24"/>
        <w:szCs w:val="24"/>
      </w:rPr>
      <w:drawing>
        <wp:inline distT="114300" distB="114300" distL="114300" distR="114300" wp14:anchorId="0AC7BC0E" wp14:editId="2B861AE3">
          <wp:extent cx="1133475" cy="68147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33475" cy="681476"/>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1B0"/>
    <w:rsid w:val="00172150"/>
    <w:rsid w:val="00183E55"/>
    <w:rsid w:val="004F398C"/>
    <w:rsid w:val="005111B0"/>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F88D"/>
  <w15:docId w15:val="{9638722F-2710-49B3-8D84-A0BFF6199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Center for International Environmental Law (CIEL)</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1A127832-C530-4E9F-BF20-AFB1CB23774E}"/>
</file>

<file path=customXml/itemProps2.xml><?xml version="1.0" encoding="utf-8"?>
<ds:datastoreItem xmlns:ds="http://schemas.openxmlformats.org/officeDocument/2006/customXml" ds:itemID="{2CA4E34D-85DA-4E32-8465-3B7D1F0A58D3}"/>
</file>

<file path=customXml/itemProps3.xml><?xml version="1.0" encoding="utf-8"?>
<ds:datastoreItem xmlns:ds="http://schemas.openxmlformats.org/officeDocument/2006/customXml" ds:itemID="{80167529-82CA-451E-B926-C552B12380A0}"/>
</file>

<file path=docProps/app.xml><?xml version="1.0" encoding="utf-8"?>
<Properties xmlns="http://schemas.openxmlformats.org/officeDocument/2006/extended-properties" xmlns:vt="http://schemas.openxmlformats.org/officeDocument/2006/docPropsVTypes">
  <Template>Normal</Template>
  <TotalTime>0</TotalTime>
  <Pages>5</Pages>
  <Words>2422</Words>
  <Characters>13806</Characters>
  <Application>Microsoft Office Word</Application>
  <DocSecurity>0</DocSecurity>
  <Lines>115</Lines>
  <Paragraphs>32</Paragraphs>
  <ScaleCrop>false</ScaleCrop>
  <Company/>
  <LinksUpToDate>false</LinksUpToDate>
  <CharactersWithSpaces>16196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Francesca Mingrone</cp:lastModifiedBy>
  <cp:revision>2</cp:revision>
  <dcterms:created xsi:type="dcterms:W3CDTF">2026-07-16T01:32:00Z</dcterms:created>
  <dcterms:modified xsi:type="dcterms:W3CDTF">2026-07-16T01:32:00Z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