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65ADD" w14:textId="5A1176FD" w:rsidR="5008D0AC" w:rsidRDefault="5008D0AC" w:rsidP="39FD2FE9">
      <w:pPr>
        <w:pStyle w:val="ListParagraph"/>
        <w:spacing w:before="240" w:line="360" w:lineRule="auto"/>
        <w:ind w:left="-284"/>
        <w:jc w:val="center"/>
        <w:rPr>
          <w:rFonts w:ascii="Arial" w:eastAsia="Arial" w:hAnsi="Arial" w:cs="Arial"/>
          <w:b/>
          <w:bCs/>
          <w:sz w:val="28"/>
          <w:szCs w:val="28"/>
        </w:rPr>
      </w:pPr>
      <w:r>
        <w:rPr>
          <w:noProof/>
        </w:rPr>
        <w:drawing>
          <wp:inline distT="0" distB="0" distL="0" distR="0" wp14:anchorId="63CA4AF1" wp14:editId="6D10E57B">
            <wp:extent cx="2823139" cy="1731687"/>
            <wp:effectExtent l="0" t="0" r="0" b="0"/>
            <wp:docPr id="6545865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86534" name="Picture 654586534"/>
                    <pic:cNvPicPr/>
                  </pic:nvPicPr>
                  <pic:blipFill>
                    <a:blip r:embed="rId8">
                      <a:extLst>
                        <a:ext uri="{28A0092B-C50C-407E-A947-70E740481C1C}">
                          <a14:useLocalDpi xmlns:a14="http://schemas.microsoft.com/office/drawing/2010/main"/>
                        </a:ext>
                      </a:extLst>
                    </a:blip>
                    <a:stretch>
                      <a:fillRect/>
                    </a:stretch>
                  </pic:blipFill>
                  <pic:spPr>
                    <a:xfrm>
                      <a:off x="0" y="0"/>
                      <a:ext cx="2823139" cy="1731687"/>
                    </a:xfrm>
                    <a:prstGeom prst="rect">
                      <a:avLst/>
                    </a:prstGeom>
                  </pic:spPr>
                </pic:pic>
              </a:graphicData>
            </a:graphic>
          </wp:inline>
        </w:drawing>
      </w:r>
    </w:p>
    <w:p w14:paraId="043BF1C5" w14:textId="3E0AE645" w:rsidR="39FD2FE9" w:rsidRDefault="39FD2FE9" w:rsidP="39FD2FE9">
      <w:pPr>
        <w:pStyle w:val="ListParagraph"/>
        <w:spacing w:before="240" w:line="360" w:lineRule="auto"/>
        <w:ind w:left="-284"/>
        <w:jc w:val="center"/>
        <w:rPr>
          <w:rFonts w:ascii="Arial" w:eastAsia="Arial" w:hAnsi="Arial" w:cs="Arial"/>
          <w:b/>
          <w:bCs/>
          <w:sz w:val="28"/>
          <w:szCs w:val="28"/>
        </w:rPr>
      </w:pPr>
    </w:p>
    <w:p w14:paraId="10B6F769" w14:textId="508E8EF0" w:rsidR="1B13121E" w:rsidRDefault="1B13121E" w:rsidP="39FD2FE9">
      <w:pPr>
        <w:pStyle w:val="ListParagraph"/>
        <w:spacing w:before="240" w:line="360" w:lineRule="auto"/>
        <w:ind w:left="-284"/>
        <w:jc w:val="center"/>
      </w:pPr>
      <w:r w:rsidRPr="39FD2FE9">
        <w:rPr>
          <w:rFonts w:ascii="Roboto" w:eastAsia="Roboto" w:hAnsi="Roboto" w:cs="Roboto"/>
          <w:b/>
          <w:bCs/>
          <w:sz w:val="32"/>
          <w:szCs w:val="32"/>
        </w:rPr>
        <w:t>ARTICLE 19 Comments on Draft General Comment No. 38 on</w:t>
      </w:r>
      <w:r w:rsidR="7F81D923" w:rsidRPr="39FD2FE9">
        <w:rPr>
          <w:rFonts w:ascii="Roboto" w:eastAsia="Roboto" w:hAnsi="Roboto" w:cs="Roboto"/>
          <w:b/>
          <w:bCs/>
          <w:sz w:val="32"/>
          <w:szCs w:val="32"/>
        </w:rPr>
        <w:t xml:space="preserve"> </w:t>
      </w:r>
      <w:r w:rsidRPr="39FD2FE9">
        <w:rPr>
          <w:rFonts w:ascii="Roboto" w:eastAsia="Roboto" w:hAnsi="Roboto" w:cs="Roboto"/>
          <w:b/>
          <w:bCs/>
          <w:sz w:val="32"/>
          <w:szCs w:val="32"/>
        </w:rPr>
        <w:t>Article 22</w:t>
      </w:r>
      <w:r w:rsidR="6EEE2DA9" w:rsidRPr="39FD2FE9">
        <w:rPr>
          <w:rFonts w:ascii="Roboto" w:eastAsia="Roboto" w:hAnsi="Roboto" w:cs="Roboto"/>
          <w:b/>
          <w:bCs/>
          <w:sz w:val="32"/>
          <w:szCs w:val="32"/>
        </w:rPr>
        <w:t xml:space="preserve"> of the International Covenant on Civil and Political Rights</w:t>
      </w:r>
    </w:p>
    <w:p w14:paraId="301FB0BB" w14:textId="1BEDFB64" w:rsidR="39FD2FE9" w:rsidRDefault="39FD2FE9" w:rsidP="39FD2FE9">
      <w:pPr>
        <w:pStyle w:val="ListParagraph"/>
        <w:spacing w:before="240" w:line="360" w:lineRule="auto"/>
        <w:ind w:left="-284"/>
        <w:jc w:val="center"/>
        <w:rPr>
          <w:rFonts w:ascii="Roboto" w:eastAsia="Roboto" w:hAnsi="Roboto" w:cs="Roboto"/>
          <w:b/>
          <w:bCs/>
          <w:sz w:val="32"/>
          <w:szCs w:val="32"/>
        </w:rPr>
      </w:pPr>
    </w:p>
    <w:p w14:paraId="2B6BF890" w14:textId="072DB43B" w:rsidR="1B13121E" w:rsidRDefault="1B13121E" w:rsidP="39FD2FE9">
      <w:pPr>
        <w:pStyle w:val="ListParagraph"/>
        <w:spacing w:before="240" w:line="360" w:lineRule="auto"/>
        <w:ind w:left="-284"/>
        <w:jc w:val="center"/>
        <w:rPr>
          <w:rFonts w:ascii="Roboto" w:eastAsia="Roboto" w:hAnsi="Roboto" w:cs="Roboto"/>
          <w:b/>
          <w:bCs/>
          <w:sz w:val="28"/>
          <w:szCs w:val="28"/>
        </w:rPr>
      </w:pPr>
      <w:r w:rsidRPr="39FD2FE9">
        <w:rPr>
          <w:rFonts w:ascii="Roboto" w:eastAsia="Roboto" w:hAnsi="Roboto" w:cs="Roboto"/>
          <w:b/>
          <w:bCs/>
          <w:sz w:val="32"/>
          <w:szCs w:val="32"/>
        </w:rPr>
        <w:t>July 2026</w:t>
      </w:r>
    </w:p>
    <w:p w14:paraId="0899990F" w14:textId="301E047E" w:rsidR="39FD2FE9" w:rsidRDefault="39FD2FE9" w:rsidP="39FD2FE9">
      <w:pPr>
        <w:pStyle w:val="ListParagraph"/>
        <w:spacing w:before="240" w:line="360" w:lineRule="auto"/>
        <w:ind w:left="-284"/>
        <w:jc w:val="center"/>
        <w:rPr>
          <w:rFonts w:ascii="Arial" w:eastAsia="Arial" w:hAnsi="Arial" w:cs="Arial"/>
          <w:b/>
          <w:bCs/>
          <w:sz w:val="28"/>
          <w:szCs w:val="28"/>
        </w:rPr>
      </w:pPr>
    </w:p>
    <w:p w14:paraId="6992E5CF" w14:textId="277E0B4A" w:rsidR="39FD2FE9" w:rsidRDefault="39FD2FE9" w:rsidP="39FD2FE9">
      <w:pPr>
        <w:pStyle w:val="ListParagraph"/>
        <w:spacing w:before="240" w:line="360" w:lineRule="auto"/>
        <w:ind w:left="284" w:hanging="568"/>
        <w:jc w:val="both"/>
        <w:rPr>
          <w:rFonts w:ascii="Arial" w:eastAsia="Arial" w:hAnsi="Arial" w:cs="Arial"/>
        </w:rPr>
      </w:pPr>
    </w:p>
    <w:p w14:paraId="3AD9A832" w14:textId="53718E81" w:rsidR="00D43B36" w:rsidRDefault="793970ED" w:rsidP="00500849">
      <w:pPr>
        <w:pStyle w:val="ListParagraph"/>
        <w:numPr>
          <w:ilvl w:val="0"/>
          <w:numId w:val="5"/>
        </w:numPr>
        <w:spacing w:before="240" w:line="360" w:lineRule="auto"/>
        <w:jc w:val="both"/>
        <w:rPr>
          <w:rFonts w:ascii="Arial" w:eastAsia="Arial" w:hAnsi="Arial" w:cs="Arial"/>
        </w:rPr>
      </w:pPr>
      <w:r w:rsidRPr="39FD2FE9">
        <w:rPr>
          <w:rFonts w:ascii="Arial" w:eastAsia="Arial" w:hAnsi="Arial" w:cs="Arial"/>
        </w:rPr>
        <w:t xml:space="preserve">ARTICLE 19 welcomes the opportunity to input and provide comments on the draft General Comment No. 38 </w:t>
      </w:r>
      <w:r w:rsidR="00973569">
        <w:rPr>
          <w:rFonts w:ascii="Arial" w:eastAsia="Arial" w:hAnsi="Arial" w:cs="Arial"/>
        </w:rPr>
        <w:t xml:space="preserve">on </w:t>
      </w:r>
      <w:r w:rsidR="00973569" w:rsidRPr="00973569">
        <w:rPr>
          <w:rFonts w:ascii="Arial" w:eastAsia="Arial" w:hAnsi="Arial" w:cs="Arial"/>
        </w:rPr>
        <w:t xml:space="preserve">Article 22 of the International Covenant on Civil and Political Rights </w:t>
      </w:r>
      <w:r w:rsidR="00973569">
        <w:rPr>
          <w:rFonts w:ascii="Arial" w:eastAsia="Arial" w:hAnsi="Arial" w:cs="Arial"/>
        </w:rPr>
        <w:t>(ICCPR)</w:t>
      </w:r>
      <w:r w:rsidRPr="39FD2FE9">
        <w:rPr>
          <w:rFonts w:ascii="Arial" w:eastAsia="Arial" w:hAnsi="Arial" w:cs="Arial"/>
        </w:rPr>
        <w:t xml:space="preserve">. </w:t>
      </w:r>
      <w:r w:rsidR="001A152D" w:rsidRPr="001A152D">
        <w:rPr>
          <w:rFonts w:ascii="Arial" w:eastAsia="Arial" w:hAnsi="Arial" w:cs="Arial"/>
        </w:rPr>
        <w:t>ARTICLE 19 works for a world where all people everywhere can freely express themselves and actively engage in public life without fear of discrimination</w:t>
      </w:r>
      <w:r w:rsidR="001A152D">
        <w:rPr>
          <w:rFonts w:ascii="Arial" w:eastAsia="Arial" w:hAnsi="Arial" w:cs="Arial"/>
        </w:rPr>
        <w:t xml:space="preserve">. </w:t>
      </w:r>
      <w:r w:rsidR="531520FB" w:rsidRPr="39FD2FE9">
        <w:rPr>
          <w:rFonts w:ascii="Arial" w:eastAsia="Arial" w:hAnsi="Arial" w:cs="Arial"/>
        </w:rPr>
        <w:t xml:space="preserve">We consider the </w:t>
      </w:r>
      <w:r w:rsidRPr="39FD2FE9">
        <w:rPr>
          <w:rFonts w:ascii="Arial" w:eastAsia="Arial" w:hAnsi="Arial" w:cs="Arial"/>
        </w:rPr>
        <w:t>rights to freedom of expression and freedom of association a</w:t>
      </w:r>
      <w:r w:rsidR="4E57942F" w:rsidRPr="39FD2FE9">
        <w:rPr>
          <w:rFonts w:ascii="Arial" w:eastAsia="Arial" w:hAnsi="Arial" w:cs="Arial"/>
        </w:rPr>
        <w:t xml:space="preserve">s </w:t>
      </w:r>
      <w:r w:rsidRPr="39FD2FE9">
        <w:rPr>
          <w:rFonts w:ascii="Arial" w:eastAsia="Arial" w:hAnsi="Arial" w:cs="Arial"/>
        </w:rPr>
        <w:t>interrelated and interdependent.</w:t>
      </w:r>
      <w:r w:rsidR="53C9B3DD" w:rsidRPr="39FD2FE9">
        <w:rPr>
          <w:rFonts w:ascii="Arial" w:eastAsia="Arial" w:hAnsi="Arial" w:cs="Arial"/>
        </w:rPr>
        <w:t xml:space="preserve"> </w:t>
      </w:r>
    </w:p>
    <w:p w14:paraId="725B6FFB" w14:textId="77777777" w:rsidR="00500849" w:rsidRPr="00500849" w:rsidRDefault="00500849" w:rsidP="00500849">
      <w:pPr>
        <w:pStyle w:val="ListParagraph"/>
        <w:spacing w:before="240" w:line="360" w:lineRule="auto"/>
        <w:ind w:left="76"/>
        <w:jc w:val="both"/>
        <w:rPr>
          <w:rFonts w:ascii="Arial" w:eastAsia="Arial" w:hAnsi="Arial" w:cs="Arial"/>
        </w:rPr>
      </w:pPr>
    </w:p>
    <w:p w14:paraId="1432098D" w14:textId="15042A5C" w:rsidR="39FD2FE9" w:rsidRDefault="793970ED" w:rsidP="00427DA3">
      <w:pPr>
        <w:pStyle w:val="ListParagraph"/>
        <w:numPr>
          <w:ilvl w:val="0"/>
          <w:numId w:val="5"/>
        </w:numPr>
        <w:spacing w:before="240" w:line="360" w:lineRule="auto"/>
        <w:jc w:val="both"/>
        <w:rPr>
          <w:rFonts w:ascii="Arial" w:eastAsia="Arial" w:hAnsi="Arial" w:cs="Arial"/>
        </w:rPr>
      </w:pPr>
      <w:r w:rsidRPr="39FD2FE9">
        <w:rPr>
          <w:rFonts w:ascii="Arial" w:eastAsia="Arial" w:hAnsi="Arial" w:cs="Arial"/>
        </w:rPr>
        <w:t>Overall, we find that the draft is strong and addresses many key challenges facing the exercise of these mutually reinforcing rights.</w:t>
      </w:r>
      <w:r w:rsidR="1C48A364" w:rsidRPr="39FD2FE9">
        <w:rPr>
          <w:rFonts w:ascii="Arial" w:eastAsia="Arial" w:hAnsi="Arial" w:cs="Arial"/>
        </w:rPr>
        <w:t xml:space="preserve"> </w:t>
      </w:r>
      <w:r w:rsidR="35575D45" w:rsidRPr="39FD2FE9">
        <w:rPr>
          <w:rFonts w:ascii="Arial" w:eastAsia="Arial" w:hAnsi="Arial" w:cs="Arial"/>
        </w:rPr>
        <w:t xml:space="preserve">Our </w:t>
      </w:r>
      <w:r w:rsidR="3DB38312" w:rsidRPr="39FD2FE9">
        <w:rPr>
          <w:rFonts w:ascii="Arial" w:eastAsia="Arial" w:hAnsi="Arial" w:cs="Arial"/>
        </w:rPr>
        <w:t>submission</w:t>
      </w:r>
      <w:r w:rsidR="02FAB707" w:rsidRPr="39FD2FE9">
        <w:rPr>
          <w:rFonts w:ascii="Arial" w:eastAsia="Arial" w:hAnsi="Arial" w:cs="Arial"/>
        </w:rPr>
        <w:t xml:space="preserve"> focuses on the growing use of </w:t>
      </w:r>
      <w:r w:rsidR="00973569">
        <w:rPr>
          <w:rFonts w:ascii="Arial" w:eastAsia="Arial" w:hAnsi="Arial" w:cs="Arial"/>
        </w:rPr>
        <w:t>‘</w:t>
      </w:r>
      <w:r w:rsidR="02FAB707" w:rsidRPr="39FD2FE9">
        <w:rPr>
          <w:rFonts w:ascii="Arial" w:eastAsia="Arial" w:hAnsi="Arial" w:cs="Arial"/>
        </w:rPr>
        <w:t>foreign agent</w:t>
      </w:r>
      <w:r w:rsidR="00973569">
        <w:rPr>
          <w:rFonts w:ascii="Arial" w:eastAsia="Arial" w:hAnsi="Arial" w:cs="Arial"/>
        </w:rPr>
        <w:t>’</w:t>
      </w:r>
      <w:r w:rsidR="02FAB707" w:rsidRPr="39FD2FE9">
        <w:rPr>
          <w:rFonts w:ascii="Arial" w:eastAsia="Arial" w:hAnsi="Arial" w:cs="Arial"/>
        </w:rPr>
        <w:t xml:space="preserve"> laws</w:t>
      </w:r>
      <w:r w:rsidR="00973569">
        <w:rPr>
          <w:rFonts w:ascii="Arial" w:eastAsia="Arial" w:hAnsi="Arial" w:cs="Arial"/>
        </w:rPr>
        <w:t>, as well as similar</w:t>
      </w:r>
      <w:r w:rsidR="00973569" w:rsidRPr="00973569">
        <w:rPr>
          <w:rFonts w:ascii="Arial" w:eastAsia="Arial" w:hAnsi="Arial" w:cs="Arial"/>
        </w:rPr>
        <w:t xml:space="preserve"> </w:t>
      </w:r>
      <w:r w:rsidR="008B2C9D">
        <w:rPr>
          <w:rFonts w:ascii="Arial" w:eastAsia="Arial" w:hAnsi="Arial" w:cs="Arial"/>
        </w:rPr>
        <w:t xml:space="preserve">restrictive </w:t>
      </w:r>
      <w:r w:rsidR="00973569">
        <w:rPr>
          <w:rFonts w:ascii="Arial" w:eastAsia="Arial" w:hAnsi="Arial" w:cs="Arial"/>
        </w:rPr>
        <w:t xml:space="preserve">legislation and </w:t>
      </w:r>
      <w:r w:rsidR="00973569" w:rsidRPr="00973569">
        <w:rPr>
          <w:rFonts w:ascii="Arial" w:eastAsia="Arial" w:hAnsi="Arial" w:cs="Arial"/>
        </w:rPr>
        <w:t xml:space="preserve">regulatory regimes </w:t>
      </w:r>
      <w:r w:rsidR="00973569">
        <w:rPr>
          <w:rFonts w:ascii="Arial" w:eastAsia="Arial" w:hAnsi="Arial" w:cs="Arial"/>
        </w:rPr>
        <w:t>under the guise of national security,</w:t>
      </w:r>
      <w:r w:rsidR="6B9C5803" w:rsidRPr="39FD2FE9">
        <w:rPr>
          <w:rFonts w:ascii="Arial" w:eastAsia="Arial" w:hAnsi="Arial" w:cs="Arial"/>
        </w:rPr>
        <w:t xml:space="preserve"> </w:t>
      </w:r>
      <w:r w:rsidR="02FAB707" w:rsidRPr="39FD2FE9">
        <w:rPr>
          <w:rFonts w:ascii="Arial" w:eastAsia="Arial" w:hAnsi="Arial" w:cs="Arial"/>
        </w:rPr>
        <w:t>and</w:t>
      </w:r>
      <w:r w:rsidR="3DB38312" w:rsidRPr="39FD2FE9">
        <w:rPr>
          <w:rFonts w:ascii="Arial" w:eastAsia="Arial" w:hAnsi="Arial" w:cs="Arial"/>
        </w:rPr>
        <w:t xml:space="preserve"> </w:t>
      </w:r>
      <w:r w:rsidR="00973569">
        <w:rPr>
          <w:rFonts w:ascii="Arial" w:eastAsia="Arial" w:hAnsi="Arial" w:cs="Arial"/>
        </w:rPr>
        <w:t>encourages</w:t>
      </w:r>
      <w:r w:rsidR="3DB38312" w:rsidRPr="39FD2FE9">
        <w:rPr>
          <w:rFonts w:ascii="Arial" w:eastAsia="Arial" w:hAnsi="Arial" w:cs="Arial"/>
        </w:rPr>
        <w:t xml:space="preserve"> strengthen</w:t>
      </w:r>
      <w:r w:rsidR="00973569">
        <w:rPr>
          <w:rFonts w:ascii="Arial" w:eastAsia="Arial" w:hAnsi="Arial" w:cs="Arial"/>
        </w:rPr>
        <w:t>ing</w:t>
      </w:r>
      <w:r w:rsidR="3DB38312" w:rsidRPr="39FD2FE9">
        <w:rPr>
          <w:rFonts w:ascii="Arial" w:eastAsia="Arial" w:hAnsi="Arial" w:cs="Arial"/>
        </w:rPr>
        <w:t xml:space="preserve"> </w:t>
      </w:r>
      <w:r w:rsidR="1C48A364" w:rsidRPr="39FD2FE9">
        <w:rPr>
          <w:rFonts w:ascii="Arial" w:eastAsia="Arial" w:hAnsi="Arial" w:cs="Arial"/>
        </w:rPr>
        <w:t>guidance on th</w:t>
      </w:r>
      <w:r w:rsidR="00973569">
        <w:rPr>
          <w:rFonts w:ascii="Arial" w:eastAsia="Arial" w:hAnsi="Arial" w:cs="Arial"/>
        </w:rPr>
        <w:t>ese</w:t>
      </w:r>
      <w:r w:rsidR="0884A714" w:rsidRPr="39FD2FE9">
        <w:rPr>
          <w:rFonts w:ascii="Arial" w:eastAsia="Arial" w:hAnsi="Arial" w:cs="Arial"/>
        </w:rPr>
        <w:t xml:space="preserve"> issue</w:t>
      </w:r>
      <w:r w:rsidR="00973569">
        <w:rPr>
          <w:rFonts w:ascii="Arial" w:eastAsia="Arial" w:hAnsi="Arial" w:cs="Arial"/>
        </w:rPr>
        <w:t>s</w:t>
      </w:r>
      <w:r w:rsidR="0884A714" w:rsidRPr="39FD2FE9">
        <w:rPr>
          <w:rFonts w:ascii="Arial" w:eastAsia="Arial" w:hAnsi="Arial" w:cs="Arial"/>
        </w:rPr>
        <w:t xml:space="preserve"> in the draft. </w:t>
      </w:r>
    </w:p>
    <w:p w14:paraId="7466EBC3" w14:textId="77777777" w:rsidR="00427DA3" w:rsidRPr="00427DA3" w:rsidRDefault="00427DA3" w:rsidP="00427DA3">
      <w:pPr>
        <w:pStyle w:val="ListParagraph"/>
        <w:spacing w:before="240" w:line="360" w:lineRule="auto"/>
        <w:ind w:left="76"/>
        <w:jc w:val="both"/>
        <w:rPr>
          <w:rFonts w:ascii="Arial" w:eastAsia="Arial" w:hAnsi="Arial" w:cs="Arial"/>
        </w:rPr>
      </w:pPr>
    </w:p>
    <w:p w14:paraId="78A5502D" w14:textId="082ECCF3" w:rsidR="7EB93255" w:rsidRDefault="008B2C9D" w:rsidP="39FD2FE9">
      <w:pPr>
        <w:pStyle w:val="ListParagraph"/>
        <w:spacing w:before="240" w:line="360" w:lineRule="auto"/>
        <w:ind w:left="284" w:hanging="568"/>
        <w:jc w:val="both"/>
        <w:rPr>
          <w:rFonts w:ascii="Arial" w:eastAsia="Arial" w:hAnsi="Arial" w:cs="Arial"/>
          <w:b/>
          <w:bCs/>
        </w:rPr>
      </w:pPr>
      <w:r>
        <w:rPr>
          <w:rFonts w:ascii="Arial" w:eastAsia="Arial" w:hAnsi="Arial" w:cs="Arial"/>
          <w:b/>
          <w:bCs/>
        </w:rPr>
        <w:t>‘</w:t>
      </w:r>
      <w:r w:rsidR="7EB93255" w:rsidRPr="39FD2FE9">
        <w:rPr>
          <w:rFonts w:ascii="Arial" w:eastAsia="Arial" w:hAnsi="Arial" w:cs="Arial"/>
          <w:b/>
          <w:bCs/>
        </w:rPr>
        <w:t xml:space="preserve">Foreign </w:t>
      </w:r>
      <w:r>
        <w:rPr>
          <w:rFonts w:ascii="Arial" w:eastAsia="Arial" w:hAnsi="Arial" w:cs="Arial"/>
          <w:b/>
          <w:bCs/>
        </w:rPr>
        <w:t>a</w:t>
      </w:r>
      <w:r w:rsidR="7EB93255" w:rsidRPr="39FD2FE9">
        <w:rPr>
          <w:rFonts w:ascii="Arial" w:eastAsia="Arial" w:hAnsi="Arial" w:cs="Arial"/>
          <w:b/>
          <w:bCs/>
        </w:rPr>
        <w:t>gent</w:t>
      </w:r>
      <w:r>
        <w:rPr>
          <w:rFonts w:ascii="Arial" w:eastAsia="Arial" w:hAnsi="Arial" w:cs="Arial"/>
          <w:b/>
          <w:bCs/>
        </w:rPr>
        <w:t>’</w:t>
      </w:r>
      <w:r w:rsidR="7EB93255" w:rsidRPr="39FD2FE9">
        <w:rPr>
          <w:rFonts w:ascii="Arial" w:eastAsia="Arial" w:hAnsi="Arial" w:cs="Arial"/>
          <w:b/>
          <w:bCs/>
        </w:rPr>
        <w:t xml:space="preserve"> </w:t>
      </w:r>
      <w:r>
        <w:rPr>
          <w:rFonts w:ascii="Arial" w:eastAsia="Arial" w:hAnsi="Arial" w:cs="Arial"/>
          <w:b/>
          <w:bCs/>
        </w:rPr>
        <w:t>l</w:t>
      </w:r>
      <w:r w:rsidR="7EB93255" w:rsidRPr="39FD2FE9">
        <w:rPr>
          <w:rFonts w:ascii="Arial" w:eastAsia="Arial" w:hAnsi="Arial" w:cs="Arial"/>
          <w:b/>
          <w:bCs/>
        </w:rPr>
        <w:t>aws</w:t>
      </w:r>
    </w:p>
    <w:p w14:paraId="28150AB1" w14:textId="3D33DF55" w:rsidR="39FD2FE9" w:rsidRDefault="39FD2FE9" w:rsidP="39FD2FE9">
      <w:pPr>
        <w:pStyle w:val="ListParagraph"/>
        <w:spacing w:before="240" w:line="360" w:lineRule="auto"/>
        <w:ind w:left="-284"/>
        <w:jc w:val="both"/>
        <w:rPr>
          <w:rFonts w:ascii="Arial" w:eastAsia="Arial" w:hAnsi="Arial" w:cs="Arial"/>
        </w:rPr>
      </w:pPr>
    </w:p>
    <w:p w14:paraId="368D3919" w14:textId="6468D997" w:rsidR="00427DA3" w:rsidRPr="008B43FB" w:rsidRDefault="00427DA3" w:rsidP="008B43FB">
      <w:pPr>
        <w:pStyle w:val="ListParagraph"/>
        <w:numPr>
          <w:ilvl w:val="0"/>
          <w:numId w:val="5"/>
        </w:numPr>
        <w:spacing w:before="240" w:line="360" w:lineRule="auto"/>
        <w:jc w:val="both"/>
        <w:rPr>
          <w:rFonts w:ascii="Arial" w:eastAsia="Arial" w:hAnsi="Arial" w:cs="Arial"/>
        </w:rPr>
      </w:pPr>
      <w:r w:rsidRPr="39FD2FE9">
        <w:rPr>
          <w:rFonts w:ascii="Arial" w:eastAsia="Arial" w:hAnsi="Arial" w:cs="Arial"/>
        </w:rPr>
        <w:lastRenderedPageBreak/>
        <w:t xml:space="preserve">We appreciate that the Human Rights Committee has addressed the use of </w:t>
      </w:r>
      <w:r>
        <w:rPr>
          <w:rFonts w:ascii="Arial" w:eastAsia="Arial" w:hAnsi="Arial" w:cs="Arial"/>
        </w:rPr>
        <w:t>‘</w:t>
      </w:r>
      <w:r w:rsidRPr="39FD2FE9">
        <w:rPr>
          <w:rFonts w:ascii="Arial" w:eastAsia="Arial" w:hAnsi="Arial" w:cs="Arial"/>
        </w:rPr>
        <w:t>foreign agent</w:t>
      </w:r>
      <w:r>
        <w:rPr>
          <w:rFonts w:ascii="Arial" w:eastAsia="Arial" w:hAnsi="Arial" w:cs="Arial"/>
        </w:rPr>
        <w:t>’</w:t>
      </w:r>
      <w:r w:rsidRPr="39FD2FE9">
        <w:rPr>
          <w:rFonts w:ascii="Arial" w:eastAsia="Arial" w:hAnsi="Arial" w:cs="Arial"/>
        </w:rPr>
        <w:t xml:space="preserve"> </w:t>
      </w:r>
      <w:r w:rsidR="008B43FB">
        <w:rPr>
          <w:rFonts w:ascii="Arial" w:eastAsia="Arial" w:hAnsi="Arial" w:cs="Arial"/>
        </w:rPr>
        <w:t xml:space="preserve">laws </w:t>
      </w:r>
      <w:r w:rsidRPr="39FD2FE9">
        <w:rPr>
          <w:rFonts w:ascii="Arial" w:eastAsia="Arial" w:hAnsi="Arial" w:cs="Arial"/>
        </w:rPr>
        <w:t xml:space="preserve">and similar </w:t>
      </w:r>
      <w:r w:rsidR="008B43FB">
        <w:rPr>
          <w:rFonts w:ascii="Arial" w:eastAsia="Arial" w:hAnsi="Arial" w:cs="Arial"/>
        </w:rPr>
        <w:t>legislation</w:t>
      </w:r>
      <w:r w:rsidRPr="39FD2FE9">
        <w:rPr>
          <w:rFonts w:ascii="Arial" w:eastAsia="Arial" w:hAnsi="Arial" w:cs="Arial"/>
        </w:rPr>
        <w:t xml:space="preserve"> in the draft. We welcome the recognition in </w:t>
      </w:r>
      <w:r w:rsidRPr="39FD2FE9">
        <w:rPr>
          <w:rFonts w:ascii="Arial" w:eastAsia="Arial" w:hAnsi="Arial" w:cs="Arial"/>
          <w:b/>
          <w:bCs/>
        </w:rPr>
        <w:t>paragraph 14</w:t>
      </w:r>
      <w:r w:rsidRPr="39FD2FE9">
        <w:rPr>
          <w:rFonts w:ascii="Arial" w:eastAsia="Arial" w:hAnsi="Arial" w:cs="Arial"/>
        </w:rPr>
        <w:t xml:space="preserve"> that the right to association covers the right to seek, receive</w:t>
      </w:r>
      <w:r>
        <w:rPr>
          <w:rFonts w:ascii="Arial" w:eastAsia="Arial" w:hAnsi="Arial" w:cs="Arial"/>
        </w:rPr>
        <w:t>,</w:t>
      </w:r>
      <w:r w:rsidRPr="39FD2FE9">
        <w:rPr>
          <w:rFonts w:ascii="Arial" w:eastAsia="Arial" w:hAnsi="Arial" w:cs="Arial"/>
        </w:rPr>
        <w:t xml:space="preserve"> and expend funding and other material resources from abroad without the risk of being labelled a </w:t>
      </w:r>
      <w:r>
        <w:rPr>
          <w:rFonts w:ascii="Arial" w:eastAsia="Arial" w:hAnsi="Arial" w:cs="Arial"/>
        </w:rPr>
        <w:t>‘</w:t>
      </w:r>
      <w:r w:rsidRPr="39FD2FE9">
        <w:rPr>
          <w:rFonts w:ascii="Arial" w:eastAsia="Arial" w:hAnsi="Arial" w:cs="Arial"/>
        </w:rPr>
        <w:t>foreign agent</w:t>
      </w:r>
      <w:r>
        <w:rPr>
          <w:rFonts w:ascii="Arial" w:eastAsia="Arial" w:hAnsi="Arial" w:cs="Arial"/>
        </w:rPr>
        <w:t>’</w:t>
      </w:r>
      <w:r w:rsidRPr="39FD2FE9">
        <w:rPr>
          <w:rFonts w:ascii="Arial" w:eastAsia="Arial" w:hAnsi="Arial" w:cs="Arial"/>
        </w:rPr>
        <w:t xml:space="preserve"> or a threat to national security. We also welcome the emphasis in </w:t>
      </w:r>
      <w:r w:rsidRPr="39FD2FE9">
        <w:rPr>
          <w:rFonts w:ascii="Arial" w:eastAsia="Arial" w:hAnsi="Arial" w:cs="Arial"/>
          <w:b/>
          <w:bCs/>
        </w:rPr>
        <w:t>paragraph 49</w:t>
      </w:r>
      <w:r w:rsidRPr="39FD2FE9">
        <w:rPr>
          <w:rFonts w:ascii="Arial" w:eastAsia="Arial" w:hAnsi="Arial" w:cs="Arial"/>
        </w:rPr>
        <w:t xml:space="preserve"> that the invocation of </w:t>
      </w:r>
      <w:r>
        <w:rPr>
          <w:rFonts w:ascii="Arial" w:eastAsia="Arial" w:hAnsi="Arial" w:cs="Arial"/>
        </w:rPr>
        <w:t>‘</w:t>
      </w:r>
      <w:r w:rsidRPr="39FD2FE9">
        <w:rPr>
          <w:rFonts w:ascii="Arial" w:eastAsia="Arial" w:hAnsi="Arial" w:cs="Arial"/>
        </w:rPr>
        <w:t>foreign agent</w:t>
      </w:r>
      <w:r>
        <w:rPr>
          <w:rFonts w:ascii="Arial" w:eastAsia="Arial" w:hAnsi="Arial" w:cs="Arial"/>
        </w:rPr>
        <w:t>’</w:t>
      </w:r>
      <w:r w:rsidRPr="39FD2FE9">
        <w:rPr>
          <w:rFonts w:ascii="Arial" w:eastAsia="Arial" w:hAnsi="Arial" w:cs="Arial"/>
        </w:rPr>
        <w:t xml:space="preserve"> or similar laws is not a legitimate goal for restricting the right to freedom of association.</w:t>
      </w:r>
      <w:r w:rsidR="008B43FB">
        <w:rPr>
          <w:rFonts w:ascii="Arial" w:eastAsia="Arial" w:hAnsi="Arial" w:cs="Arial"/>
        </w:rPr>
        <w:t xml:space="preserve"> </w:t>
      </w:r>
      <w:r w:rsidRPr="008B43FB">
        <w:rPr>
          <w:rFonts w:ascii="Arial" w:eastAsia="Arial" w:hAnsi="Arial" w:cs="Arial"/>
        </w:rPr>
        <w:t xml:space="preserve">However, we recommend elaborating further on the growing use of </w:t>
      </w:r>
      <w:r w:rsidR="008B43FB" w:rsidRPr="008B43FB">
        <w:rPr>
          <w:rFonts w:ascii="Arial" w:eastAsia="Arial" w:hAnsi="Arial" w:cs="Arial"/>
        </w:rPr>
        <w:t>these laws</w:t>
      </w:r>
      <w:r w:rsidRPr="008B43FB">
        <w:rPr>
          <w:rFonts w:ascii="Arial" w:eastAsia="Arial" w:hAnsi="Arial" w:cs="Arial"/>
        </w:rPr>
        <w:t xml:space="preserve"> throughout the text given their devasting effects on the rights to freedom of association and freedom of expression.</w:t>
      </w:r>
    </w:p>
    <w:p w14:paraId="7339EEF7" w14:textId="77777777" w:rsidR="00427DA3" w:rsidRPr="00427DA3" w:rsidRDefault="00427DA3" w:rsidP="00427DA3">
      <w:pPr>
        <w:pStyle w:val="ListParagraph"/>
        <w:spacing w:before="240" w:line="360" w:lineRule="auto"/>
        <w:ind w:left="76"/>
        <w:jc w:val="both"/>
      </w:pPr>
    </w:p>
    <w:p w14:paraId="080AC129" w14:textId="2B6F987E" w:rsidR="69044C74" w:rsidRDefault="69044C74" w:rsidP="00973569">
      <w:pPr>
        <w:pStyle w:val="ListParagraph"/>
        <w:numPr>
          <w:ilvl w:val="0"/>
          <w:numId w:val="5"/>
        </w:numPr>
        <w:spacing w:before="240" w:line="360" w:lineRule="auto"/>
        <w:jc w:val="both"/>
      </w:pPr>
      <w:r w:rsidRPr="39FD2FE9">
        <w:rPr>
          <w:rFonts w:ascii="Arial" w:eastAsia="Arial" w:hAnsi="Arial" w:cs="Arial"/>
        </w:rPr>
        <w:t>We note the trend of increased State control over the legitimate operations of civil society under the guises of ‘national security’, ‘public order’</w:t>
      </w:r>
      <w:r w:rsidR="6E5E99C0" w:rsidRPr="39FD2FE9">
        <w:rPr>
          <w:rFonts w:ascii="Arial" w:eastAsia="Arial" w:hAnsi="Arial" w:cs="Arial"/>
        </w:rPr>
        <w:t>,</w:t>
      </w:r>
      <w:r w:rsidRPr="39FD2FE9">
        <w:rPr>
          <w:rFonts w:ascii="Arial" w:eastAsia="Arial" w:hAnsi="Arial" w:cs="Arial"/>
        </w:rPr>
        <w:t xml:space="preserve"> or ill</w:t>
      </w:r>
      <w:r w:rsidR="7F7151C1" w:rsidRPr="39FD2FE9">
        <w:rPr>
          <w:rFonts w:ascii="Arial" w:eastAsia="Arial" w:hAnsi="Arial" w:cs="Arial"/>
        </w:rPr>
        <w:t>-</w:t>
      </w:r>
      <w:r w:rsidRPr="39FD2FE9">
        <w:rPr>
          <w:rFonts w:ascii="Arial" w:eastAsia="Arial" w:hAnsi="Arial" w:cs="Arial"/>
        </w:rPr>
        <w:t xml:space="preserve">defined ‘transparency’. Within this trend, a particular subset of measures </w:t>
      </w:r>
      <w:bookmarkStart w:id="0" w:name="_Int_foPqb1im"/>
      <w:r w:rsidRPr="39FD2FE9">
        <w:rPr>
          <w:rFonts w:ascii="Arial" w:eastAsia="Arial" w:hAnsi="Arial" w:cs="Arial"/>
        </w:rPr>
        <w:t>are</w:t>
      </w:r>
      <w:bookmarkEnd w:id="0"/>
      <w:r w:rsidRPr="39FD2FE9">
        <w:rPr>
          <w:rFonts w:ascii="Arial" w:eastAsia="Arial" w:hAnsi="Arial" w:cs="Arial"/>
        </w:rPr>
        <w:t xml:space="preserve"> presented as responses to malign foreign influence or interference. In recent years, legislative measures, including those that might be bundled under the umbrella term of ‘foreign agent’ laws, have been proposed</w:t>
      </w:r>
      <w:r w:rsidR="00973569">
        <w:rPr>
          <w:rFonts w:ascii="Arial" w:eastAsia="Arial" w:hAnsi="Arial" w:cs="Arial"/>
        </w:rPr>
        <w:t xml:space="preserve">, </w:t>
      </w:r>
      <w:r w:rsidRPr="39FD2FE9">
        <w:rPr>
          <w:rFonts w:ascii="Arial" w:eastAsia="Arial" w:hAnsi="Arial" w:cs="Arial"/>
        </w:rPr>
        <w:t xml:space="preserve">enacted, or made more restrictive in numerous countries and regions: Bosnia and Herzegovina, </w:t>
      </w:r>
      <w:r w:rsidR="00973569" w:rsidRPr="39FD2FE9">
        <w:rPr>
          <w:rFonts w:ascii="Arial" w:eastAsia="Arial" w:hAnsi="Arial" w:cs="Arial"/>
        </w:rPr>
        <w:t>China</w:t>
      </w:r>
      <w:r w:rsidR="00973569">
        <w:rPr>
          <w:rFonts w:ascii="Arial" w:eastAsia="Arial" w:hAnsi="Arial" w:cs="Arial"/>
        </w:rPr>
        <w:t xml:space="preserve">, </w:t>
      </w:r>
      <w:r w:rsidR="00737F05">
        <w:rPr>
          <w:rFonts w:ascii="Arial" w:eastAsia="Arial" w:hAnsi="Arial" w:cs="Arial"/>
        </w:rPr>
        <w:t xml:space="preserve">Georgia, </w:t>
      </w:r>
      <w:r w:rsidR="00973569" w:rsidRPr="39FD2FE9">
        <w:rPr>
          <w:rFonts w:ascii="Arial" w:eastAsia="Arial" w:hAnsi="Arial" w:cs="Arial"/>
        </w:rPr>
        <w:t>Hungary, Kyrgyzstan</w:t>
      </w:r>
      <w:r w:rsidR="00973569">
        <w:rPr>
          <w:rFonts w:ascii="Arial" w:eastAsia="Arial" w:hAnsi="Arial" w:cs="Arial"/>
        </w:rPr>
        <w:t xml:space="preserve">, </w:t>
      </w:r>
      <w:r w:rsidR="00973569" w:rsidRPr="39FD2FE9">
        <w:rPr>
          <w:rFonts w:ascii="Arial" w:eastAsia="Arial" w:hAnsi="Arial" w:cs="Arial"/>
        </w:rPr>
        <w:t>Russia</w:t>
      </w:r>
      <w:r w:rsidR="00973569">
        <w:rPr>
          <w:rFonts w:ascii="Arial" w:eastAsia="Arial" w:hAnsi="Arial" w:cs="Arial"/>
        </w:rPr>
        <w:t xml:space="preserve">, </w:t>
      </w:r>
      <w:r w:rsidR="00973569" w:rsidRPr="39FD2FE9">
        <w:rPr>
          <w:rFonts w:ascii="Arial" w:eastAsia="Arial" w:hAnsi="Arial" w:cs="Arial"/>
        </w:rPr>
        <w:t>Slovakia, Türkiye</w:t>
      </w:r>
      <w:r w:rsidRPr="39FD2FE9">
        <w:rPr>
          <w:rFonts w:ascii="Arial" w:eastAsia="Arial" w:hAnsi="Arial" w:cs="Arial"/>
        </w:rPr>
        <w:t>, etc.</w:t>
      </w:r>
      <w:r w:rsidR="00973569">
        <w:rPr>
          <w:rFonts w:ascii="Arial" w:eastAsia="Arial" w:hAnsi="Arial" w:cs="Arial"/>
        </w:rPr>
        <w:t xml:space="preserve"> </w:t>
      </w:r>
      <w:r w:rsidR="3028D489" w:rsidRPr="39FD2FE9">
        <w:rPr>
          <w:rFonts w:ascii="Arial" w:eastAsia="Arial" w:hAnsi="Arial" w:cs="Arial"/>
        </w:rPr>
        <w:t>In pr</w:t>
      </w:r>
      <w:r w:rsidR="3C30068C" w:rsidRPr="39FD2FE9">
        <w:rPr>
          <w:rFonts w:ascii="Arial" w:eastAsia="Arial" w:hAnsi="Arial" w:cs="Arial"/>
        </w:rPr>
        <w:t>actice</w:t>
      </w:r>
      <w:r w:rsidR="3028D489" w:rsidRPr="39FD2FE9">
        <w:rPr>
          <w:rFonts w:ascii="Arial" w:eastAsia="Arial" w:hAnsi="Arial" w:cs="Arial"/>
        </w:rPr>
        <w:t xml:space="preserve">, the purpose and effect of </w:t>
      </w:r>
      <w:r w:rsidR="7770A1D3" w:rsidRPr="39FD2FE9">
        <w:rPr>
          <w:rFonts w:ascii="Arial" w:eastAsia="Arial" w:hAnsi="Arial" w:cs="Arial"/>
        </w:rPr>
        <w:t>these</w:t>
      </w:r>
      <w:r w:rsidR="093DDE67" w:rsidRPr="39FD2FE9">
        <w:rPr>
          <w:rFonts w:ascii="Arial" w:eastAsia="Arial" w:hAnsi="Arial" w:cs="Arial"/>
        </w:rPr>
        <w:t xml:space="preserve"> regulations</w:t>
      </w:r>
      <w:r w:rsidR="3028D489" w:rsidRPr="39FD2FE9">
        <w:rPr>
          <w:rFonts w:ascii="Arial" w:eastAsia="Arial" w:hAnsi="Arial" w:cs="Arial"/>
        </w:rPr>
        <w:t xml:space="preserve"> is to prevent </w:t>
      </w:r>
      <w:r w:rsidR="035D61BA" w:rsidRPr="39FD2FE9">
        <w:rPr>
          <w:rFonts w:ascii="Arial" w:eastAsia="Arial" w:hAnsi="Arial" w:cs="Arial"/>
        </w:rPr>
        <w:t>civil society</w:t>
      </w:r>
      <w:r w:rsidR="3028D489" w:rsidRPr="39FD2FE9">
        <w:rPr>
          <w:rFonts w:ascii="Arial" w:eastAsia="Arial" w:hAnsi="Arial" w:cs="Arial"/>
        </w:rPr>
        <w:t>, human rights defenders, and other</w:t>
      </w:r>
      <w:r w:rsidR="00737F05">
        <w:rPr>
          <w:rFonts w:ascii="Arial" w:eastAsia="Arial" w:hAnsi="Arial" w:cs="Arial"/>
        </w:rPr>
        <w:t xml:space="preserve"> actors</w:t>
      </w:r>
      <w:r w:rsidR="3028D489" w:rsidRPr="39FD2FE9">
        <w:rPr>
          <w:rFonts w:ascii="Arial" w:eastAsia="Arial" w:hAnsi="Arial" w:cs="Arial"/>
        </w:rPr>
        <w:t xml:space="preserve"> from </w:t>
      </w:r>
      <w:r w:rsidR="00737F05">
        <w:rPr>
          <w:rFonts w:ascii="Arial" w:eastAsia="Arial" w:hAnsi="Arial" w:cs="Arial"/>
        </w:rPr>
        <w:t xml:space="preserve">expressing dissent and political opposition. </w:t>
      </w:r>
      <w:r w:rsidR="3028D489" w:rsidRPr="39FD2FE9">
        <w:rPr>
          <w:rFonts w:ascii="Arial" w:eastAsia="Arial" w:hAnsi="Arial" w:cs="Arial"/>
        </w:rPr>
        <w:t xml:space="preserve"> </w:t>
      </w:r>
    </w:p>
    <w:p w14:paraId="465205DB" w14:textId="2524839A" w:rsidR="39FD2FE9" w:rsidRDefault="39FD2FE9" w:rsidP="39FD2FE9">
      <w:pPr>
        <w:pStyle w:val="ListParagraph"/>
        <w:spacing w:before="240" w:line="360" w:lineRule="auto"/>
        <w:ind w:left="-284"/>
        <w:jc w:val="both"/>
        <w:rPr>
          <w:rFonts w:ascii="Arial" w:eastAsia="Arial" w:hAnsi="Arial" w:cs="Arial"/>
        </w:rPr>
      </w:pPr>
    </w:p>
    <w:p w14:paraId="11CEEB58" w14:textId="7BF75923" w:rsidR="00AF629A" w:rsidRDefault="153E4D97" w:rsidP="00737F05">
      <w:pPr>
        <w:pStyle w:val="ListParagraph"/>
        <w:numPr>
          <w:ilvl w:val="0"/>
          <w:numId w:val="5"/>
        </w:numPr>
        <w:spacing w:before="240" w:line="360" w:lineRule="auto"/>
        <w:jc w:val="both"/>
        <w:rPr>
          <w:rFonts w:ascii="Arial" w:eastAsia="Arial" w:hAnsi="Arial" w:cs="Arial"/>
        </w:rPr>
      </w:pPr>
      <w:r w:rsidRPr="39FD2FE9">
        <w:rPr>
          <w:rFonts w:ascii="Arial" w:eastAsia="Arial" w:hAnsi="Arial" w:cs="Arial"/>
        </w:rPr>
        <w:t>The following examples are intended to illustrate this broader global trend and the recurring human rights concerns it presents, rather than to provide an exhaustive survey of national legislation</w:t>
      </w:r>
      <w:r w:rsidR="2222088F" w:rsidRPr="39FD2FE9">
        <w:rPr>
          <w:rFonts w:ascii="Arial" w:eastAsia="Arial" w:hAnsi="Arial" w:cs="Arial"/>
        </w:rPr>
        <w:t>:</w:t>
      </w:r>
    </w:p>
    <w:p w14:paraId="1051138C" w14:textId="77777777" w:rsidR="00E559EB" w:rsidRPr="00E559EB" w:rsidRDefault="00E559EB" w:rsidP="39FD2FE9">
      <w:pPr>
        <w:pStyle w:val="ListParagraph"/>
        <w:rPr>
          <w:rFonts w:ascii="Arial" w:eastAsia="Arial" w:hAnsi="Arial" w:cs="Arial"/>
        </w:rPr>
      </w:pPr>
    </w:p>
    <w:p w14:paraId="49097BFA" w14:textId="07F01012" w:rsidR="00A0226C" w:rsidRDefault="3028D489" w:rsidP="39FD2FE9">
      <w:pPr>
        <w:pStyle w:val="ListParagraph"/>
        <w:numPr>
          <w:ilvl w:val="0"/>
          <w:numId w:val="1"/>
        </w:numPr>
        <w:spacing w:before="240" w:line="360" w:lineRule="auto"/>
        <w:jc w:val="both"/>
        <w:rPr>
          <w:rFonts w:ascii="Arial" w:eastAsia="Arial" w:hAnsi="Arial" w:cs="Arial"/>
        </w:rPr>
      </w:pPr>
      <w:r w:rsidRPr="39FD2FE9">
        <w:rPr>
          <w:rFonts w:ascii="Arial" w:eastAsia="Arial" w:hAnsi="Arial" w:cs="Arial"/>
          <w:b/>
          <w:bCs/>
        </w:rPr>
        <w:t>Georgia</w:t>
      </w:r>
      <w:r w:rsidRPr="39FD2FE9">
        <w:rPr>
          <w:rFonts w:ascii="Arial" w:eastAsia="Arial" w:hAnsi="Arial" w:cs="Arial"/>
        </w:rPr>
        <w:t xml:space="preserve"> is </w:t>
      </w:r>
      <w:r w:rsidR="5180F333" w:rsidRPr="39FD2FE9">
        <w:rPr>
          <w:rFonts w:ascii="Arial" w:eastAsia="Arial" w:hAnsi="Arial" w:cs="Arial"/>
        </w:rPr>
        <w:t>among most recent examples of</w:t>
      </w:r>
      <w:r w:rsidRPr="39FD2FE9">
        <w:rPr>
          <w:rFonts w:ascii="Arial" w:eastAsia="Arial" w:hAnsi="Arial" w:cs="Arial"/>
        </w:rPr>
        <w:t xml:space="preserve"> countr</w:t>
      </w:r>
      <w:r w:rsidR="5180F333" w:rsidRPr="39FD2FE9">
        <w:rPr>
          <w:rFonts w:ascii="Arial" w:eastAsia="Arial" w:hAnsi="Arial" w:cs="Arial"/>
        </w:rPr>
        <w:t>ies</w:t>
      </w:r>
      <w:r w:rsidRPr="39FD2FE9">
        <w:rPr>
          <w:rFonts w:ascii="Arial" w:eastAsia="Arial" w:hAnsi="Arial" w:cs="Arial"/>
        </w:rPr>
        <w:t xml:space="preserve"> </w:t>
      </w:r>
      <w:r w:rsidR="5180F333" w:rsidRPr="39FD2FE9">
        <w:rPr>
          <w:rFonts w:ascii="Arial" w:eastAsia="Arial" w:hAnsi="Arial" w:cs="Arial"/>
        </w:rPr>
        <w:t>having successfully</w:t>
      </w:r>
      <w:r w:rsidRPr="39FD2FE9">
        <w:rPr>
          <w:rFonts w:ascii="Arial" w:eastAsia="Arial" w:hAnsi="Arial" w:cs="Arial"/>
        </w:rPr>
        <w:t xml:space="preserve"> passed</w:t>
      </w:r>
      <w:r w:rsidR="5180F333" w:rsidRPr="39FD2FE9">
        <w:rPr>
          <w:rFonts w:ascii="Arial" w:eastAsia="Arial" w:hAnsi="Arial" w:cs="Arial"/>
        </w:rPr>
        <w:t xml:space="preserve"> a</w:t>
      </w:r>
      <w:r w:rsidRPr="39FD2FE9">
        <w:rPr>
          <w:rFonts w:ascii="Arial" w:eastAsia="Arial" w:hAnsi="Arial" w:cs="Arial"/>
        </w:rPr>
        <w:t xml:space="preserve"> </w:t>
      </w:r>
      <w:r w:rsidR="1122CF0C" w:rsidRPr="39FD2FE9">
        <w:rPr>
          <w:rFonts w:ascii="Arial" w:eastAsia="Arial" w:hAnsi="Arial" w:cs="Arial"/>
        </w:rPr>
        <w:t>‘</w:t>
      </w:r>
      <w:r w:rsidRPr="39FD2FE9">
        <w:rPr>
          <w:rFonts w:ascii="Arial" w:eastAsia="Arial" w:hAnsi="Arial" w:cs="Arial"/>
        </w:rPr>
        <w:t>foreign agent</w:t>
      </w:r>
      <w:r w:rsidR="002D7823" w:rsidRPr="39FD2FE9">
        <w:rPr>
          <w:rFonts w:ascii="Arial" w:eastAsia="Arial" w:hAnsi="Arial" w:cs="Arial"/>
        </w:rPr>
        <w:t>’</w:t>
      </w:r>
      <w:r w:rsidRPr="39FD2FE9">
        <w:rPr>
          <w:rFonts w:ascii="Arial" w:eastAsia="Arial" w:hAnsi="Arial" w:cs="Arial"/>
        </w:rPr>
        <w:t xml:space="preserve"> style law. In commenting on the legislation, which follows the now typical model of onerous registration and reporting requirements for associations coupled with significant fines, the Venice Commission </w:t>
      </w:r>
      <w:r w:rsidR="469C473B" w:rsidRPr="39FD2FE9">
        <w:rPr>
          <w:rFonts w:ascii="Arial" w:eastAsia="Arial" w:hAnsi="Arial" w:cs="Arial"/>
        </w:rPr>
        <w:t xml:space="preserve">of the Council of Europe </w:t>
      </w:r>
      <w:r w:rsidRPr="39FD2FE9">
        <w:rPr>
          <w:rFonts w:ascii="Arial" w:eastAsia="Arial" w:hAnsi="Arial" w:cs="Arial"/>
        </w:rPr>
        <w:t>concluded that it enabled “persistent and stigmatising obstacles concentrated in the hands of the state” which “with no doubt complicate and threaten the effective operation and existence of the organisations concerned”.</w:t>
      </w:r>
      <w:r w:rsidR="00A0226C" w:rsidRPr="39FD2FE9">
        <w:rPr>
          <w:rStyle w:val="EndnoteReference"/>
          <w:rFonts w:ascii="Arial" w:eastAsia="Arial" w:hAnsi="Arial" w:cs="Arial"/>
        </w:rPr>
        <w:endnoteReference w:id="1"/>
      </w:r>
      <w:r w:rsidRPr="39FD2FE9">
        <w:rPr>
          <w:rFonts w:ascii="Arial" w:eastAsia="Arial" w:hAnsi="Arial" w:cs="Arial"/>
        </w:rPr>
        <w:t xml:space="preserve"> The Venice Commission found the law incompatible </w:t>
      </w:r>
      <w:r w:rsidRPr="39FD2FE9">
        <w:rPr>
          <w:rFonts w:ascii="Arial" w:eastAsia="Arial" w:hAnsi="Arial" w:cs="Arial"/>
        </w:rPr>
        <w:lastRenderedPageBreak/>
        <w:t>with the rights to freedom of expression, freedom of association</w:t>
      </w:r>
      <w:r w:rsidR="00737F05">
        <w:rPr>
          <w:rFonts w:ascii="Arial" w:eastAsia="Arial" w:hAnsi="Arial" w:cs="Arial"/>
        </w:rPr>
        <w:t>,</w:t>
      </w:r>
      <w:r w:rsidRPr="39FD2FE9">
        <w:rPr>
          <w:rFonts w:ascii="Arial" w:eastAsia="Arial" w:hAnsi="Arial" w:cs="Arial"/>
        </w:rPr>
        <w:t xml:space="preserve"> and privacy, noting the breach of all elements of the three-tier test: legality, legitimacy, necessity</w:t>
      </w:r>
      <w:r w:rsidR="00737F05">
        <w:rPr>
          <w:rFonts w:ascii="Arial" w:eastAsia="Arial" w:hAnsi="Arial" w:cs="Arial"/>
        </w:rPr>
        <w:t>,</w:t>
      </w:r>
      <w:r w:rsidRPr="39FD2FE9">
        <w:rPr>
          <w:rFonts w:ascii="Arial" w:eastAsia="Arial" w:hAnsi="Arial" w:cs="Arial"/>
        </w:rPr>
        <w:t xml:space="preserve"> and proportionality. In addition, creating discriminatory approaches to regulating the activities of associations based on the origin of their funding was found to be in violation of the principle of non-discrimination under Article 14 of the E</w:t>
      </w:r>
      <w:r w:rsidR="5180F333" w:rsidRPr="39FD2FE9">
        <w:rPr>
          <w:rFonts w:ascii="Arial" w:eastAsia="Arial" w:hAnsi="Arial" w:cs="Arial"/>
        </w:rPr>
        <w:t>uropean Convention of Human Rights</w:t>
      </w:r>
      <w:r w:rsidRPr="39FD2FE9">
        <w:rPr>
          <w:rFonts w:ascii="Arial" w:eastAsia="Arial" w:hAnsi="Arial" w:cs="Arial"/>
        </w:rPr>
        <w:t xml:space="preserve">. </w:t>
      </w:r>
    </w:p>
    <w:p w14:paraId="6E5F9CFB" w14:textId="77777777" w:rsidR="00E559EB" w:rsidRPr="00E559EB" w:rsidRDefault="00E559EB" w:rsidP="39FD2FE9">
      <w:pPr>
        <w:pStyle w:val="ListParagraph"/>
        <w:rPr>
          <w:rFonts w:ascii="Arial" w:eastAsia="Arial" w:hAnsi="Arial" w:cs="Arial"/>
        </w:rPr>
      </w:pPr>
    </w:p>
    <w:p w14:paraId="686CE132" w14:textId="72BB2BD5" w:rsidR="00A0226C" w:rsidRDefault="612532CD" w:rsidP="39FD2FE9">
      <w:pPr>
        <w:pStyle w:val="ListParagraph"/>
        <w:numPr>
          <w:ilvl w:val="0"/>
          <w:numId w:val="1"/>
        </w:numPr>
        <w:spacing w:before="240" w:line="360" w:lineRule="auto"/>
        <w:jc w:val="both"/>
        <w:rPr>
          <w:rFonts w:ascii="Arial" w:eastAsia="Arial" w:hAnsi="Arial" w:cs="Arial"/>
        </w:rPr>
      </w:pPr>
      <w:r w:rsidRPr="39FD2FE9">
        <w:rPr>
          <w:rFonts w:ascii="Arial" w:eastAsia="Arial" w:hAnsi="Arial" w:cs="Arial"/>
        </w:rPr>
        <w:t xml:space="preserve">In </w:t>
      </w:r>
      <w:r w:rsidRPr="39FD2FE9">
        <w:rPr>
          <w:rFonts w:ascii="Arial" w:eastAsia="Arial" w:hAnsi="Arial" w:cs="Arial"/>
          <w:b/>
          <w:bCs/>
        </w:rPr>
        <w:t>Russia</w:t>
      </w:r>
      <w:r w:rsidRPr="39FD2FE9">
        <w:rPr>
          <w:rFonts w:ascii="Arial" w:eastAsia="Arial" w:hAnsi="Arial" w:cs="Arial"/>
        </w:rPr>
        <w:t xml:space="preserve">, the scope of </w:t>
      </w:r>
      <w:r w:rsidR="00737F05">
        <w:rPr>
          <w:rFonts w:ascii="Arial" w:eastAsia="Arial" w:hAnsi="Arial" w:cs="Arial"/>
        </w:rPr>
        <w:t>‘</w:t>
      </w:r>
      <w:r w:rsidRPr="39FD2FE9">
        <w:rPr>
          <w:rFonts w:ascii="Arial" w:eastAsia="Arial" w:hAnsi="Arial" w:cs="Arial"/>
        </w:rPr>
        <w:t>foreign agent</w:t>
      </w:r>
      <w:r w:rsidR="00737F05">
        <w:rPr>
          <w:rFonts w:ascii="Arial" w:eastAsia="Arial" w:hAnsi="Arial" w:cs="Arial"/>
        </w:rPr>
        <w:t>’</w:t>
      </w:r>
      <w:r w:rsidRPr="39FD2FE9">
        <w:rPr>
          <w:rFonts w:ascii="Arial" w:eastAsia="Arial" w:hAnsi="Arial" w:cs="Arial"/>
        </w:rPr>
        <w:t xml:space="preserve"> legislation has expanded over time, both by adding new regulatory requirements, harshening sanctions</w:t>
      </w:r>
      <w:r w:rsidR="00737F05">
        <w:rPr>
          <w:rFonts w:ascii="Arial" w:eastAsia="Arial" w:hAnsi="Arial" w:cs="Arial"/>
        </w:rPr>
        <w:t>,</w:t>
      </w:r>
      <w:r w:rsidRPr="39FD2FE9">
        <w:rPr>
          <w:rFonts w:ascii="Arial" w:eastAsia="Arial" w:hAnsi="Arial" w:cs="Arial"/>
        </w:rPr>
        <w:t xml:space="preserve"> and extending its application to new categories of organisations and individuals. Since 2012, the applicability of the ‘foreign agent’ legislative regime, initially aimed at </w:t>
      </w:r>
      <w:r w:rsidR="00737F05" w:rsidRPr="00737F05">
        <w:rPr>
          <w:rFonts w:ascii="Arial" w:eastAsia="Arial" w:hAnsi="Arial" w:cs="Arial"/>
        </w:rPr>
        <w:t>non-governmental organi</w:t>
      </w:r>
      <w:r w:rsidR="00737F05">
        <w:rPr>
          <w:rFonts w:ascii="Arial" w:eastAsia="Arial" w:hAnsi="Arial" w:cs="Arial"/>
        </w:rPr>
        <w:t>s</w:t>
      </w:r>
      <w:r w:rsidR="00737F05" w:rsidRPr="00737F05">
        <w:rPr>
          <w:rFonts w:ascii="Arial" w:eastAsia="Arial" w:hAnsi="Arial" w:cs="Arial"/>
        </w:rPr>
        <w:t>ations</w:t>
      </w:r>
      <w:r w:rsidR="00737F05">
        <w:rPr>
          <w:rFonts w:ascii="Arial" w:eastAsia="Arial" w:hAnsi="Arial" w:cs="Arial"/>
        </w:rPr>
        <w:t xml:space="preserve"> (NGOs)</w:t>
      </w:r>
      <w:r w:rsidRPr="39FD2FE9">
        <w:rPr>
          <w:rFonts w:ascii="Arial" w:eastAsia="Arial" w:hAnsi="Arial" w:cs="Arial"/>
        </w:rPr>
        <w:t>, extended to journalists, lawyers and, most recently, those who report on problems in the military and security</w:t>
      </w:r>
      <w:r w:rsidR="5709BCEC" w:rsidRPr="39FD2FE9">
        <w:rPr>
          <w:rFonts w:ascii="Arial" w:eastAsia="Arial" w:hAnsi="Arial" w:cs="Arial"/>
        </w:rPr>
        <w:t xml:space="preserve"> </w:t>
      </w:r>
      <w:r w:rsidRPr="39FD2FE9">
        <w:rPr>
          <w:rFonts w:ascii="Arial" w:eastAsia="Arial" w:hAnsi="Arial" w:cs="Arial"/>
        </w:rPr>
        <w:t>services.</w:t>
      </w:r>
      <w:r w:rsidR="00A0226C" w:rsidRPr="39FD2FE9">
        <w:rPr>
          <w:rFonts w:ascii="Arial" w:eastAsia="Arial" w:hAnsi="Arial" w:cs="Arial"/>
          <w:vertAlign w:val="superscript"/>
        </w:rPr>
        <w:endnoteReference w:id="2"/>
      </w:r>
      <w:r w:rsidRPr="39FD2FE9">
        <w:rPr>
          <w:rFonts w:ascii="Arial" w:eastAsia="Arial" w:hAnsi="Arial" w:cs="Arial"/>
        </w:rPr>
        <w:t xml:space="preserve"> The </w:t>
      </w:r>
      <w:r w:rsidR="0155F501" w:rsidRPr="39FD2FE9">
        <w:rPr>
          <w:rFonts w:ascii="Arial" w:eastAsia="Arial" w:hAnsi="Arial" w:cs="Arial"/>
        </w:rPr>
        <w:t>Organization for Security and Co-operation in Europe (</w:t>
      </w:r>
      <w:r w:rsidRPr="39FD2FE9">
        <w:rPr>
          <w:rFonts w:ascii="Arial" w:eastAsia="Arial" w:hAnsi="Arial" w:cs="Arial"/>
        </w:rPr>
        <w:t>OSCE</w:t>
      </w:r>
      <w:r w:rsidR="7EB516EB" w:rsidRPr="39FD2FE9">
        <w:rPr>
          <w:rFonts w:ascii="Arial" w:eastAsia="Arial" w:hAnsi="Arial" w:cs="Arial"/>
        </w:rPr>
        <w:t>)</w:t>
      </w:r>
      <w:r w:rsidRPr="39FD2FE9">
        <w:rPr>
          <w:rFonts w:ascii="Arial" w:eastAsia="Arial" w:hAnsi="Arial" w:cs="Arial"/>
        </w:rPr>
        <w:t xml:space="preserve"> Representative on Freedom of the Media</w:t>
      </w:r>
      <w:r w:rsidR="00737F05">
        <w:rPr>
          <w:rFonts w:ascii="Arial" w:eastAsia="Arial" w:hAnsi="Arial" w:cs="Arial"/>
        </w:rPr>
        <w:t xml:space="preserve"> </w:t>
      </w:r>
      <w:r w:rsidRPr="39FD2FE9">
        <w:rPr>
          <w:rFonts w:ascii="Arial" w:eastAsia="Arial" w:hAnsi="Arial" w:cs="Arial"/>
        </w:rPr>
        <w:t>expressed her concerns at this ongoing expansion</w:t>
      </w:r>
      <w:r w:rsidR="00737F05">
        <w:rPr>
          <w:rFonts w:ascii="Arial" w:eastAsia="Arial" w:hAnsi="Arial" w:cs="Arial"/>
        </w:rPr>
        <w:t>,</w:t>
      </w:r>
      <w:r w:rsidRPr="39FD2FE9">
        <w:rPr>
          <w:rFonts w:ascii="Arial" w:eastAsia="Arial" w:hAnsi="Arial" w:cs="Arial"/>
        </w:rPr>
        <w:t xml:space="preserve"> noting that the practice of Russian authorities designating media outlets and journalists as foreign agents “imposes excessive burdens upon media organisations and individuals, and, by stigmatising them, exerts a dangerous chilling effect on their work”.</w:t>
      </w:r>
      <w:r w:rsidR="00A0226C" w:rsidRPr="39FD2FE9">
        <w:rPr>
          <w:rFonts w:ascii="Arial" w:eastAsia="Arial" w:hAnsi="Arial" w:cs="Arial"/>
          <w:vertAlign w:val="superscript"/>
        </w:rPr>
        <w:endnoteReference w:id="3"/>
      </w:r>
      <w:r w:rsidRPr="39FD2FE9">
        <w:rPr>
          <w:rFonts w:ascii="Arial" w:eastAsia="Arial" w:hAnsi="Arial" w:cs="Arial"/>
        </w:rPr>
        <w:t xml:space="preserve"> All in all, the practice of designating as foreign agents and subsequently persecuting those organisations and individuals who are critical of the government has become a clear pattern.</w:t>
      </w:r>
    </w:p>
    <w:p w14:paraId="4C85619D" w14:textId="15E36F54" w:rsidR="00A0226C" w:rsidRDefault="00A0226C" w:rsidP="39FD2FE9">
      <w:pPr>
        <w:pStyle w:val="ListParagraph"/>
        <w:spacing w:before="240" w:line="360" w:lineRule="auto"/>
        <w:jc w:val="both"/>
        <w:rPr>
          <w:rFonts w:ascii="Arial" w:eastAsia="Arial" w:hAnsi="Arial" w:cs="Arial"/>
        </w:rPr>
      </w:pPr>
    </w:p>
    <w:p w14:paraId="37DC7D2C" w14:textId="5CF3F7E5" w:rsidR="00A0226C" w:rsidRDefault="2C21742D" w:rsidP="000D0308">
      <w:pPr>
        <w:pStyle w:val="ListParagraph"/>
        <w:numPr>
          <w:ilvl w:val="0"/>
          <w:numId w:val="1"/>
        </w:numPr>
        <w:spacing w:before="240" w:line="360" w:lineRule="auto"/>
        <w:jc w:val="both"/>
        <w:rPr>
          <w:rFonts w:ascii="Arial" w:eastAsia="Arial" w:hAnsi="Arial" w:cs="Arial"/>
        </w:rPr>
      </w:pPr>
      <w:r w:rsidRPr="39FD2FE9">
        <w:rPr>
          <w:rFonts w:ascii="Arial" w:eastAsia="Arial" w:hAnsi="Arial" w:cs="Arial"/>
        </w:rPr>
        <w:t xml:space="preserve">In the </w:t>
      </w:r>
      <w:r w:rsidRPr="39FD2FE9">
        <w:rPr>
          <w:rFonts w:ascii="Arial" w:eastAsia="Arial" w:hAnsi="Arial" w:cs="Arial"/>
          <w:b/>
          <w:bCs/>
        </w:rPr>
        <w:t>E</w:t>
      </w:r>
      <w:r w:rsidR="3FE4F0DB" w:rsidRPr="39FD2FE9">
        <w:rPr>
          <w:rFonts w:ascii="Arial" w:eastAsia="Arial" w:hAnsi="Arial" w:cs="Arial"/>
          <w:b/>
          <w:bCs/>
        </w:rPr>
        <w:t>uropean Union</w:t>
      </w:r>
      <w:r w:rsidR="00737F05">
        <w:rPr>
          <w:rFonts w:ascii="Arial" w:eastAsia="Arial" w:hAnsi="Arial" w:cs="Arial"/>
          <w:b/>
          <w:bCs/>
        </w:rPr>
        <w:t xml:space="preserve"> (EU)</w:t>
      </w:r>
      <w:r w:rsidRPr="39FD2FE9">
        <w:rPr>
          <w:rFonts w:ascii="Arial" w:eastAsia="Arial" w:hAnsi="Arial" w:cs="Arial"/>
        </w:rPr>
        <w:t xml:space="preserve">, a proposal of </w:t>
      </w:r>
      <w:r w:rsidR="5CE4F4CB" w:rsidRPr="39FD2FE9">
        <w:rPr>
          <w:rFonts w:ascii="Arial" w:eastAsia="Arial" w:hAnsi="Arial" w:cs="Arial"/>
        </w:rPr>
        <w:t>a directive on interest representation services on behalf of third countries recently emerged.</w:t>
      </w:r>
      <w:r w:rsidR="00A0226C" w:rsidRPr="39FD2FE9">
        <w:rPr>
          <w:rStyle w:val="EndnoteReference"/>
          <w:rFonts w:ascii="Arial" w:eastAsia="Arial" w:hAnsi="Arial" w:cs="Arial"/>
        </w:rPr>
        <w:endnoteReference w:id="4"/>
      </w:r>
      <w:r w:rsidR="5CE4F4CB" w:rsidRPr="39FD2FE9">
        <w:rPr>
          <w:rFonts w:ascii="Arial" w:eastAsia="Arial" w:hAnsi="Arial" w:cs="Arial"/>
        </w:rPr>
        <w:t xml:space="preserve"> </w:t>
      </w:r>
      <w:r w:rsidR="456A5220" w:rsidRPr="39FD2FE9">
        <w:rPr>
          <w:rFonts w:ascii="Arial" w:eastAsia="Arial" w:hAnsi="Arial" w:cs="Arial"/>
        </w:rPr>
        <w:t xml:space="preserve">While the draft is less </w:t>
      </w:r>
      <w:r w:rsidR="5A9545EF" w:rsidRPr="39FD2FE9">
        <w:rPr>
          <w:rFonts w:ascii="Arial" w:eastAsia="Arial" w:hAnsi="Arial" w:cs="Arial"/>
        </w:rPr>
        <w:t>restrictive</w:t>
      </w:r>
      <w:r w:rsidR="456A5220" w:rsidRPr="39FD2FE9">
        <w:rPr>
          <w:rFonts w:ascii="Arial" w:eastAsia="Arial" w:hAnsi="Arial" w:cs="Arial"/>
        </w:rPr>
        <w:t xml:space="preserve"> than more extreme ‘foreign agent’ style laws, it </w:t>
      </w:r>
      <w:r w:rsidR="719B7A3A" w:rsidRPr="39FD2FE9">
        <w:rPr>
          <w:rFonts w:ascii="Arial" w:eastAsia="Arial" w:hAnsi="Arial" w:cs="Arial"/>
        </w:rPr>
        <w:t>would still have negative impacts on freedoms of association and expression in the EU.</w:t>
      </w:r>
      <w:r w:rsidR="77CD0718" w:rsidRPr="39FD2FE9">
        <w:rPr>
          <w:rFonts w:ascii="Arial" w:eastAsia="Arial" w:hAnsi="Arial" w:cs="Arial"/>
        </w:rPr>
        <w:t xml:space="preserve"> Although the draft has </w:t>
      </w:r>
      <w:r w:rsidR="313153F7" w:rsidRPr="39FD2FE9">
        <w:rPr>
          <w:rFonts w:ascii="Arial" w:eastAsia="Arial" w:hAnsi="Arial" w:cs="Arial"/>
        </w:rPr>
        <w:t>improved during the legislative process, it is bound to c</w:t>
      </w:r>
      <w:r w:rsidR="77CD0718" w:rsidRPr="39FD2FE9">
        <w:rPr>
          <w:rFonts w:ascii="Arial" w:eastAsia="Arial" w:hAnsi="Arial" w:cs="Arial"/>
        </w:rPr>
        <w:t>reate</w:t>
      </w:r>
      <w:r w:rsidR="313153F7" w:rsidRPr="39FD2FE9">
        <w:rPr>
          <w:rFonts w:ascii="Arial" w:eastAsia="Arial" w:hAnsi="Arial" w:cs="Arial"/>
        </w:rPr>
        <w:t xml:space="preserve"> </w:t>
      </w:r>
      <w:r w:rsidR="77CD0718" w:rsidRPr="39FD2FE9">
        <w:rPr>
          <w:rFonts w:ascii="Arial" w:eastAsia="Arial" w:hAnsi="Arial" w:cs="Arial"/>
        </w:rPr>
        <w:t>unnecessary administrative burdens</w:t>
      </w:r>
      <w:r w:rsidR="313153F7" w:rsidRPr="39FD2FE9">
        <w:rPr>
          <w:rFonts w:ascii="Arial" w:eastAsia="Arial" w:hAnsi="Arial" w:cs="Arial"/>
        </w:rPr>
        <w:t xml:space="preserve"> </w:t>
      </w:r>
      <w:r w:rsidR="77CD0718" w:rsidRPr="39FD2FE9">
        <w:rPr>
          <w:rFonts w:ascii="Arial" w:eastAsia="Arial" w:hAnsi="Arial" w:cs="Arial"/>
        </w:rPr>
        <w:t>for NGOs operating in the EU, leading to difficult</w:t>
      </w:r>
      <w:r w:rsidR="1DF28F27" w:rsidRPr="39FD2FE9">
        <w:rPr>
          <w:rFonts w:ascii="Arial" w:eastAsia="Arial" w:hAnsi="Arial" w:cs="Arial"/>
        </w:rPr>
        <w:t>ies with</w:t>
      </w:r>
      <w:r w:rsidR="77CD0718" w:rsidRPr="39FD2FE9">
        <w:rPr>
          <w:rFonts w:ascii="Arial" w:eastAsia="Arial" w:hAnsi="Arial" w:cs="Arial"/>
        </w:rPr>
        <w:t xml:space="preserve"> attracting and receiving funding and stigmatising civil society. </w:t>
      </w:r>
      <w:r w:rsidR="313153F7" w:rsidRPr="39FD2FE9">
        <w:rPr>
          <w:rFonts w:ascii="Arial" w:eastAsia="Arial" w:hAnsi="Arial" w:cs="Arial"/>
        </w:rPr>
        <w:t>If adopted, t</w:t>
      </w:r>
      <w:r w:rsidR="77CD0718" w:rsidRPr="39FD2FE9">
        <w:rPr>
          <w:rFonts w:ascii="Arial" w:eastAsia="Arial" w:hAnsi="Arial" w:cs="Arial"/>
        </w:rPr>
        <w:t xml:space="preserve">he Directive is likely to create a chilling effect on the ability of NGOs to engage with non-EU </w:t>
      </w:r>
      <w:r w:rsidR="00737F05">
        <w:rPr>
          <w:rFonts w:ascii="Arial" w:eastAsia="Arial" w:hAnsi="Arial" w:cs="Arial"/>
        </w:rPr>
        <w:t>S</w:t>
      </w:r>
      <w:r w:rsidR="77CD0718" w:rsidRPr="39FD2FE9">
        <w:rPr>
          <w:rFonts w:ascii="Arial" w:eastAsia="Arial" w:hAnsi="Arial" w:cs="Arial"/>
        </w:rPr>
        <w:t>tate donors, limiting their funding opportunities and potentially stifling criticism of EU policy.</w:t>
      </w:r>
      <w:r w:rsidR="719B7A3A" w:rsidRPr="39FD2FE9">
        <w:rPr>
          <w:rFonts w:ascii="Arial" w:eastAsia="Arial" w:hAnsi="Arial" w:cs="Arial"/>
        </w:rPr>
        <w:t xml:space="preserve"> Importantly, the proposal fails to tackle the root of the problem of legitimately problematic foreign interference, as it focuses on already transparent civil society organisations </w:t>
      </w:r>
      <w:r w:rsidR="719B7A3A" w:rsidRPr="39FD2FE9">
        <w:rPr>
          <w:rFonts w:ascii="Arial" w:eastAsia="Arial" w:hAnsi="Arial" w:cs="Arial"/>
        </w:rPr>
        <w:lastRenderedPageBreak/>
        <w:t xml:space="preserve">rather than covert influence in policymaking. The focus should be put on foreign </w:t>
      </w:r>
      <w:r w:rsidR="00737F05">
        <w:rPr>
          <w:rFonts w:ascii="Arial" w:eastAsia="Arial" w:hAnsi="Arial" w:cs="Arial"/>
        </w:rPr>
        <w:t>S</w:t>
      </w:r>
      <w:r w:rsidR="719B7A3A" w:rsidRPr="39FD2FE9">
        <w:rPr>
          <w:rFonts w:ascii="Arial" w:eastAsia="Arial" w:hAnsi="Arial" w:cs="Arial"/>
        </w:rPr>
        <w:t xml:space="preserve">tate influence operations, rather than lawful activities of NGOs, which may or may not receive funding from outside the EU. </w:t>
      </w:r>
      <w:r w:rsidR="00737F05">
        <w:rPr>
          <w:rFonts w:ascii="Arial" w:eastAsia="Arial" w:hAnsi="Arial" w:cs="Arial"/>
        </w:rPr>
        <w:t>The l</w:t>
      </w:r>
      <w:r w:rsidR="719B7A3A" w:rsidRPr="39FD2FE9">
        <w:rPr>
          <w:rFonts w:ascii="Arial" w:eastAsia="Arial" w:hAnsi="Arial" w:cs="Arial"/>
        </w:rPr>
        <w:t>egitimate concerns of unlawful activity should be addressed by applying existing legislation and law enforcement frameworks, particularly laws on money laundering, espionage, tax evasion, political lobbying</w:t>
      </w:r>
      <w:r w:rsidR="00737F05">
        <w:rPr>
          <w:rFonts w:ascii="Arial" w:eastAsia="Arial" w:hAnsi="Arial" w:cs="Arial"/>
        </w:rPr>
        <w:t>,</w:t>
      </w:r>
      <w:r w:rsidR="719B7A3A" w:rsidRPr="39FD2FE9">
        <w:rPr>
          <w:rFonts w:ascii="Arial" w:eastAsia="Arial" w:hAnsi="Arial" w:cs="Arial"/>
        </w:rPr>
        <w:t xml:space="preserve"> and electoral integrity.</w:t>
      </w:r>
    </w:p>
    <w:p w14:paraId="5F0460DC" w14:textId="77777777" w:rsidR="000D0308" w:rsidRPr="000D0308" w:rsidRDefault="000D0308" w:rsidP="000D0308">
      <w:pPr>
        <w:pStyle w:val="ListParagraph"/>
        <w:spacing w:before="240" w:line="360" w:lineRule="auto"/>
        <w:jc w:val="both"/>
        <w:rPr>
          <w:rFonts w:ascii="Arial" w:eastAsia="Arial" w:hAnsi="Arial" w:cs="Arial"/>
        </w:rPr>
      </w:pPr>
    </w:p>
    <w:p w14:paraId="01441846" w14:textId="17BE2037" w:rsidR="00A0226C" w:rsidRDefault="00CB0EAF" w:rsidP="39FD2FE9">
      <w:pPr>
        <w:pStyle w:val="ListParagraph"/>
        <w:numPr>
          <w:ilvl w:val="0"/>
          <w:numId w:val="1"/>
        </w:numPr>
        <w:spacing w:before="240" w:line="360" w:lineRule="auto"/>
        <w:jc w:val="both"/>
        <w:rPr>
          <w:rFonts w:ascii="Arial" w:eastAsia="Arial" w:hAnsi="Arial" w:cs="Arial"/>
        </w:rPr>
      </w:pPr>
      <w:r>
        <w:rPr>
          <w:rFonts w:ascii="Arial" w:eastAsia="Arial" w:hAnsi="Arial" w:cs="Arial"/>
        </w:rPr>
        <w:t>There are similar restrictions</w:t>
      </w:r>
      <w:r w:rsidR="602681E1" w:rsidRPr="39FD2FE9">
        <w:rPr>
          <w:rFonts w:ascii="Arial" w:eastAsia="Arial" w:hAnsi="Arial" w:cs="Arial"/>
        </w:rPr>
        <w:t xml:space="preserve"> in other global regions, including in </w:t>
      </w:r>
      <w:r w:rsidR="602681E1" w:rsidRPr="39FD2FE9">
        <w:rPr>
          <w:rFonts w:ascii="Arial" w:eastAsia="Arial" w:hAnsi="Arial" w:cs="Arial"/>
          <w:b/>
          <w:bCs/>
        </w:rPr>
        <w:t>the Americas</w:t>
      </w:r>
      <w:r w:rsidR="6BDE075D" w:rsidRPr="39FD2FE9">
        <w:rPr>
          <w:rFonts w:ascii="Arial" w:eastAsia="Arial" w:hAnsi="Arial" w:cs="Arial"/>
        </w:rPr>
        <w:t xml:space="preserve">. </w:t>
      </w:r>
      <w:r w:rsidR="3028D489" w:rsidRPr="39FD2FE9">
        <w:rPr>
          <w:rFonts w:ascii="Arial" w:eastAsia="Arial" w:hAnsi="Arial" w:cs="Arial"/>
        </w:rPr>
        <w:t xml:space="preserve">In particular, the Inter American Commission on Human Rights (IACHR) commented on the Nicaraguan Foreign Agents Law as </w:t>
      </w:r>
      <w:r w:rsidR="00737F05">
        <w:rPr>
          <w:rFonts w:ascii="Arial" w:eastAsia="Arial" w:hAnsi="Arial" w:cs="Arial"/>
        </w:rPr>
        <w:t xml:space="preserve">aiming to </w:t>
      </w:r>
      <w:r w:rsidR="3028D489" w:rsidRPr="39FD2FE9">
        <w:rPr>
          <w:rFonts w:ascii="Arial" w:eastAsia="Arial" w:hAnsi="Arial" w:cs="Arial"/>
          <w:i/>
          <w:iCs/>
        </w:rPr>
        <w:t xml:space="preserve"> </w:t>
      </w:r>
      <w:r w:rsidR="00737F05" w:rsidRPr="00737F05">
        <w:rPr>
          <w:rFonts w:ascii="Arial" w:eastAsia="Arial" w:hAnsi="Arial" w:cs="Arial"/>
        </w:rPr>
        <w:t>“</w:t>
      </w:r>
      <w:r w:rsidR="3028D489" w:rsidRPr="00737F05">
        <w:rPr>
          <w:rFonts w:ascii="Arial" w:eastAsia="Arial" w:hAnsi="Arial" w:cs="Arial"/>
        </w:rPr>
        <w:t>silence individuals and organizations who are deemed to oppose the Nicaraguan government and to prevent the exercise of civil liberties, including freedom of expression and association</w:t>
      </w:r>
      <w:r w:rsidR="00737F05" w:rsidRPr="39FD2FE9">
        <w:rPr>
          <w:rFonts w:ascii="Arial" w:eastAsia="Arial" w:hAnsi="Arial" w:cs="Arial"/>
        </w:rPr>
        <w:t>”</w:t>
      </w:r>
      <w:r w:rsidR="00737F05">
        <w:rPr>
          <w:rFonts w:ascii="Arial" w:eastAsia="Arial" w:hAnsi="Arial" w:cs="Arial"/>
        </w:rPr>
        <w:t>.</w:t>
      </w:r>
      <w:r w:rsidR="00A0226C" w:rsidRPr="00737F05">
        <w:rPr>
          <w:rStyle w:val="EndnoteReference"/>
          <w:rFonts w:ascii="Arial" w:eastAsia="Arial" w:hAnsi="Arial" w:cs="Arial"/>
        </w:rPr>
        <w:endnoteReference w:id="5"/>
      </w:r>
      <w:r w:rsidR="3028D489" w:rsidRPr="00737F05">
        <w:rPr>
          <w:rFonts w:ascii="Arial" w:eastAsia="Arial" w:hAnsi="Arial" w:cs="Arial"/>
        </w:rPr>
        <w:t xml:space="preserve"> </w:t>
      </w:r>
      <w:r w:rsidR="3028D489" w:rsidRPr="39FD2FE9">
        <w:rPr>
          <w:rFonts w:ascii="Arial" w:eastAsia="Arial" w:hAnsi="Arial" w:cs="Arial"/>
        </w:rPr>
        <w:t xml:space="preserve">In April 2021, the Inter American Association of Press referred to a proliferation of legislation or rhetoric in the Americas aiming to stifle the work of journalists and civil society organisations defending freedom of expression and human rights in general under the guise of putting an end to foreign interference in countries like </w:t>
      </w:r>
      <w:r w:rsidR="000D0308">
        <w:rPr>
          <w:rFonts w:ascii="Arial" w:eastAsia="Arial" w:hAnsi="Arial" w:cs="Arial"/>
        </w:rPr>
        <w:t xml:space="preserve">Bolivia, </w:t>
      </w:r>
      <w:r>
        <w:rPr>
          <w:rFonts w:ascii="Arial" w:eastAsia="Arial" w:hAnsi="Arial" w:cs="Arial"/>
        </w:rPr>
        <w:t xml:space="preserve">Cuba, Ecuador, Mexico, </w:t>
      </w:r>
      <w:r w:rsidR="3028D489" w:rsidRPr="39FD2FE9">
        <w:rPr>
          <w:rFonts w:ascii="Arial" w:eastAsia="Arial" w:hAnsi="Arial" w:cs="Arial"/>
        </w:rPr>
        <w:t xml:space="preserve">Nicaragua, Mexico, </w:t>
      </w:r>
      <w:r>
        <w:rPr>
          <w:rFonts w:ascii="Arial" w:eastAsia="Arial" w:hAnsi="Arial" w:cs="Arial"/>
        </w:rPr>
        <w:t xml:space="preserve">and </w:t>
      </w:r>
      <w:r w:rsidR="3028D489" w:rsidRPr="39FD2FE9">
        <w:rPr>
          <w:rFonts w:ascii="Arial" w:eastAsia="Arial" w:hAnsi="Arial" w:cs="Arial"/>
        </w:rPr>
        <w:t>Venezuela.</w:t>
      </w:r>
      <w:r w:rsidR="00A0226C" w:rsidRPr="39FD2FE9">
        <w:rPr>
          <w:rStyle w:val="EndnoteReference"/>
          <w:rFonts w:ascii="Arial" w:eastAsia="Arial" w:hAnsi="Arial" w:cs="Arial"/>
        </w:rPr>
        <w:endnoteReference w:id="6"/>
      </w:r>
    </w:p>
    <w:p w14:paraId="6BCE5DAE" w14:textId="26AD83F2" w:rsidR="00A0226C" w:rsidRDefault="00A0226C" w:rsidP="39FD2FE9">
      <w:pPr>
        <w:pStyle w:val="ListParagraph"/>
        <w:spacing w:before="240" w:line="360" w:lineRule="auto"/>
        <w:jc w:val="both"/>
        <w:rPr>
          <w:rFonts w:ascii="Arial" w:eastAsia="Arial" w:hAnsi="Arial" w:cs="Arial"/>
        </w:rPr>
      </w:pPr>
    </w:p>
    <w:p w14:paraId="6EF50F33" w14:textId="3DF88399" w:rsidR="00A0226C" w:rsidRDefault="3028D489" w:rsidP="39FD2FE9">
      <w:pPr>
        <w:pStyle w:val="ListParagraph"/>
        <w:numPr>
          <w:ilvl w:val="0"/>
          <w:numId w:val="1"/>
        </w:numPr>
        <w:spacing w:before="240" w:line="360" w:lineRule="auto"/>
        <w:jc w:val="both"/>
        <w:rPr>
          <w:rFonts w:ascii="Arial" w:eastAsia="Arial" w:hAnsi="Arial" w:cs="Arial"/>
        </w:rPr>
      </w:pPr>
      <w:r w:rsidRPr="39FD2FE9">
        <w:rPr>
          <w:rFonts w:ascii="Arial" w:eastAsia="Arial" w:hAnsi="Arial" w:cs="Arial"/>
        </w:rPr>
        <w:t xml:space="preserve">In many instances, States may draw a comparison </w:t>
      </w:r>
      <w:r w:rsidR="00640CA7">
        <w:rPr>
          <w:rFonts w:ascii="Arial" w:eastAsia="Arial" w:hAnsi="Arial" w:cs="Arial"/>
        </w:rPr>
        <w:t xml:space="preserve">to the </w:t>
      </w:r>
      <w:r w:rsidRPr="39FD2FE9">
        <w:rPr>
          <w:rFonts w:ascii="Arial" w:eastAsia="Arial" w:hAnsi="Arial" w:cs="Arial"/>
          <w:b/>
          <w:bCs/>
        </w:rPr>
        <w:t>United States</w:t>
      </w:r>
      <w:r w:rsidR="00640CA7">
        <w:rPr>
          <w:rFonts w:ascii="Arial" w:eastAsia="Arial" w:hAnsi="Arial" w:cs="Arial"/>
          <w:b/>
          <w:bCs/>
        </w:rPr>
        <w:t>’</w:t>
      </w:r>
      <w:r w:rsidRPr="39FD2FE9">
        <w:rPr>
          <w:rFonts w:ascii="Arial" w:eastAsia="Arial" w:hAnsi="Arial" w:cs="Arial"/>
        </w:rPr>
        <w:t xml:space="preserve"> Foreign Agents Registration Act (FARA) in an attempt to</w:t>
      </w:r>
      <w:r w:rsidR="6B6CDFEB" w:rsidRPr="39FD2FE9">
        <w:rPr>
          <w:rFonts w:ascii="Arial" w:eastAsia="Arial" w:hAnsi="Arial" w:cs="Arial"/>
        </w:rPr>
        <w:t xml:space="preserve"> </w:t>
      </w:r>
      <w:r w:rsidRPr="39FD2FE9">
        <w:rPr>
          <w:rFonts w:ascii="Arial" w:eastAsia="Arial" w:hAnsi="Arial" w:cs="Arial"/>
        </w:rPr>
        <w:t>justify their</w:t>
      </w:r>
      <w:r w:rsidR="5E245778" w:rsidRPr="39FD2FE9">
        <w:rPr>
          <w:rFonts w:ascii="Arial" w:eastAsia="Arial" w:hAnsi="Arial" w:cs="Arial"/>
        </w:rPr>
        <w:t xml:space="preserve"> </w:t>
      </w:r>
      <w:r w:rsidRPr="39FD2FE9">
        <w:rPr>
          <w:rFonts w:ascii="Arial" w:eastAsia="Arial" w:hAnsi="Arial" w:cs="Arial"/>
        </w:rPr>
        <w:t xml:space="preserve">own adoption of </w:t>
      </w:r>
      <w:r w:rsidR="3AF8B5DC" w:rsidRPr="39FD2FE9">
        <w:rPr>
          <w:rFonts w:ascii="Arial" w:eastAsia="Arial" w:hAnsi="Arial" w:cs="Arial"/>
        </w:rPr>
        <w:t>similar</w:t>
      </w:r>
      <w:r w:rsidRPr="39FD2FE9">
        <w:rPr>
          <w:rFonts w:ascii="Arial" w:eastAsia="Arial" w:hAnsi="Arial" w:cs="Arial"/>
        </w:rPr>
        <w:t xml:space="preserve"> measure</w:t>
      </w:r>
      <w:r w:rsidR="052D1E27" w:rsidRPr="39FD2FE9">
        <w:rPr>
          <w:rFonts w:ascii="Arial" w:eastAsia="Arial" w:hAnsi="Arial" w:cs="Arial"/>
        </w:rPr>
        <w:t>s</w:t>
      </w:r>
      <w:r w:rsidRPr="39FD2FE9">
        <w:rPr>
          <w:rFonts w:ascii="Arial" w:eastAsia="Arial" w:hAnsi="Arial" w:cs="Arial"/>
        </w:rPr>
        <w:t>. While we do not engage in a detailed analysis of that</w:t>
      </w:r>
      <w:r w:rsidR="0A4CD033" w:rsidRPr="39FD2FE9">
        <w:rPr>
          <w:rFonts w:ascii="Arial" w:eastAsia="Arial" w:hAnsi="Arial" w:cs="Arial"/>
        </w:rPr>
        <w:t xml:space="preserve"> </w:t>
      </w:r>
      <w:r w:rsidRPr="39FD2FE9">
        <w:rPr>
          <w:rFonts w:ascii="Arial" w:eastAsia="Arial" w:hAnsi="Arial" w:cs="Arial"/>
        </w:rPr>
        <w:t>framework here, we do observe that</w:t>
      </w:r>
      <w:r w:rsidR="00886909">
        <w:rPr>
          <w:rFonts w:ascii="Arial" w:eastAsia="Arial" w:hAnsi="Arial" w:cs="Arial"/>
        </w:rPr>
        <w:t xml:space="preserve"> the</w:t>
      </w:r>
      <w:r w:rsidRPr="39FD2FE9">
        <w:rPr>
          <w:rFonts w:ascii="Arial" w:eastAsia="Arial" w:hAnsi="Arial" w:cs="Arial"/>
        </w:rPr>
        <w:t xml:space="preserve"> FARA’s vague wording leaves it ambiguous as to its</w:t>
      </w:r>
      <w:r w:rsidR="55DA502A" w:rsidRPr="39FD2FE9">
        <w:rPr>
          <w:rFonts w:ascii="Arial" w:eastAsia="Arial" w:hAnsi="Arial" w:cs="Arial"/>
        </w:rPr>
        <w:t xml:space="preserve"> </w:t>
      </w:r>
      <w:r w:rsidRPr="39FD2FE9">
        <w:rPr>
          <w:rFonts w:ascii="Arial" w:eastAsia="Arial" w:hAnsi="Arial" w:cs="Arial"/>
        </w:rPr>
        <w:t xml:space="preserve">breadth and unpredictable application, which has been </w:t>
      </w:r>
      <w:r w:rsidR="1F7D40BD" w:rsidRPr="39FD2FE9">
        <w:rPr>
          <w:rFonts w:ascii="Arial" w:eastAsia="Arial" w:hAnsi="Arial" w:cs="Arial"/>
        </w:rPr>
        <w:t>criticised</w:t>
      </w:r>
      <w:r w:rsidRPr="39FD2FE9">
        <w:rPr>
          <w:rFonts w:ascii="Arial" w:eastAsia="Arial" w:hAnsi="Arial" w:cs="Arial"/>
        </w:rPr>
        <w:t>.</w:t>
      </w:r>
      <w:r w:rsidR="00A0226C" w:rsidRPr="39FD2FE9">
        <w:rPr>
          <w:rStyle w:val="EndnoteReference"/>
          <w:rFonts w:ascii="Arial" w:eastAsia="Arial" w:hAnsi="Arial" w:cs="Arial"/>
        </w:rPr>
        <w:endnoteReference w:id="7"/>
      </w:r>
      <w:r w:rsidRPr="39FD2FE9">
        <w:rPr>
          <w:rFonts w:ascii="Arial" w:eastAsia="Arial" w:hAnsi="Arial" w:cs="Arial"/>
        </w:rPr>
        <w:t xml:space="preserve"> </w:t>
      </w:r>
      <w:r w:rsidR="5EEDACAA" w:rsidRPr="39FD2FE9">
        <w:rPr>
          <w:rFonts w:ascii="Arial" w:eastAsia="Arial" w:hAnsi="Arial" w:cs="Arial"/>
        </w:rPr>
        <w:t>Additionally,</w:t>
      </w:r>
      <w:r w:rsidRPr="39FD2FE9">
        <w:rPr>
          <w:rFonts w:ascii="Arial" w:eastAsia="Arial" w:hAnsi="Arial" w:cs="Arial"/>
        </w:rPr>
        <w:t xml:space="preserve"> and importantly, many of the </w:t>
      </w:r>
      <w:r w:rsidR="00DC3CD0">
        <w:rPr>
          <w:rFonts w:ascii="Arial" w:eastAsia="Arial" w:hAnsi="Arial" w:cs="Arial"/>
        </w:rPr>
        <w:t>‘</w:t>
      </w:r>
      <w:r w:rsidRPr="39FD2FE9">
        <w:rPr>
          <w:rFonts w:ascii="Arial" w:eastAsia="Arial" w:hAnsi="Arial" w:cs="Arial"/>
        </w:rPr>
        <w:t>foreign agent</w:t>
      </w:r>
      <w:r w:rsidR="6024D075" w:rsidRPr="39FD2FE9">
        <w:rPr>
          <w:rFonts w:ascii="Arial" w:eastAsia="Arial" w:hAnsi="Arial" w:cs="Arial"/>
        </w:rPr>
        <w:t>’</w:t>
      </w:r>
      <w:r w:rsidRPr="39FD2FE9">
        <w:rPr>
          <w:rFonts w:ascii="Arial" w:eastAsia="Arial" w:hAnsi="Arial" w:cs="Arial"/>
        </w:rPr>
        <w:t xml:space="preserve"> laws in other countries</w:t>
      </w:r>
      <w:r w:rsidR="6560BA15" w:rsidRPr="39FD2FE9">
        <w:rPr>
          <w:rFonts w:ascii="Arial" w:eastAsia="Arial" w:hAnsi="Arial" w:cs="Arial"/>
        </w:rPr>
        <w:t>,</w:t>
      </w:r>
      <w:r w:rsidRPr="39FD2FE9">
        <w:rPr>
          <w:rFonts w:ascii="Arial" w:eastAsia="Arial" w:hAnsi="Arial" w:cs="Arial"/>
        </w:rPr>
        <w:t xml:space="preserve"> such as Russia</w:t>
      </w:r>
      <w:r w:rsidR="2D98AA33" w:rsidRPr="39FD2FE9">
        <w:rPr>
          <w:rFonts w:ascii="Arial" w:eastAsia="Arial" w:hAnsi="Arial" w:cs="Arial"/>
        </w:rPr>
        <w:t>,</w:t>
      </w:r>
      <w:r w:rsidRPr="39FD2FE9">
        <w:rPr>
          <w:rFonts w:ascii="Arial" w:eastAsia="Arial" w:hAnsi="Arial" w:cs="Arial"/>
        </w:rPr>
        <w:t xml:space="preserve"> go beyond the already-broad US approach, which at least requires establishing an </w:t>
      </w:r>
      <w:r w:rsidR="00DC3CD0">
        <w:rPr>
          <w:rFonts w:ascii="Arial" w:eastAsia="Arial" w:hAnsi="Arial" w:cs="Arial"/>
        </w:rPr>
        <w:t>‘</w:t>
      </w:r>
      <w:r w:rsidRPr="39FD2FE9">
        <w:rPr>
          <w:rFonts w:ascii="Arial" w:eastAsia="Arial" w:hAnsi="Arial" w:cs="Arial"/>
        </w:rPr>
        <w:t>agency</w:t>
      </w:r>
      <w:r w:rsidR="00DC3CD0">
        <w:rPr>
          <w:rFonts w:ascii="Arial" w:eastAsia="Arial" w:hAnsi="Arial" w:cs="Arial"/>
        </w:rPr>
        <w:t>’</w:t>
      </w:r>
      <w:r w:rsidRPr="39FD2FE9">
        <w:rPr>
          <w:rFonts w:ascii="Arial" w:eastAsia="Arial" w:hAnsi="Arial" w:cs="Arial"/>
        </w:rPr>
        <w:t xml:space="preserve"> relationship between an individual or entity and a foreign </w:t>
      </w:r>
      <w:r w:rsidR="00DC3CD0">
        <w:rPr>
          <w:rFonts w:ascii="Arial" w:eastAsia="Arial" w:hAnsi="Arial" w:cs="Arial"/>
        </w:rPr>
        <w:t>‘</w:t>
      </w:r>
      <w:r w:rsidRPr="39FD2FE9">
        <w:rPr>
          <w:rFonts w:ascii="Arial" w:eastAsia="Arial" w:hAnsi="Arial" w:cs="Arial"/>
        </w:rPr>
        <w:t>principal</w:t>
      </w:r>
      <w:r w:rsidR="00DC3CD0">
        <w:rPr>
          <w:rFonts w:ascii="Arial" w:eastAsia="Arial" w:hAnsi="Arial" w:cs="Arial"/>
        </w:rPr>
        <w:t>’</w:t>
      </w:r>
      <w:r w:rsidRPr="39FD2FE9">
        <w:rPr>
          <w:rFonts w:ascii="Arial" w:eastAsia="Arial" w:hAnsi="Arial" w:cs="Arial"/>
        </w:rPr>
        <w:t xml:space="preserve"> and has some limited carve-outs.</w:t>
      </w:r>
      <w:r w:rsidR="00A0226C" w:rsidRPr="39FD2FE9">
        <w:rPr>
          <w:rStyle w:val="EndnoteReference"/>
          <w:rFonts w:ascii="Arial" w:eastAsia="Arial" w:hAnsi="Arial" w:cs="Arial"/>
        </w:rPr>
        <w:endnoteReference w:id="8"/>
      </w:r>
    </w:p>
    <w:p w14:paraId="00DAF76C" w14:textId="3A4C733F" w:rsidR="00A0226C" w:rsidRDefault="00A0226C" w:rsidP="39FD2FE9">
      <w:pPr>
        <w:pStyle w:val="ListParagraph"/>
        <w:spacing w:before="240" w:line="360" w:lineRule="auto"/>
        <w:jc w:val="both"/>
        <w:rPr>
          <w:rFonts w:ascii="Arial" w:eastAsia="Arial" w:hAnsi="Arial" w:cs="Arial"/>
        </w:rPr>
      </w:pPr>
    </w:p>
    <w:p w14:paraId="26DC745D" w14:textId="2D7CA73D" w:rsidR="00495960" w:rsidRPr="00495960" w:rsidRDefault="3028D489" w:rsidP="00495960">
      <w:pPr>
        <w:pStyle w:val="ListParagraph"/>
        <w:numPr>
          <w:ilvl w:val="0"/>
          <w:numId w:val="1"/>
        </w:numPr>
        <w:spacing w:before="240" w:line="360" w:lineRule="auto"/>
        <w:jc w:val="both"/>
        <w:rPr>
          <w:rFonts w:ascii="Arial" w:eastAsia="Arial" w:hAnsi="Arial" w:cs="Arial"/>
        </w:rPr>
      </w:pPr>
      <w:r w:rsidRPr="39FD2FE9">
        <w:rPr>
          <w:rFonts w:ascii="Arial" w:eastAsia="Arial" w:hAnsi="Arial" w:cs="Arial"/>
        </w:rPr>
        <w:t xml:space="preserve">The </w:t>
      </w:r>
      <w:r w:rsidRPr="39FD2FE9">
        <w:rPr>
          <w:rFonts w:ascii="Arial" w:eastAsia="Arial" w:hAnsi="Arial" w:cs="Arial"/>
          <w:b/>
          <w:bCs/>
        </w:rPr>
        <w:t xml:space="preserve">Australian </w:t>
      </w:r>
      <w:r w:rsidRPr="39FD2FE9">
        <w:rPr>
          <w:rFonts w:ascii="Arial" w:eastAsia="Arial" w:hAnsi="Arial" w:cs="Arial"/>
        </w:rPr>
        <w:t>Foreign Influence Transparency Scheme (FITS),</w:t>
      </w:r>
      <w:r w:rsidR="00886909">
        <w:rPr>
          <w:rFonts w:ascii="Arial" w:eastAsia="Arial" w:hAnsi="Arial" w:cs="Arial"/>
        </w:rPr>
        <w:t xml:space="preserve"> </w:t>
      </w:r>
      <w:r w:rsidRPr="39FD2FE9">
        <w:rPr>
          <w:rFonts w:ascii="Arial" w:eastAsia="Arial" w:hAnsi="Arial" w:cs="Arial"/>
        </w:rPr>
        <w:t xml:space="preserve">like </w:t>
      </w:r>
      <w:r w:rsidR="00886909">
        <w:rPr>
          <w:rFonts w:ascii="Arial" w:eastAsia="Arial" w:hAnsi="Arial" w:cs="Arial"/>
        </w:rPr>
        <w:t xml:space="preserve">the </w:t>
      </w:r>
      <w:r w:rsidRPr="39FD2FE9">
        <w:rPr>
          <w:rFonts w:ascii="Arial" w:eastAsia="Arial" w:hAnsi="Arial" w:cs="Arial"/>
        </w:rPr>
        <w:t>FARA, requires the establishment of an agency relationship with a foreign principal, and generally exempts not-for-profit organisations from its scope, thus alleviating its adverse effect on freedoms of association and expression.</w:t>
      </w:r>
      <w:r w:rsidR="00886909" w:rsidRPr="39FD2FE9">
        <w:rPr>
          <w:rStyle w:val="EndnoteReference"/>
          <w:rFonts w:ascii="Arial" w:eastAsia="Arial" w:hAnsi="Arial" w:cs="Arial"/>
        </w:rPr>
        <w:endnoteReference w:id="9"/>
      </w:r>
      <w:r w:rsidRPr="39FD2FE9">
        <w:rPr>
          <w:rFonts w:ascii="Arial" w:eastAsia="Arial" w:hAnsi="Arial" w:cs="Arial"/>
        </w:rPr>
        <w:t xml:space="preserve"> </w:t>
      </w:r>
      <w:r w:rsidRPr="39FD2FE9">
        <w:rPr>
          <w:rFonts w:ascii="Arial" w:eastAsia="Arial" w:hAnsi="Arial" w:cs="Arial"/>
        </w:rPr>
        <w:lastRenderedPageBreak/>
        <w:t xml:space="preserve">However, even this narrower foreign influence law raises human rights concerns due to the stigmatisation of entities it covers by requiring the labelling of their materials as </w:t>
      </w:r>
      <w:r w:rsidR="003E4ED1">
        <w:rPr>
          <w:rFonts w:ascii="Arial" w:eastAsia="Arial" w:hAnsi="Arial" w:cs="Arial"/>
        </w:rPr>
        <w:t>‘</w:t>
      </w:r>
      <w:r w:rsidRPr="39FD2FE9">
        <w:rPr>
          <w:rFonts w:ascii="Arial" w:eastAsia="Arial" w:hAnsi="Arial" w:cs="Arial"/>
        </w:rPr>
        <w:t>foreign-related</w:t>
      </w:r>
      <w:r w:rsidR="003E4ED1">
        <w:rPr>
          <w:rFonts w:ascii="Arial" w:eastAsia="Arial" w:hAnsi="Arial" w:cs="Arial"/>
        </w:rPr>
        <w:t>’</w:t>
      </w:r>
      <w:r w:rsidRPr="39FD2FE9">
        <w:rPr>
          <w:rFonts w:ascii="Arial" w:eastAsia="Arial" w:hAnsi="Arial" w:cs="Arial"/>
        </w:rPr>
        <w:t>. Like</w:t>
      </w:r>
      <w:r w:rsidR="003E4ED1">
        <w:rPr>
          <w:rFonts w:ascii="Arial" w:eastAsia="Arial" w:hAnsi="Arial" w:cs="Arial"/>
        </w:rPr>
        <w:t xml:space="preserve"> the</w:t>
      </w:r>
      <w:r w:rsidRPr="39FD2FE9">
        <w:rPr>
          <w:rFonts w:ascii="Arial" w:eastAsia="Arial" w:hAnsi="Arial" w:cs="Arial"/>
        </w:rPr>
        <w:t xml:space="preserve"> FARA, Australia’s FITS has been criticised for selective and discretionary application and was accused of having specific </w:t>
      </w:r>
      <w:r w:rsidR="003E4ED1">
        <w:rPr>
          <w:rFonts w:ascii="Arial" w:eastAsia="Arial" w:hAnsi="Arial" w:cs="Arial"/>
        </w:rPr>
        <w:t>‘</w:t>
      </w:r>
      <w:r w:rsidRPr="39FD2FE9">
        <w:rPr>
          <w:rFonts w:ascii="Arial" w:eastAsia="Arial" w:hAnsi="Arial" w:cs="Arial"/>
        </w:rPr>
        <w:t>intended targets</w:t>
      </w:r>
      <w:r w:rsidR="003E4ED1">
        <w:rPr>
          <w:rFonts w:ascii="Arial" w:eastAsia="Arial" w:hAnsi="Arial" w:cs="Arial"/>
        </w:rPr>
        <w:t>’</w:t>
      </w:r>
      <w:r w:rsidRPr="39FD2FE9">
        <w:rPr>
          <w:rFonts w:ascii="Arial" w:eastAsia="Arial" w:hAnsi="Arial" w:cs="Arial"/>
        </w:rPr>
        <w:t xml:space="preserve"> at the stage of formulating the legislation.</w:t>
      </w:r>
      <w:r w:rsidR="00A0226C" w:rsidRPr="39FD2FE9">
        <w:rPr>
          <w:rStyle w:val="EndnoteReference"/>
          <w:rFonts w:ascii="Arial" w:eastAsia="Arial" w:hAnsi="Arial" w:cs="Arial"/>
        </w:rPr>
        <w:endnoteReference w:id="10"/>
      </w:r>
    </w:p>
    <w:p w14:paraId="0B757E5D" w14:textId="77777777" w:rsidR="00495960" w:rsidRPr="00495960" w:rsidRDefault="00495960" w:rsidP="00495960">
      <w:pPr>
        <w:pStyle w:val="ListParagraph"/>
        <w:spacing w:after="0" w:line="360" w:lineRule="auto"/>
        <w:ind w:left="76"/>
        <w:jc w:val="both"/>
        <w:rPr>
          <w:rFonts w:ascii="Arial" w:eastAsia="Arial" w:hAnsi="Arial" w:cs="Arial"/>
          <w:b/>
          <w:bCs/>
        </w:rPr>
      </w:pPr>
    </w:p>
    <w:p w14:paraId="33FD484F" w14:textId="4A855215" w:rsidR="00E07F8A" w:rsidRPr="00A05923" w:rsidRDefault="00E07F8A" w:rsidP="00E07F8A">
      <w:pPr>
        <w:pStyle w:val="ListParagraph"/>
        <w:numPr>
          <w:ilvl w:val="0"/>
          <w:numId w:val="5"/>
        </w:numPr>
        <w:spacing w:after="0" w:line="360" w:lineRule="auto"/>
        <w:jc w:val="both"/>
        <w:rPr>
          <w:rFonts w:ascii="Arial" w:eastAsia="Arial" w:hAnsi="Arial" w:cs="Arial"/>
          <w:b/>
          <w:bCs/>
        </w:rPr>
      </w:pPr>
      <w:r w:rsidRPr="00146BE8">
        <w:rPr>
          <w:rFonts w:ascii="Arial" w:eastAsia="Arial" w:hAnsi="Arial" w:cs="Arial"/>
        </w:rPr>
        <w:t xml:space="preserve">We encourage the Committee to elaborate on the guidance on ‘foreign agent’ and </w:t>
      </w:r>
      <w:r w:rsidR="00C032B3">
        <w:rPr>
          <w:rFonts w:ascii="Arial" w:eastAsia="Arial" w:hAnsi="Arial" w:cs="Arial"/>
        </w:rPr>
        <w:t>related</w:t>
      </w:r>
      <w:r w:rsidRPr="00146BE8">
        <w:rPr>
          <w:rFonts w:ascii="Arial" w:eastAsia="Arial" w:hAnsi="Arial" w:cs="Arial"/>
        </w:rPr>
        <w:t xml:space="preserve"> laws already included in </w:t>
      </w:r>
      <w:r w:rsidRPr="00146BE8">
        <w:rPr>
          <w:rFonts w:ascii="Arial" w:eastAsia="Arial" w:hAnsi="Arial" w:cs="Arial"/>
          <w:b/>
          <w:bCs/>
        </w:rPr>
        <w:t>paragraphs 14 and 49</w:t>
      </w:r>
      <w:r w:rsidRPr="00146BE8">
        <w:rPr>
          <w:rFonts w:ascii="Arial" w:eastAsia="Arial" w:hAnsi="Arial" w:cs="Arial"/>
        </w:rPr>
        <w:t>.</w:t>
      </w:r>
      <w:r>
        <w:rPr>
          <w:rFonts w:ascii="Arial" w:eastAsia="Arial" w:hAnsi="Arial" w:cs="Arial"/>
          <w:b/>
          <w:bCs/>
        </w:rPr>
        <w:t xml:space="preserve"> </w:t>
      </w:r>
      <w:r>
        <w:rPr>
          <w:rFonts w:ascii="Arial" w:eastAsia="Arial" w:hAnsi="Arial" w:cs="Arial"/>
        </w:rPr>
        <w:t xml:space="preserve">In particular, we </w:t>
      </w:r>
      <w:r w:rsidRPr="006A3448">
        <w:rPr>
          <w:rFonts w:ascii="Arial" w:eastAsia="Arial" w:hAnsi="Arial" w:cs="Arial"/>
        </w:rPr>
        <w:t>invite the Committee to expand on the existing commentary on the unacceptability of imposing additional regulatory requirements (registration, labelling, reporting, etc.) on civil society organisations by virtue of ill-defined connection to a foreign state or other foreign actors.</w:t>
      </w:r>
      <w:r>
        <w:t xml:space="preserve"> </w:t>
      </w:r>
    </w:p>
    <w:p w14:paraId="16CBCE0D" w14:textId="77777777" w:rsidR="00E07F8A" w:rsidRPr="00A05923" w:rsidRDefault="00E07F8A" w:rsidP="00E07F8A">
      <w:pPr>
        <w:pStyle w:val="ListParagraph"/>
        <w:spacing w:after="0" w:line="360" w:lineRule="auto"/>
        <w:ind w:left="76"/>
        <w:jc w:val="both"/>
        <w:rPr>
          <w:rFonts w:ascii="Arial" w:eastAsia="Arial" w:hAnsi="Arial" w:cs="Arial"/>
          <w:b/>
          <w:bCs/>
        </w:rPr>
      </w:pPr>
    </w:p>
    <w:p w14:paraId="4BEFEB64" w14:textId="785683F0" w:rsidR="00E07F8A" w:rsidRPr="007C5DB8" w:rsidRDefault="00E07F8A" w:rsidP="007C5DB8">
      <w:pPr>
        <w:pStyle w:val="ListParagraph"/>
        <w:numPr>
          <w:ilvl w:val="0"/>
          <w:numId w:val="5"/>
        </w:numPr>
        <w:spacing w:after="0" w:line="360" w:lineRule="auto"/>
        <w:jc w:val="both"/>
        <w:rPr>
          <w:rFonts w:ascii="Arial" w:eastAsia="Arial" w:hAnsi="Arial" w:cs="Arial"/>
          <w:b/>
          <w:bCs/>
        </w:rPr>
      </w:pPr>
      <w:r w:rsidRPr="006A3448">
        <w:rPr>
          <w:rFonts w:ascii="Arial" w:eastAsia="Arial" w:hAnsi="Arial" w:cs="Arial"/>
        </w:rPr>
        <w:t>We</w:t>
      </w:r>
      <w:r>
        <w:rPr>
          <w:rFonts w:ascii="Arial" w:eastAsia="Arial" w:hAnsi="Arial" w:cs="Arial"/>
        </w:rPr>
        <w:t xml:space="preserve"> also</w:t>
      </w:r>
      <w:r w:rsidRPr="006A3448">
        <w:rPr>
          <w:rFonts w:ascii="Arial" w:eastAsia="Arial" w:hAnsi="Arial" w:cs="Arial"/>
        </w:rPr>
        <w:t xml:space="preserve"> encourage the Committee to definitively delineate legitimate protections against foreign interference from broad legislative measures of general application that target normal civil society operations. In this vein, we encourage the inclusion of specific examples of human rights-compliant measures to address legitimate concerns of illegal foreign interference without producing chilling effect on fundamental freedoms. </w:t>
      </w:r>
    </w:p>
    <w:p w14:paraId="74918C4F" w14:textId="7790CFB2" w:rsidR="00F37137" w:rsidRPr="00F37137" w:rsidRDefault="45EA074F" w:rsidP="39FD2FE9">
      <w:pPr>
        <w:pStyle w:val="ListParagraph"/>
        <w:spacing w:before="240" w:line="360" w:lineRule="auto"/>
        <w:ind w:left="-284"/>
        <w:jc w:val="both"/>
        <w:rPr>
          <w:rFonts w:ascii="Arial" w:eastAsia="Arial" w:hAnsi="Arial" w:cs="Arial"/>
        </w:rPr>
      </w:pPr>
      <w:r w:rsidRPr="39FD2FE9">
        <w:rPr>
          <w:rFonts w:ascii="Arial" w:eastAsia="Arial" w:hAnsi="Arial" w:cs="Arial"/>
        </w:rPr>
        <w:t xml:space="preserve"> </w:t>
      </w:r>
    </w:p>
    <w:p w14:paraId="7BF3490F" w14:textId="3500995D" w:rsidR="2BA9842B" w:rsidRDefault="2BA9842B" w:rsidP="39FD2FE9">
      <w:pPr>
        <w:pStyle w:val="ListParagraph"/>
        <w:spacing w:before="240" w:line="360" w:lineRule="auto"/>
        <w:ind w:left="-284"/>
        <w:jc w:val="both"/>
        <w:rPr>
          <w:rFonts w:ascii="Arial" w:eastAsia="Arial" w:hAnsi="Arial" w:cs="Arial"/>
          <w:b/>
          <w:bCs/>
        </w:rPr>
      </w:pPr>
      <w:r w:rsidRPr="39FD2FE9">
        <w:rPr>
          <w:rFonts w:ascii="Arial" w:eastAsia="Arial" w:hAnsi="Arial" w:cs="Arial"/>
          <w:b/>
          <w:bCs/>
        </w:rPr>
        <w:t xml:space="preserve">Other </w:t>
      </w:r>
      <w:r w:rsidR="00F92627">
        <w:rPr>
          <w:rFonts w:ascii="Arial" w:eastAsia="Arial" w:hAnsi="Arial" w:cs="Arial"/>
          <w:b/>
          <w:bCs/>
        </w:rPr>
        <w:t>e</w:t>
      </w:r>
      <w:r w:rsidRPr="39FD2FE9">
        <w:rPr>
          <w:rFonts w:ascii="Arial" w:eastAsia="Arial" w:hAnsi="Arial" w:cs="Arial"/>
          <w:b/>
          <w:bCs/>
        </w:rPr>
        <w:t xml:space="preserve">merging </w:t>
      </w:r>
      <w:r w:rsidR="00F92627">
        <w:rPr>
          <w:rFonts w:ascii="Arial" w:eastAsia="Arial" w:hAnsi="Arial" w:cs="Arial"/>
          <w:b/>
          <w:bCs/>
        </w:rPr>
        <w:t>r</w:t>
      </w:r>
      <w:r w:rsidRPr="39FD2FE9">
        <w:rPr>
          <w:rFonts w:ascii="Arial" w:eastAsia="Arial" w:hAnsi="Arial" w:cs="Arial"/>
          <w:b/>
          <w:bCs/>
        </w:rPr>
        <w:t>estrictions</w:t>
      </w:r>
    </w:p>
    <w:p w14:paraId="0971DDCF" w14:textId="26C5A66F" w:rsidR="39FD2FE9" w:rsidRDefault="39FD2FE9" w:rsidP="39FD2FE9">
      <w:pPr>
        <w:pStyle w:val="ListParagraph"/>
        <w:spacing w:before="240" w:line="360" w:lineRule="auto"/>
        <w:ind w:left="-284"/>
        <w:jc w:val="both"/>
        <w:rPr>
          <w:rFonts w:ascii="Arial" w:eastAsia="Arial" w:hAnsi="Arial" w:cs="Arial"/>
        </w:rPr>
      </w:pPr>
    </w:p>
    <w:p w14:paraId="2A23EC7A" w14:textId="62249AA1" w:rsidR="0009292E" w:rsidRDefault="00BB3BB8" w:rsidP="009B545D">
      <w:pPr>
        <w:pStyle w:val="ListParagraph"/>
        <w:numPr>
          <w:ilvl w:val="0"/>
          <w:numId w:val="5"/>
        </w:numPr>
        <w:spacing w:after="0" w:line="360" w:lineRule="auto"/>
        <w:jc w:val="both"/>
        <w:rPr>
          <w:rFonts w:ascii="Arial" w:eastAsia="Arial" w:hAnsi="Arial" w:cs="Arial"/>
        </w:rPr>
      </w:pPr>
      <w:r>
        <w:rPr>
          <w:rFonts w:ascii="Arial" w:eastAsia="Arial" w:hAnsi="Arial" w:cs="Arial"/>
        </w:rPr>
        <w:t xml:space="preserve">The </w:t>
      </w:r>
      <w:r w:rsidR="005B45FD" w:rsidRPr="00146BE8">
        <w:rPr>
          <w:rFonts w:ascii="Arial" w:eastAsia="Arial" w:hAnsi="Arial" w:cs="Arial"/>
        </w:rPr>
        <w:t>General Comment should</w:t>
      </w:r>
      <w:r w:rsidR="005B45FD">
        <w:rPr>
          <w:rFonts w:ascii="Arial" w:eastAsia="Arial" w:hAnsi="Arial" w:cs="Arial"/>
        </w:rPr>
        <w:t xml:space="preserve"> </w:t>
      </w:r>
      <w:r w:rsidR="00DC1EB0">
        <w:rPr>
          <w:rFonts w:ascii="Arial" w:eastAsia="Arial" w:hAnsi="Arial" w:cs="Arial"/>
        </w:rPr>
        <w:t xml:space="preserve">provide </w:t>
      </w:r>
      <w:r w:rsidR="000B3050">
        <w:rPr>
          <w:rFonts w:ascii="Arial" w:eastAsia="Arial" w:hAnsi="Arial" w:cs="Arial"/>
        </w:rPr>
        <w:t xml:space="preserve">further </w:t>
      </w:r>
      <w:r w:rsidR="00DC1EB0">
        <w:rPr>
          <w:rFonts w:ascii="Arial" w:eastAsia="Arial" w:hAnsi="Arial" w:cs="Arial"/>
        </w:rPr>
        <w:t>guidance on</w:t>
      </w:r>
      <w:r w:rsidR="005B45FD" w:rsidRPr="00146BE8">
        <w:rPr>
          <w:rFonts w:ascii="Arial" w:eastAsia="Arial" w:hAnsi="Arial" w:cs="Arial"/>
        </w:rPr>
        <w:t xml:space="preserve"> other types of stigmatising labels imposed on associations</w:t>
      </w:r>
      <w:r w:rsidR="009B545D" w:rsidRPr="009B545D">
        <w:rPr>
          <w:rFonts w:ascii="Arial" w:eastAsia="Arial" w:hAnsi="Arial" w:cs="Arial"/>
        </w:rPr>
        <w:t xml:space="preserve"> </w:t>
      </w:r>
      <w:r w:rsidR="009B545D" w:rsidRPr="39FD2FE9">
        <w:rPr>
          <w:rFonts w:ascii="Arial" w:eastAsia="Arial" w:hAnsi="Arial" w:cs="Arial"/>
        </w:rPr>
        <w:t xml:space="preserve">with disingenuous </w:t>
      </w:r>
      <w:r w:rsidR="000B3050">
        <w:rPr>
          <w:rFonts w:ascii="Arial" w:eastAsia="Arial" w:hAnsi="Arial" w:cs="Arial"/>
        </w:rPr>
        <w:t xml:space="preserve">or vague </w:t>
      </w:r>
      <w:r w:rsidR="009B545D" w:rsidRPr="39FD2FE9">
        <w:rPr>
          <w:rFonts w:ascii="Arial" w:eastAsia="Arial" w:hAnsi="Arial" w:cs="Arial"/>
        </w:rPr>
        <w:t>objectives</w:t>
      </w:r>
      <w:r>
        <w:rPr>
          <w:rFonts w:ascii="Arial" w:eastAsia="Arial" w:hAnsi="Arial" w:cs="Arial"/>
        </w:rPr>
        <w:t xml:space="preserve"> b</w:t>
      </w:r>
      <w:r w:rsidRPr="00146BE8">
        <w:rPr>
          <w:rFonts w:ascii="Arial" w:eastAsia="Arial" w:hAnsi="Arial" w:cs="Arial"/>
        </w:rPr>
        <w:t>eyond the specific designation of ‘foreign agent’,</w:t>
      </w:r>
      <w:r w:rsidR="005B45FD" w:rsidRPr="00146BE8">
        <w:rPr>
          <w:rFonts w:ascii="Arial" w:eastAsia="Arial" w:hAnsi="Arial" w:cs="Arial"/>
        </w:rPr>
        <w:t xml:space="preserve"> such as the status of ‘undesirables’</w:t>
      </w:r>
      <w:r w:rsidR="000B3050">
        <w:rPr>
          <w:rFonts w:ascii="Arial" w:eastAsia="Arial" w:hAnsi="Arial" w:cs="Arial"/>
        </w:rPr>
        <w:t xml:space="preserve"> or</w:t>
      </w:r>
      <w:r w:rsidR="005B45FD" w:rsidRPr="00146BE8">
        <w:rPr>
          <w:rFonts w:ascii="Arial" w:eastAsia="Arial" w:hAnsi="Arial" w:cs="Arial"/>
        </w:rPr>
        <w:t xml:space="preserve"> ‘extremists’,</w:t>
      </w:r>
      <w:r w:rsidR="000B3050">
        <w:rPr>
          <w:rFonts w:ascii="Arial" w:eastAsia="Arial" w:hAnsi="Arial" w:cs="Arial"/>
        </w:rPr>
        <w:t xml:space="preserve"> </w:t>
      </w:r>
      <w:r w:rsidR="005B45FD" w:rsidRPr="00146BE8">
        <w:rPr>
          <w:rFonts w:ascii="Arial" w:eastAsia="Arial" w:hAnsi="Arial" w:cs="Arial"/>
        </w:rPr>
        <w:t xml:space="preserve">as already touched upon in </w:t>
      </w:r>
      <w:r w:rsidR="005B45FD" w:rsidRPr="00146BE8">
        <w:rPr>
          <w:rFonts w:ascii="Arial" w:eastAsia="Arial" w:hAnsi="Arial" w:cs="Arial"/>
          <w:b/>
          <w:bCs/>
        </w:rPr>
        <w:t>paragraph 44</w:t>
      </w:r>
      <w:r w:rsidR="005B45FD" w:rsidRPr="00146BE8">
        <w:rPr>
          <w:rFonts w:ascii="Arial" w:eastAsia="Arial" w:hAnsi="Arial" w:cs="Arial"/>
        </w:rPr>
        <w:t>.</w:t>
      </w:r>
      <w:r w:rsidR="005B45FD">
        <w:rPr>
          <w:rFonts w:ascii="Arial" w:eastAsia="Arial" w:hAnsi="Arial" w:cs="Arial"/>
        </w:rPr>
        <w:t xml:space="preserve"> </w:t>
      </w:r>
    </w:p>
    <w:p w14:paraId="2F7BBAD6" w14:textId="77777777" w:rsidR="009B545D" w:rsidRPr="009B545D" w:rsidRDefault="009B545D" w:rsidP="009B545D">
      <w:pPr>
        <w:pStyle w:val="ListParagraph"/>
        <w:spacing w:after="0" w:line="360" w:lineRule="auto"/>
        <w:ind w:left="76"/>
        <w:jc w:val="both"/>
        <w:rPr>
          <w:rFonts w:ascii="Arial" w:eastAsia="Arial" w:hAnsi="Arial" w:cs="Arial"/>
        </w:rPr>
      </w:pPr>
    </w:p>
    <w:p w14:paraId="740F7119" w14:textId="4C21F3BA" w:rsidR="00700E9F" w:rsidRDefault="05535529" w:rsidP="003E4ED1">
      <w:pPr>
        <w:pStyle w:val="ListParagraph"/>
        <w:numPr>
          <w:ilvl w:val="0"/>
          <w:numId w:val="5"/>
        </w:numPr>
        <w:spacing w:before="240" w:line="360" w:lineRule="auto"/>
        <w:jc w:val="both"/>
        <w:rPr>
          <w:rFonts w:ascii="Arial" w:eastAsia="Arial" w:hAnsi="Arial" w:cs="Arial"/>
        </w:rPr>
      </w:pPr>
      <w:r w:rsidRPr="39FD2FE9">
        <w:rPr>
          <w:rFonts w:ascii="Arial" w:eastAsia="Arial" w:hAnsi="Arial" w:cs="Arial"/>
          <w:b/>
          <w:bCs/>
        </w:rPr>
        <w:t>Russia’s</w:t>
      </w:r>
      <w:r w:rsidRPr="39FD2FE9">
        <w:rPr>
          <w:rFonts w:ascii="Arial" w:eastAsia="Arial" w:hAnsi="Arial" w:cs="Arial"/>
        </w:rPr>
        <w:t xml:space="preserve"> ‘undesirable status’ for organisations</w:t>
      </w:r>
      <w:r w:rsidR="0009292E">
        <w:rPr>
          <w:rFonts w:ascii="Arial" w:eastAsia="Arial" w:hAnsi="Arial" w:cs="Arial"/>
        </w:rPr>
        <w:t xml:space="preserve">, </w:t>
      </w:r>
      <w:r w:rsidR="3EB89A93" w:rsidRPr="39FD2FE9">
        <w:rPr>
          <w:rFonts w:ascii="Arial" w:eastAsia="Arial" w:hAnsi="Arial" w:cs="Arial"/>
        </w:rPr>
        <w:t>a formal legal status that effectively prohibits the activities of an association in the country and exposes individuals who participate in or support those activities to administrative or criminal liability. This status was also</w:t>
      </w:r>
      <w:r w:rsidR="2C8691E3" w:rsidRPr="39FD2FE9">
        <w:rPr>
          <w:rFonts w:ascii="Arial" w:eastAsia="Arial" w:hAnsi="Arial" w:cs="Arial"/>
        </w:rPr>
        <w:t xml:space="preserve"> imposed on ARTICLE 19</w:t>
      </w:r>
      <w:r w:rsidR="3EB89A93" w:rsidRPr="39FD2FE9">
        <w:rPr>
          <w:rFonts w:ascii="Arial" w:eastAsia="Arial" w:hAnsi="Arial" w:cs="Arial"/>
        </w:rPr>
        <w:t>.</w:t>
      </w:r>
      <w:r w:rsidR="00173A3A" w:rsidRPr="39FD2FE9">
        <w:rPr>
          <w:rStyle w:val="EndnoteReference"/>
          <w:rFonts w:ascii="Arial" w:eastAsia="Arial" w:hAnsi="Arial" w:cs="Arial"/>
        </w:rPr>
        <w:endnoteReference w:id="11"/>
      </w:r>
      <w:r w:rsidR="2C8691E3" w:rsidRPr="39FD2FE9">
        <w:rPr>
          <w:rFonts w:ascii="Arial" w:eastAsia="Arial" w:hAnsi="Arial" w:cs="Arial"/>
        </w:rPr>
        <w:t xml:space="preserve"> </w:t>
      </w:r>
    </w:p>
    <w:p w14:paraId="0F72BD4D" w14:textId="77777777" w:rsidR="00700E9F" w:rsidRPr="00700E9F" w:rsidRDefault="00700E9F" w:rsidP="00700E9F">
      <w:pPr>
        <w:pStyle w:val="ListParagraph"/>
        <w:rPr>
          <w:rFonts w:ascii="Arial" w:eastAsia="Arial" w:hAnsi="Arial" w:cs="Arial"/>
        </w:rPr>
      </w:pPr>
    </w:p>
    <w:p w14:paraId="6BA65C65" w14:textId="3A4026D6" w:rsidR="00173A3A" w:rsidRDefault="3EB89A93" w:rsidP="003E4ED1">
      <w:pPr>
        <w:pStyle w:val="ListParagraph"/>
        <w:numPr>
          <w:ilvl w:val="0"/>
          <w:numId w:val="5"/>
        </w:numPr>
        <w:spacing w:before="240" w:line="360" w:lineRule="auto"/>
        <w:jc w:val="both"/>
        <w:rPr>
          <w:rFonts w:ascii="Arial" w:eastAsia="Arial" w:hAnsi="Arial" w:cs="Arial"/>
        </w:rPr>
      </w:pPr>
      <w:r w:rsidRPr="39FD2FE9">
        <w:rPr>
          <w:rFonts w:ascii="Arial" w:eastAsia="Arial" w:hAnsi="Arial" w:cs="Arial"/>
        </w:rPr>
        <w:t xml:space="preserve">In other </w:t>
      </w:r>
      <w:r w:rsidR="469F6796" w:rsidRPr="39FD2FE9">
        <w:rPr>
          <w:rFonts w:ascii="Arial" w:eastAsia="Arial" w:hAnsi="Arial" w:cs="Arial"/>
        </w:rPr>
        <w:t>S</w:t>
      </w:r>
      <w:r w:rsidRPr="39FD2FE9">
        <w:rPr>
          <w:rFonts w:ascii="Arial" w:eastAsia="Arial" w:hAnsi="Arial" w:cs="Arial"/>
        </w:rPr>
        <w:t xml:space="preserve">tates, </w:t>
      </w:r>
      <w:r w:rsidR="00700E9F">
        <w:rPr>
          <w:rFonts w:ascii="Arial" w:eastAsia="Arial" w:hAnsi="Arial" w:cs="Arial"/>
        </w:rPr>
        <w:t>there have been</w:t>
      </w:r>
      <w:r w:rsidRPr="39FD2FE9">
        <w:rPr>
          <w:rFonts w:ascii="Arial" w:eastAsia="Arial" w:hAnsi="Arial" w:cs="Arial"/>
        </w:rPr>
        <w:t xml:space="preserve"> attempts to limit the types of activities or policy areas that civil society associations are allowed to cover. A notable example thereof is </w:t>
      </w:r>
      <w:r w:rsidR="2C8691E3" w:rsidRPr="39FD2FE9">
        <w:rPr>
          <w:rFonts w:ascii="Arial" w:eastAsia="Arial" w:hAnsi="Arial" w:cs="Arial"/>
          <w:b/>
          <w:bCs/>
        </w:rPr>
        <w:lastRenderedPageBreak/>
        <w:t>Hungary’s</w:t>
      </w:r>
      <w:r w:rsidR="2C8691E3" w:rsidRPr="39FD2FE9">
        <w:rPr>
          <w:rFonts w:ascii="Arial" w:eastAsia="Arial" w:hAnsi="Arial" w:cs="Arial"/>
        </w:rPr>
        <w:t xml:space="preserve"> </w:t>
      </w:r>
      <w:r w:rsidRPr="39FD2FE9">
        <w:rPr>
          <w:rFonts w:ascii="Arial" w:eastAsia="Arial" w:hAnsi="Arial" w:cs="Arial"/>
        </w:rPr>
        <w:t>‘</w:t>
      </w:r>
      <w:r w:rsidR="2C8691E3" w:rsidRPr="39FD2FE9">
        <w:rPr>
          <w:rFonts w:ascii="Arial" w:eastAsia="Arial" w:hAnsi="Arial" w:cs="Arial"/>
        </w:rPr>
        <w:t>STOP Soros</w:t>
      </w:r>
      <w:r w:rsidRPr="39FD2FE9">
        <w:rPr>
          <w:rFonts w:ascii="Arial" w:eastAsia="Arial" w:hAnsi="Arial" w:cs="Arial"/>
        </w:rPr>
        <w:t>’</w:t>
      </w:r>
      <w:r w:rsidR="2C8691E3" w:rsidRPr="39FD2FE9">
        <w:rPr>
          <w:rFonts w:ascii="Arial" w:eastAsia="Arial" w:hAnsi="Arial" w:cs="Arial"/>
        </w:rPr>
        <w:t xml:space="preserve"> legislati</w:t>
      </w:r>
      <w:r w:rsidRPr="39FD2FE9">
        <w:rPr>
          <w:rFonts w:ascii="Arial" w:eastAsia="Arial" w:hAnsi="Arial" w:cs="Arial"/>
        </w:rPr>
        <w:t>ve package</w:t>
      </w:r>
      <w:r w:rsidR="2AF812E6" w:rsidRPr="39FD2FE9">
        <w:rPr>
          <w:rFonts w:ascii="Arial" w:eastAsia="Arial" w:hAnsi="Arial" w:cs="Arial"/>
        </w:rPr>
        <w:t xml:space="preserve"> </w:t>
      </w:r>
      <w:r w:rsidRPr="39FD2FE9">
        <w:rPr>
          <w:rFonts w:ascii="Arial" w:eastAsia="Arial" w:hAnsi="Arial" w:cs="Arial"/>
        </w:rPr>
        <w:t xml:space="preserve">that aimed to prohibit </w:t>
      </w:r>
      <w:r w:rsidR="2AF812E6" w:rsidRPr="39FD2FE9">
        <w:rPr>
          <w:rFonts w:ascii="Arial" w:eastAsia="Arial" w:hAnsi="Arial" w:cs="Arial"/>
        </w:rPr>
        <w:t>associations</w:t>
      </w:r>
      <w:r w:rsidR="4787B6BF" w:rsidRPr="39FD2FE9">
        <w:rPr>
          <w:rFonts w:ascii="Arial" w:eastAsia="Arial" w:hAnsi="Arial" w:cs="Arial"/>
        </w:rPr>
        <w:t xml:space="preserve"> to</w:t>
      </w:r>
      <w:r w:rsidR="2AF812E6" w:rsidRPr="39FD2FE9">
        <w:rPr>
          <w:rFonts w:ascii="Arial" w:eastAsia="Arial" w:hAnsi="Arial" w:cs="Arial"/>
        </w:rPr>
        <w:t xml:space="preserve"> </w:t>
      </w:r>
      <w:r w:rsidR="608E7B62" w:rsidRPr="39FD2FE9">
        <w:rPr>
          <w:rFonts w:ascii="Arial" w:eastAsia="Arial" w:hAnsi="Arial" w:cs="Arial"/>
        </w:rPr>
        <w:t>conduct certain types of activities related to</w:t>
      </w:r>
      <w:r w:rsidR="2AF812E6" w:rsidRPr="39FD2FE9">
        <w:rPr>
          <w:rFonts w:ascii="Arial" w:eastAsia="Arial" w:hAnsi="Arial" w:cs="Arial"/>
        </w:rPr>
        <w:t xml:space="preserve"> </w:t>
      </w:r>
      <w:r w:rsidR="3C046D5D" w:rsidRPr="39FD2FE9">
        <w:rPr>
          <w:rFonts w:ascii="Arial" w:eastAsia="Arial" w:hAnsi="Arial" w:cs="Arial"/>
        </w:rPr>
        <w:t>asylum</w:t>
      </w:r>
      <w:r w:rsidR="2AF812E6" w:rsidRPr="39FD2FE9">
        <w:rPr>
          <w:rFonts w:ascii="Arial" w:eastAsia="Arial" w:hAnsi="Arial" w:cs="Arial"/>
        </w:rPr>
        <w:t xml:space="preserve"> and refugee rights</w:t>
      </w:r>
      <w:r w:rsidR="672AFC86" w:rsidRPr="39FD2FE9">
        <w:rPr>
          <w:rFonts w:ascii="Arial" w:eastAsia="Arial" w:hAnsi="Arial" w:cs="Arial"/>
        </w:rPr>
        <w:t>.</w:t>
      </w:r>
      <w:r w:rsidR="00173A3A" w:rsidRPr="39FD2FE9">
        <w:rPr>
          <w:rStyle w:val="EndnoteReference"/>
          <w:rFonts w:ascii="Arial" w:eastAsia="Arial" w:hAnsi="Arial" w:cs="Arial"/>
        </w:rPr>
        <w:endnoteReference w:id="12"/>
      </w:r>
      <w:r w:rsidR="672AFC86" w:rsidRPr="39FD2FE9">
        <w:rPr>
          <w:rFonts w:ascii="Arial" w:eastAsia="Arial" w:hAnsi="Arial" w:cs="Arial"/>
        </w:rPr>
        <w:t xml:space="preserve"> </w:t>
      </w:r>
    </w:p>
    <w:p w14:paraId="75457626" w14:textId="77777777" w:rsidR="007C5DB8" w:rsidRPr="00397DB5" w:rsidRDefault="007C5DB8" w:rsidP="00397DB5">
      <w:pPr>
        <w:spacing w:after="0" w:line="360" w:lineRule="auto"/>
        <w:jc w:val="both"/>
        <w:rPr>
          <w:rFonts w:ascii="Arial" w:eastAsia="Arial" w:hAnsi="Arial" w:cs="Arial"/>
        </w:rPr>
      </w:pPr>
    </w:p>
    <w:p w14:paraId="50FE850F" w14:textId="73085315" w:rsidR="007C5DB8" w:rsidRDefault="005A1E65" w:rsidP="008962EE">
      <w:pPr>
        <w:pStyle w:val="ListParagraph"/>
        <w:numPr>
          <w:ilvl w:val="0"/>
          <w:numId w:val="5"/>
        </w:numPr>
        <w:spacing w:after="0" w:line="360" w:lineRule="auto"/>
        <w:jc w:val="both"/>
        <w:rPr>
          <w:rFonts w:ascii="Arial" w:eastAsia="Arial" w:hAnsi="Arial" w:cs="Arial"/>
        </w:rPr>
      </w:pPr>
      <w:r>
        <w:rPr>
          <w:rFonts w:ascii="Arial" w:eastAsia="Arial" w:hAnsi="Arial" w:cs="Arial"/>
        </w:rPr>
        <w:t>We encourage the Committee to supplement the reference to ‘undesirable</w:t>
      </w:r>
      <w:r w:rsidR="00397DB5">
        <w:rPr>
          <w:rFonts w:ascii="Arial" w:eastAsia="Arial" w:hAnsi="Arial" w:cs="Arial"/>
        </w:rPr>
        <w:t xml:space="preserve">s’ and other designations in </w:t>
      </w:r>
      <w:r w:rsidR="00397DB5" w:rsidRPr="00397DB5">
        <w:rPr>
          <w:rFonts w:ascii="Arial" w:eastAsia="Arial" w:hAnsi="Arial" w:cs="Arial"/>
          <w:b/>
          <w:bCs/>
        </w:rPr>
        <w:t>paragraph 44</w:t>
      </w:r>
      <w:r w:rsidR="00397DB5">
        <w:rPr>
          <w:rFonts w:ascii="Arial" w:eastAsia="Arial" w:hAnsi="Arial" w:cs="Arial"/>
        </w:rPr>
        <w:t>. In particular, it</w:t>
      </w:r>
      <w:r w:rsidR="007C5DB8" w:rsidRPr="006A3448">
        <w:rPr>
          <w:rFonts w:ascii="Arial" w:eastAsia="Arial" w:hAnsi="Arial" w:cs="Arial"/>
        </w:rPr>
        <w:t xml:space="preserve"> is important to highlight not only the disproportionate and overbroad nature of specific restrictions associated with these designations, but also recognise that the designation itself is stigmatising to the association and its members. Moreover, it should highlight the chilling effect both on those who already bear such designations and other civil society actors at risk of being perceived as associated with them.</w:t>
      </w:r>
      <w:r w:rsidR="007C5DB8">
        <w:rPr>
          <w:rFonts w:ascii="Arial" w:eastAsia="Arial" w:hAnsi="Arial" w:cs="Arial"/>
        </w:rPr>
        <w:t xml:space="preserve"> </w:t>
      </w:r>
    </w:p>
    <w:p w14:paraId="4A20E3BC" w14:textId="77777777" w:rsidR="00D64496" w:rsidRPr="00D64496" w:rsidRDefault="00D64496" w:rsidP="00D64496">
      <w:pPr>
        <w:pStyle w:val="ListParagraph"/>
        <w:rPr>
          <w:rFonts w:ascii="Arial" w:eastAsia="Arial" w:hAnsi="Arial" w:cs="Arial"/>
        </w:rPr>
      </w:pPr>
    </w:p>
    <w:p w14:paraId="085F4684" w14:textId="7EA838CE" w:rsidR="00D64496" w:rsidRPr="008962EE" w:rsidRDefault="00D64496" w:rsidP="008962EE">
      <w:pPr>
        <w:pStyle w:val="ListParagraph"/>
        <w:numPr>
          <w:ilvl w:val="0"/>
          <w:numId w:val="5"/>
        </w:numPr>
        <w:spacing w:after="0" w:line="360" w:lineRule="auto"/>
        <w:jc w:val="both"/>
        <w:rPr>
          <w:rFonts w:ascii="Arial" w:eastAsia="Arial" w:hAnsi="Arial" w:cs="Arial"/>
        </w:rPr>
      </w:pPr>
      <w:r w:rsidRPr="00D64496">
        <w:rPr>
          <w:rFonts w:ascii="Arial" w:eastAsia="Arial" w:hAnsi="Arial" w:cs="Arial"/>
        </w:rPr>
        <w:t>We also believe that it would be important to reaffirm the fundamental principle of the free choice of objectives and activities by associations. In particular, legislation pertaining to associations should not restrict or dictate the objectives and spheres of activities that associations must or cannot undertake, beyond those that are incompatible with international human rights standards.</w:t>
      </w:r>
    </w:p>
    <w:p w14:paraId="783768C2" w14:textId="71D8A49A" w:rsidR="00E2306C" w:rsidRDefault="00E2306C" w:rsidP="39FD2FE9">
      <w:pPr>
        <w:pStyle w:val="ListParagraph"/>
        <w:spacing w:before="240" w:line="360" w:lineRule="auto"/>
        <w:ind w:left="284" w:hanging="568"/>
        <w:jc w:val="both"/>
        <w:rPr>
          <w:rFonts w:ascii="Arial" w:eastAsia="Arial" w:hAnsi="Arial" w:cs="Arial"/>
        </w:rPr>
      </w:pPr>
    </w:p>
    <w:p w14:paraId="2A44BEE9" w14:textId="206B17B7" w:rsidR="00E2306C" w:rsidRDefault="2F4A5B9D" w:rsidP="39FD2FE9">
      <w:pPr>
        <w:pStyle w:val="ListParagraph"/>
        <w:spacing w:before="240" w:line="360" w:lineRule="auto"/>
        <w:ind w:left="284" w:hanging="568"/>
        <w:jc w:val="both"/>
        <w:rPr>
          <w:rFonts w:ascii="Arial" w:eastAsia="Arial" w:hAnsi="Arial" w:cs="Arial"/>
          <w:b/>
          <w:bCs/>
        </w:rPr>
      </w:pPr>
      <w:r w:rsidRPr="39FD2FE9">
        <w:rPr>
          <w:rFonts w:ascii="Arial" w:eastAsia="Arial" w:hAnsi="Arial" w:cs="Arial"/>
          <w:b/>
          <w:bCs/>
        </w:rPr>
        <w:t>Dissolution of Associations</w:t>
      </w:r>
    </w:p>
    <w:p w14:paraId="59CA6F48" w14:textId="2B6FBB89" w:rsidR="00E2306C" w:rsidRDefault="00E2306C" w:rsidP="39FD2FE9">
      <w:pPr>
        <w:pStyle w:val="ListParagraph"/>
        <w:spacing w:before="240" w:line="360" w:lineRule="auto"/>
        <w:ind w:left="284" w:hanging="568"/>
        <w:jc w:val="both"/>
        <w:rPr>
          <w:rFonts w:ascii="Arial" w:eastAsia="Arial" w:hAnsi="Arial" w:cs="Arial"/>
        </w:rPr>
      </w:pPr>
    </w:p>
    <w:p w14:paraId="5F2ADBBD" w14:textId="0026BDC3" w:rsidR="00C57566" w:rsidRPr="00C57566" w:rsidRDefault="26C8696A" w:rsidP="00700E9F">
      <w:pPr>
        <w:pStyle w:val="ListParagraph"/>
        <w:numPr>
          <w:ilvl w:val="0"/>
          <w:numId w:val="5"/>
        </w:numPr>
        <w:spacing w:after="0" w:line="360" w:lineRule="auto"/>
        <w:jc w:val="both"/>
      </w:pPr>
      <w:r w:rsidRPr="39FD2FE9">
        <w:rPr>
          <w:rFonts w:ascii="Arial" w:eastAsia="Arial" w:hAnsi="Arial" w:cs="Arial"/>
        </w:rPr>
        <w:t>Beyond the tightening</w:t>
      </w:r>
      <w:r w:rsidR="7C7A555E" w:rsidRPr="39FD2FE9">
        <w:rPr>
          <w:rFonts w:ascii="Arial" w:eastAsia="Arial" w:hAnsi="Arial" w:cs="Arial"/>
        </w:rPr>
        <w:t xml:space="preserve"> </w:t>
      </w:r>
      <w:r w:rsidRPr="39FD2FE9">
        <w:rPr>
          <w:rFonts w:ascii="Arial" w:eastAsia="Arial" w:hAnsi="Arial" w:cs="Arial"/>
        </w:rPr>
        <w:t xml:space="preserve">control over the legitimate activities of NGOs, some </w:t>
      </w:r>
      <w:r w:rsidR="00C57566">
        <w:rPr>
          <w:rFonts w:ascii="Arial" w:eastAsia="Arial" w:hAnsi="Arial" w:cs="Arial"/>
        </w:rPr>
        <w:t>S</w:t>
      </w:r>
      <w:r w:rsidRPr="39FD2FE9">
        <w:rPr>
          <w:rFonts w:ascii="Arial" w:eastAsia="Arial" w:hAnsi="Arial" w:cs="Arial"/>
        </w:rPr>
        <w:t xml:space="preserve">tates have gone further with blanket </w:t>
      </w:r>
      <w:r w:rsidR="4CDA18DE" w:rsidRPr="39FD2FE9">
        <w:rPr>
          <w:rFonts w:ascii="Arial" w:eastAsia="Arial" w:hAnsi="Arial" w:cs="Arial"/>
        </w:rPr>
        <w:t>prohibitions</w:t>
      </w:r>
      <w:r w:rsidR="3E90C221" w:rsidRPr="39FD2FE9">
        <w:rPr>
          <w:rFonts w:ascii="Arial" w:eastAsia="Arial" w:hAnsi="Arial" w:cs="Arial"/>
        </w:rPr>
        <w:t xml:space="preserve"> or dissolution</w:t>
      </w:r>
      <w:r w:rsidR="4CDA18DE" w:rsidRPr="39FD2FE9">
        <w:rPr>
          <w:rFonts w:ascii="Arial" w:eastAsia="Arial" w:hAnsi="Arial" w:cs="Arial"/>
        </w:rPr>
        <w:t xml:space="preserve"> of political parties and other organisations of political nature under the ill-defined guise</w:t>
      </w:r>
      <w:r w:rsidR="3E90C221" w:rsidRPr="39FD2FE9">
        <w:rPr>
          <w:rFonts w:ascii="Arial" w:eastAsia="Arial" w:hAnsi="Arial" w:cs="Arial"/>
        </w:rPr>
        <w:t>s</w:t>
      </w:r>
      <w:r w:rsidR="4CDA18DE" w:rsidRPr="39FD2FE9">
        <w:rPr>
          <w:rFonts w:ascii="Arial" w:eastAsia="Arial" w:hAnsi="Arial" w:cs="Arial"/>
        </w:rPr>
        <w:t xml:space="preserve"> of national security</w:t>
      </w:r>
      <w:r w:rsidR="3E90C221" w:rsidRPr="39FD2FE9">
        <w:rPr>
          <w:rFonts w:ascii="Arial" w:eastAsia="Arial" w:hAnsi="Arial" w:cs="Arial"/>
        </w:rPr>
        <w:t xml:space="preserve"> and public order</w:t>
      </w:r>
      <w:r w:rsidR="002F0BF8">
        <w:rPr>
          <w:rFonts w:ascii="Arial" w:eastAsia="Arial" w:hAnsi="Arial" w:cs="Arial"/>
        </w:rPr>
        <w:t xml:space="preserve">, as </w:t>
      </w:r>
      <w:r w:rsidR="00AB53E0">
        <w:rPr>
          <w:rFonts w:ascii="Arial" w:eastAsia="Arial" w:hAnsi="Arial" w:cs="Arial"/>
        </w:rPr>
        <w:t xml:space="preserve">already </w:t>
      </w:r>
      <w:r w:rsidR="002F0BF8">
        <w:rPr>
          <w:rFonts w:ascii="Arial" w:eastAsia="Arial" w:hAnsi="Arial" w:cs="Arial"/>
        </w:rPr>
        <w:t xml:space="preserve">referenced in </w:t>
      </w:r>
      <w:r w:rsidR="002F0BF8" w:rsidRPr="002F0BF8">
        <w:rPr>
          <w:rFonts w:ascii="Arial" w:eastAsia="Arial" w:hAnsi="Arial" w:cs="Arial"/>
          <w:b/>
          <w:bCs/>
        </w:rPr>
        <w:t>paragraph 19</w:t>
      </w:r>
      <w:r w:rsidR="002F0BF8">
        <w:rPr>
          <w:rFonts w:ascii="Arial" w:eastAsia="Arial" w:hAnsi="Arial" w:cs="Arial"/>
        </w:rPr>
        <w:t>.</w:t>
      </w:r>
    </w:p>
    <w:p w14:paraId="2E2823E1" w14:textId="54F53CD0" w:rsidR="00C57566" w:rsidRPr="00C57566" w:rsidRDefault="4CDA18DE" w:rsidP="00C57566">
      <w:pPr>
        <w:pStyle w:val="ListParagraph"/>
        <w:spacing w:after="0" w:line="360" w:lineRule="auto"/>
        <w:ind w:left="76"/>
        <w:jc w:val="both"/>
      </w:pPr>
      <w:r w:rsidRPr="39FD2FE9">
        <w:rPr>
          <w:rFonts w:ascii="Arial" w:eastAsia="Arial" w:hAnsi="Arial" w:cs="Arial"/>
        </w:rPr>
        <w:t xml:space="preserve"> </w:t>
      </w:r>
    </w:p>
    <w:p w14:paraId="4791D971" w14:textId="0A3CDC3F" w:rsidR="00E2306C" w:rsidRPr="008962EE" w:rsidRDefault="4CDA18DE" w:rsidP="00700E9F">
      <w:pPr>
        <w:pStyle w:val="ListParagraph"/>
        <w:numPr>
          <w:ilvl w:val="0"/>
          <w:numId w:val="5"/>
        </w:numPr>
        <w:spacing w:after="0" w:line="360" w:lineRule="auto"/>
        <w:jc w:val="both"/>
      </w:pPr>
      <w:r w:rsidRPr="39FD2FE9">
        <w:rPr>
          <w:rFonts w:ascii="Arial" w:eastAsia="Arial" w:hAnsi="Arial" w:cs="Arial"/>
        </w:rPr>
        <w:t>A drastic example thereof</w:t>
      </w:r>
      <w:r w:rsidR="3E90C221" w:rsidRPr="39FD2FE9">
        <w:rPr>
          <w:rFonts w:ascii="Arial" w:eastAsia="Arial" w:hAnsi="Arial" w:cs="Arial"/>
        </w:rPr>
        <w:t xml:space="preserve"> is the dissolution of </w:t>
      </w:r>
      <w:r w:rsidR="0582C3B6" w:rsidRPr="39FD2FE9">
        <w:rPr>
          <w:rFonts w:ascii="Arial" w:eastAsia="Arial" w:hAnsi="Arial" w:cs="Arial"/>
        </w:rPr>
        <w:t xml:space="preserve">all political parties and organisations of a political nature in </w:t>
      </w:r>
      <w:r w:rsidR="0582C3B6" w:rsidRPr="39FD2FE9">
        <w:rPr>
          <w:rFonts w:ascii="Arial" w:eastAsia="Arial" w:hAnsi="Arial" w:cs="Arial"/>
          <w:b/>
          <w:bCs/>
        </w:rPr>
        <w:t xml:space="preserve">Mali </w:t>
      </w:r>
      <w:r w:rsidR="0582C3B6" w:rsidRPr="39FD2FE9">
        <w:rPr>
          <w:rFonts w:ascii="Arial" w:eastAsia="Arial" w:hAnsi="Arial" w:cs="Arial"/>
        </w:rPr>
        <w:t>by an executive decree</w:t>
      </w:r>
      <w:r w:rsidR="53EB0738" w:rsidRPr="39FD2FE9">
        <w:rPr>
          <w:rFonts w:ascii="Arial" w:eastAsia="Arial" w:hAnsi="Arial" w:cs="Arial"/>
        </w:rPr>
        <w:t xml:space="preserve"> in 2025</w:t>
      </w:r>
      <w:r w:rsidR="0582C3B6" w:rsidRPr="39FD2FE9">
        <w:rPr>
          <w:rFonts w:ascii="Arial" w:eastAsia="Arial" w:hAnsi="Arial" w:cs="Arial"/>
        </w:rPr>
        <w:t>.</w:t>
      </w:r>
      <w:r w:rsidR="00B26354" w:rsidRPr="39FD2FE9">
        <w:rPr>
          <w:rStyle w:val="EndnoteReference"/>
          <w:rFonts w:ascii="Arial" w:eastAsia="Arial" w:hAnsi="Arial" w:cs="Arial"/>
        </w:rPr>
        <w:endnoteReference w:id="13"/>
      </w:r>
      <w:r w:rsidR="53EB0738" w:rsidRPr="39FD2FE9">
        <w:rPr>
          <w:rFonts w:ascii="Arial" w:eastAsia="Arial" w:hAnsi="Arial" w:cs="Arial"/>
        </w:rPr>
        <w:t xml:space="preserve"> The executive decree specifically prohibited the following actions: all meetings of the members of political parties and other organisations of a political nature; facilitating the work of political parties by providing premises for their meetings or other means of support; all fundraising, management, and administrative activities of political parties; and, more broadly, the conduct of ‘any political activities’ by political parties and organisations of a political nature. </w:t>
      </w:r>
    </w:p>
    <w:p w14:paraId="26860FC8" w14:textId="77777777" w:rsidR="008962EE" w:rsidRDefault="008962EE" w:rsidP="008962EE">
      <w:pPr>
        <w:pStyle w:val="ListParagraph"/>
      </w:pPr>
    </w:p>
    <w:p w14:paraId="29DD21D4" w14:textId="3D613AC9" w:rsidR="00E66293" w:rsidRPr="008962EE" w:rsidRDefault="008962EE" w:rsidP="008962EE">
      <w:pPr>
        <w:pStyle w:val="ListParagraph"/>
        <w:numPr>
          <w:ilvl w:val="0"/>
          <w:numId w:val="5"/>
        </w:numPr>
        <w:spacing w:after="0" w:line="360" w:lineRule="auto"/>
        <w:jc w:val="both"/>
        <w:rPr>
          <w:rFonts w:ascii="Arial" w:eastAsia="Arial" w:hAnsi="Arial" w:cs="Arial"/>
        </w:rPr>
      </w:pPr>
      <w:r w:rsidRPr="00146BE8">
        <w:rPr>
          <w:rFonts w:ascii="Arial" w:eastAsia="Arial" w:hAnsi="Arial" w:cs="Arial"/>
        </w:rPr>
        <w:lastRenderedPageBreak/>
        <w:t xml:space="preserve">Although the draft General Comment already reaffirms the exceptional character of any decision to dissolve or terminate an association in </w:t>
      </w:r>
      <w:r w:rsidRPr="00146BE8">
        <w:rPr>
          <w:rFonts w:ascii="Arial" w:eastAsia="Arial" w:hAnsi="Arial" w:cs="Arial"/>
          <w:b/>
          <w:bCs/>
        </w:rPr>
        <w:t>paragraph 19</w:t>
      </w:r>
      <w:r w:rsidRPr="00146BE8">
        <w:rPr>
          <w:rFonts w:ascii="Arial" w:eastAsia="Arial" w:hAnsi="Arial" w:cs="Arial"/>
        </w:rPr>
        <w:t>, this standard could be further elaborated, detailing both the procedural and materials safeguards for adopting such extreme measures</w:t>
      </w:r>
      <w:r>
        <w:rPr>
          <w:rFonts w:ascii="Arial" w:eastAsia="Arial" w:hAnsi="Arial" w:cs="Arial"/>
        </w:rPr>
        <w:t xml:space="preserve">. </w:t>
      </w:r>
    </w:p>
    <w:p w14:paraId="636520A3" w14:textId="74859A90" w:rsidR="00E66293" w:rsidRPr="00C90C89" w:rsidRDefault="00E66293" w:rsidP="39FD2FE9">
      <w:pPr>
        <w:pStyle w:val="ListParagraph"/>
        <w:spacing w:before="240" w:line="360" w:lineRule="auto"/>
        <w:ind w:left="-284"/>
        <w:jc w:val="both"/>
        <w:rPr>
          <w:rFonts w:ascii="Arial" w:eastAsia="Arial" w:hAnsi="Arial" w:cs="Arial"/>
        </w:rPr>
      </w:pPr>
    </w:p>
    <w:sectPr w:rsidR="00E66293" w:rsidRPr="00C90C89">
      <w:headerReference w:type="even" r:id="rId9"/>
      <w:headerReference w:type="default" r:id="rId10"/>
      <w:footerReference w:type="default" r:id="rId11"/>
      <w:headerReference w:type="first" r:id="rId12"/>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9576" w14:textId="77777777" w:rsidR="00577513" w:rsidRDefault="00577513" w:rsidP="003B6FD6">
      <w:pPr>
        <w:spacing w:after="0" w:line="240" w:lineRule="auto"/>
      </w:pPr>
      <w:r>
        <w:separator/>
      </w:r>
    </w:p>
  </w:endnote>
  <w:endnote w:type="continuationSeparator" w:id="0">
    <w:p w14:paraId="1C47B0AA" w14:textId="77777777" w:rsidR="00577513" w:rsidRDefault="00577513" w:rsidP="003B6FD6">
      <w:pPr>
        <w:spacing w:after="0" w:line="240" w:lineRule="auto"/>
      </w:pPr>
      <w:r>
        <w:continuationSeparator/>
      </w:r>
    </w:p>
  </w:endnote>
  <w:endnote w:id="1">
    <w:p w14:paraId="3AAED264" w14:textId="3B75A656" w:rsidR="00A0226C" w:rsidRPr="00F336D3" w:rsidRDefault="00A0226C" w:rsidP="00A0226C">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Venice Commission, </w:t>
      </w:r>
      <w:r w:rsidRPr="00057F33">
        <w:rPr>
          <w:rFonts w:ascii="Arial" w:hAnsi="Arial" w:cs="Arial"/>
        </w:rPr>
        <w:t>Urgent Opinion on the Law on Transparency of Foreign Influence in Georgia</w:t>
      </w:r>
      <w:r w:rsidRPr="00F336D3">
        <w:rPr>
          <w:rFonts w:ascii="Arial" w:hAnsi="Arial" w:cs="Arial"/>
        </w:rPr>
        <w:t>, 21 May 2024, Opinion No. 1190/2024, paras 96-9</w:t>
      </w:r>
      <w:r w:rsidR="00057F33">
        <w:rPr>
          <w:rFonts w:ascii="Arial" w:hAnsi="Arial" w:cs="Arial"/>
        </w:rPr>
        <w:t xml:space="preserve">7, available at: </w:t>
      </w:r>
      <w:hyperlink r:id="rId1" w:history="1">
        <w:r w:rsidR="00057F33" w:rsidRPr="00C753A0">
          <w:rPr>
            <w:rStyle w:val="Hyperlink"/>
            <w:rFonts w:ascii="Arial" w:hAnsi="Arial" w:cs="Arial"/>
          </w:rPr>
          <w:t>https://www.venice.coe.int/webforms/documents/default.aspx?pdffile=CDL-PI(2024)013-e</w:t>
        </w:r>
      </w:hyperlink>
      <w:r w:rsidR="00057F33">
        <w:rPr>
          <w:rFonts w:ascii="Arial" w:hAnsi="Arial" w:cs="Arial"/>
        </w:rPr>
        <w:t xml:space="preserve"> </w:t>
      </w:r>
    </w:p>
  </w:endnote>
  <w:endnote w:id="2">
    <w:p w14:paraId="2C28D134" w14:textId="77777777" w:rsidR="00097A51" w:rsidRPr="00F336D3" w:rsidRDefault="00097A51" w:rsidP="00097A51">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Order of the Federal Security Service of the Russian Federation of 28 September 2021 No. 379 "On approval of the List of information in the field of military, military-technical activities of the Russian Federation, which, when received by a foreign state, its state bodies, an international or foreign organisation, foreign citizens or stateless persons can be used against the security of the Russian Federation, available at: </w:t>
      </w:r>
      <w:hyperlink r:id="rId2" w:history="1">
        <w:r w:rsidRPr="00F336D3">
          <w:rPr>
            <w:rStyle w:val="Hyperlink"/>
            <w:rFonts w:ascii="Arial" w:hAnsi="Arial" w:cs="Arial"/>
          </w:rPr>
          <w:t>http://publication.pravo.gov.ru/Document/View/0001202109300048?index=2&amp;rangeSize=1</w:t>
        </w:r>
      </w:hyperlink>
    </w:p>
  </w:endnote>
  <w:endnote w:id="3">
    <w:p w14:paraId="34EE9314" w14:textId="77777777" w:rsidR="00097A51" w:rsidRPr="00F336D3" w:rsidRDefault="00097A51" w:rsidP="00097A51">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Organisation for Security and Co-operation in Europe, </w:t>
      </w:r>
      <w:r w:rsidRPr="00F336D3">
        <w:rPr>
          <w:rFonts w:ascii="Arial" w:hAnsi="Arial" w:cs="Arial"/>
          <w:i/>
          <w:iCs/>
        </w:rPr>
        <w:t xml:space="preserve">OSCE Media Freedom Representative expresses grave concern about dangerous effects of ‘foreign agent’ legislation on media freedom in Russia </w:t>
      </w:r>
      <w:r w:rsidRPr="00F336D3">
        <w:rPr>
          <w:rFonts w:ascii="Arial" w:hAnsi="Arial" w:cs="Arial"/>
        </w:rPr>
        <w:t xml:space="preserve">(24 August 2021), available at: </w:t>
      </w:r>
      <w:hyperlink r:id="rId3" w:history="1">
        <w:r w:rsidRPr="00F336D3">
          <w:rPr>
            <w:rStyle w:val="Hyperlink"/>
            <w:rFonts w:ascii="Arial" w:hAnsi="Arial" w:cs="Arial"/>
          </w:rPr>
          <w:t>https://www.osce.org/representative-on-freedom-of-media/496291</w:t>
        </w:r>
      </w:hyperlink>
      <w:r w:rsidRPr="00F336D3">
        <w:rPr>
          <w:rFonts w:ascii="Arial" w:hAnsi="Arial" w:cs="Arial"/>
        </w:rPr>
        <w:t xml:space="preserve">   </w:t>
      </w:r>
    </w:p>
  </w:endnote>
  <w:endnote w:id="4">
    <w:p w14:paraId="6FCA30B9" w14:textId="2B5E3AE9" w:rsidR="009F1C99" w:rsidRPr="00F336D3" w:rsidRDefault="009F1C99">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w:t>
      </w:r>
      <w:r w:rsidR="002D78BB">
        <w:rPr>
          <w:rFonts w:ascii="Arial" w:hAnsi="Arial" w:cs="Arial"/>
        </w:rPr>
        <w:t>ARTICLE 19, ‘</w:t>
      </w:r>
      <w:r w:rsidRPr="002D78BB">
        <w:rPr>
          <w:rFonts w:ascii="Arial" w:hAnsi="Arial" w:cs="Arial"/>
        </w:rPr>
        <w:t>EU: Scrap problematic draft of 'foreign influence' directive</w:t>
      </w:r>
      <w:r w:rsidR="002D78BB">
        <w:rPr>
          <w:rFonts w:ascii="Arial" w:hAnsi="Arial" w:cs="Arial"/>
        </w:rPr>
        <w:t xml:space="preserve">’, </w:t>
      </w:r>
      <w:r w:rsidR="002C5C50">
        <w:rPr>
          <w:rFonts w:ascii="Arial" w:hAnsi="Arial" w:cs="Arial"/>
        </w:rPr>
        <w:t xml:space="preserve">16 July 2024, </w:t>
      </w:r>
      <w:r w:rsidR="002D78BB">
        <w:rPr>
          <w:rFonts w:ascii="Arial" w:hAnsi="Arial" w:cs="Arial"/>
        </w:rPr>
        <w:t xml:space="preserve">available at: </w:t>
      </w:r>
      <w:hyperlink r:id="rId4" w:history="1">
        <w:r w:rsidR="002D78BB" w:rsidRPr="00C753A0">
          <w:rPr>
            <w:rStyle w:val="Hyperlink"/>
            <w:rFonts w:ascii="Arial" w:hAnsi="Arial" w:cs="Arial"/>
          </w:rPr>
          <w:t>https://www.article19.org/resources/eu-scrap-problematic-draft-of-foreign-influence-directive/</w:t>
        </w:r>
      </w:hyperlink>
      <w:r w:rsidR="002D78BB">
        <w:rPr>
          <w:rFonts w:ascii="Arial" w:hAnsi="Arial" w:cs="Arial"/>
        </w:rPr>
        <w:t xml:space="preserve"> </w:t>
      </w:r>
    </w:p>
  </w:endnote>
  <w:endnote w:id="5">
    <w:p w14:paraId="5FCA100E" w14:textId="7A2BCAC9" w:rsidR="00A0226C" w:rsidRPr="00F336D3" w:rsidRDefault="00A0226C" w:rsidP="00A0226C">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The IACHR also noted that “This act is being implemented alongside others that have recently been passed and that are also a source of concern for the IACHR. The Commission believes that these pieces of legislation (the Special Cybercrime Act, the Act to Defend the Rights of the People, and the Reform of the Code of Criminal Procedure) all seek to scare Nicaraguans, with a view to restricting freedom of expression, in violation of inter-American human rights standards”</w:t>
      </w:r>
      <w:r w:rsidR="002C5C50">
        <w:rPr>
          <w:rFonts w:ascii="Arial" w:hAnsi="Arial" w:cs="Arial"/>
        </w:rPr>
        <w:t>.</w:t>
      </w:r>
      <w:r w:rsidRPr="00F336D3">
        <w:rPr>
          <w:rFonts w:ascii="Arial" w:hAnsi="Arial" w:cs="Arial"/>
        </w:rPr>
        <w:t xml:space="preserve"> See OAS, </w:t>
      </w:r>
      <w:r w:rsidR="002C5C50" w:rsidRPr="002C5C50">
        <w:rPr>
          <w:rFonts w:ascii="Arial" w:hAnsi="Arial" w:cs="Arial"/>
        </w:rPr>
        <w:t>‘</w:t>
      </w:r>
      <w:r w:rsidRPr="002C5C50">
        <w:rPr>
          <w:rFonts w:ascii="Arial" w:hAnsi="Arial" w:cs="Arial"/>
        </w:rPr>
        <w:t>IACHR Rejects Nicaragua’s Foreign Agents Act and Calls on the State to Repeal It</w:t>
      </w:r>
      <w:r w:rsidR="002C5C50" w:rsidRPr="002C5C50">
        <w:rPr>
          <w:rFonts w:ascii="Arial" w:hAnsi="Arial" w:cs="Arial"/>
        </w:rPr>
        <w:t xml:space="preserve">’, </w:t>
      </w:r>
      <w:r w:rsidRPr="002C5C50">
        <w:rPr>
          <w:rFonts w:ascii="Arial" w:hAnsi="Arial" w:cs="Arial"/>
        </w:rPr>
        <w:t>26 Fe</w:t>
      </w:r>
      <w:r w:rsidRPr="00F336D3">
        <w:rPr>
          <w:rFonts w:ascii="Arial" w:hAnsi="Arial" w:cs="Arial"/>
        </w:rPr>
        <w:t xml:space="preserve">bruary </w:t>
      </w:r>
      <w:r w:rsidR="002C5C50" w:rsidRPr="00F336D3">
        <w:rPr>
          <w:rFonts w:ascii="Arial" w:hAnsi="Arial" w:cs="Arial"/>
        </w:rPr>
        <w:t>2021</w:t>
      </w:r>
      <w:r w:rsidR="002C5C50">
        <w:rPr>
          <w:rFonts w:ascii="Arial" w:hAnsi="Arial" w:cs="Arial"/>
        </w:rPr>
        <w:t>,</w:t>
      </w:r>
      <w:r w:rsidRPr="00F336D3">
        <w:rPr>
          <w:rFonts w:ascii="Arial" w:hAnsi="Arial" w:cs="Arial"/>
        </w:rPr>
        <w:t xml:space="preserve"> available at: </w:t>
      </w:r>
      <w:hyperlink r:id="rId5" w:history="1">
        <w:r w:rsidRPr="00F336D3">
          <w:rPr>
            <w:rStyle w:val="Hyperlink"/>
            <w:rFonts w:ascii="Arial" w:hAnsi="Arial" w:cs="Arial"/>
          </w:rPr>
          <w:t>http://www.oas.org/en/IACHR/jsForm/?File=/en/iachr/media_center/PReleases/2021/043.asp</w:t>
        </w:r>
      </w:hyperlink>
      <w:r w:rsidRPr="00F336D3">
        <w:rPr>
          <w:rFonts w:ascii="Arial" w:hAnsi="Arial" w:cs="Arial"/>
        </w:rPr>
        <w:t xml:space="preserve">   </w:t>
      </w:r>
    </w:p>
  </w:endnote>
  <w:endnote w:id="6">
    <w:p w14:paraId="65D6DF19" w14:textId="01BF6F7D" w:rsidR="00A0226C" w:rsidRPr="00F336D3" w:rsidRDefault="00A0226C" w:rsidP="00A0226C">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Inter American Press </w:t>
      </w:r>
      <w:r w:rsidRPr="002C5C50">
        <w:rPr>
          <w:rFonts w:ascii="Arial" w:hAnsi="Arial" w:cs="Arial"/>
        </w:rPr>
        <w:t xml:space="preserve">Association, </w:t>
      </w:r>
      <w:r w:rsidR="002C5C50" w:rsidRPr="002C5C50">
        <w:rPr>
          <w:rFonts w:ascii="Arial" w:hAnsi="Arial" w:cs="Arial"/>
        </w:rPr>
        <w:t>‘</w:t>
      </w:r>
      <w:r w:rsidRPr="002C5C50">
        <w:rPr>
          <w:rFonts w:ascii="Arial" w:hAnsi="Arial" w:cs="Arial"/>
        </w:rPr>
        <w:t>Non-interference and freedom of association - Resolution of the IAPA Midyear Meeting</w:t>
      </w:r>
      <w:r w:rsidR="002C5C50" w:rsidRPr="002C5C50">
        <w:rPr>
          <w:rFonts w:ascii="Arial" w:hAnsi="Arial" w:cs="Arial"/>
        </w:rPr>
        <w:t xml:space="preserve">’, </w:t>
      </w:r>
      <w:r w:rsidRPr="002C5C50">
        <w:rPr>
          <w:rFonts w:ascii="Arial" w:hAnsi="Arial" w:cs="Arial"/>
        </w:rPr>
        <w:t>20-23 April 2021</w:t>
      </w:r>
      <w:r w:rsidR="002C5C50" w:rsidRPr="002C5C50">
        <w:rPr>
          <w:rFonts w:ascii="Arial" w:hAnsi="Arial" w:cs="Arial"/>
        </w:rPr>
        <w:t>,</w:t>
      </w:r>
      <w:r w:rsidRPr="00F336D3">
        <w:rPr>
          <w:rFonts w:ascii="Arial" w:hAnsi="Arial" w:cs="Arial"/>
        </w:rPr>
        <w:t xml:space="preserve"> available at: </w:t>
      </w:r>
      <w:hyperlink r:id="rId6" w:history="1">
        <w:r w:rsidRPr="00F336D3">
          <w:rPr>
            <w:rStyle w:val="Hyperlink"/>
            <w:rFonts w:ascii="Arial" w:hAnsi="Arial" w:cs="Arial"/>
          </w:rPr>
          <w:t>https://en.sipiapa.org/notas/1214528-non-interference-and-freedom-of-association</w:t>
        </w:r>
      </w:hyperlink>
      <w:r w:rsidRPr="00F336D3">
        <w:rPr>
          <w:rFonts w:ascii="Arial" w:hAnsi="Arial" w:cs="Arial"/>
        </w:rPr>
        <w:t xml:space="preserve">   </w:t>
      </w:r>
    </w:p>
  </w:endnote>
  <w:endnote w:id="7">
    <w:p w14:paraId="7575FFCC" w14:textId="33F27E24" w:rsidR="00A0226C" w:rsidRPr="009021E3" w:rsidRDefault="00A0226C" w:rsidP="009021E3">
      <w:pPr>
        <w:autoSpaceDE w:val="0"/>
        <w:autoSpaceDN w:val="0"/>
        <w:adjustRightInd w:val="0"/>
        <w:spacing w:after="0" w:line="240" w:lineRule="auto"/>
        <w:rPr>
          <w:rFonts w:ascii="Arial" w:hAnsi="Arial" w:cs="Arial"/>
          <w:color w:val="000000"/>
          <w:sz w:val="20"/>
          <w:szCs w:val="20"/>
        </w:rPr>
      </w:pPr>
      <w:r w:rsidRPr="00F336D3">
        <w:rPr>
          <w:rStyle w:val="EndnoteReference"/>
          <w:rFonts w:ascii="Arial" w:hAnsi="Arial" w:cs="Arial"/>
          <w:sz w:val="20"/>
          <w:szCs w:val="20"/>
        </w:rPr>
        <w:endnoteRef/>
      </w:r>
      <w:r w:rsidRPr="00F336D3">
        <w:rPr>
          <w:rFonts w:ascii="Arial" w:hAnsi="Arial" w:cs="Arial"/>
          <w:sz w:val="20"/>
          <w:szCs w:val="20"/>
        </w:rPr>
        <w:t xml:space="preserve"> </w:t>
      </w:r>
      <w:r w:rsidRPr="00F336D3">
        <w:rPr>
          <w:rFonts w:ascii="Arial" w:hAnsi="Arial" w:cs="Arial"/>
          <w:color w:val="000000"/>
          <w:sz w:val="20"/>
          <w:szCs w:val="20"/>
        </w:rPr>
        <w:t xml:space="preserve">See e.g., ARTICLE 19, </w:t>
      </w:r>
      <w:r w:rsidR="00491D76">
        <w:rPr>
          <w:rFonts w:ascii="Arial" w:hAnsi="Arial" w:cs="Arial"/>
          <w:color w:val="000000"/>
          <w:sz w:val="20"/>
          <w:szCs w:val="20"/>
        </w:rPr>
        <w:t>‘</w:t>
      </w:r>
      <w:r w:rsidR="00491D76" w:rsidRPr="00491D76">
        <w:rPr>
          <w:rFonts w:ascii="Arial" w:hAnsi="Arial" w:cs="Arial"/>
          <w:color w:val="000000"/>
          <w:sz w:val="20"/>
          <w:szCs w:val="20"/>
        </w:rPr>
        <w:t>Requiring media to register as ‘foreign agents’ poses threat to free speech</w:t>
      </w:r>
      <w:r w:rsidR="00491D76">
        <w:rPr>
          <w:rFonts w:ascii="Arial" w:hAnsi="Arial" w:cs="Arial"/>
          <w:color w:val="000000"/>
          <w:sz w:val="20"/>
          <w:szCs w:val="20"/>
        </w:rPr>
        <w:t xml:space="preserve">’, 17 </w:t>
      </w:r>
      <w:r w:rsidR="00491D76" w:rsidRPr="00C9073D">
        <w:rPr>
          <w:rFonts w:ascii="Arial" w:hAnsi="Arial" w:cs="Arial"/>
          <w:color w:val="000000"/>
          <w:sz w:val="20"/>
          <w:szCs w:val="20"/>
        </w:rPr>
        <w:t xml:space="preserve">November 2017, available at: </w:t>
      </w:r>
      <w:hyperlink r:id="rId7" w:history="1">
        <w:r w:rsidR="00491D76" w:rsidRPr="00C9073D">
          <w:rPr>
            <w:rStyle w:val="Hyperlink"/>
            <w:rFonts w:ascii="Arial" w:hAnsi="Arial" w:cs="Arial"/>
            <w:sz w:val="20"/>
            <w:szCs w:val="20"/>
          </w:rPr>
          <w:t>https://www.article19.org/resources/requiring-media-register-foreign-agents-poses-threat-free-speech/</w:t>
        </w:r>
      </w:hyperlink>
      <w:r w:rsidR="00C9073D">
        <w:rPr>
          <w:rFonts w:ascii="Arial" w:hAnsi="Arial" w:cs="Arial"/>
          <w:color w:val="000000"/>
          <w:sz w:val="20"/>
          <w:szCs w:val="20"/>
        </w:rPr>
        <w:t>;</w:t>
      </w:r>
      <w:r w:rsidR="009021E3" w:rsidRPr="00C9073D">
        <w:rPr>
          <w:rFonts w:ascii="Arial" w:hAnsi="Arial" w:cs="Arial"/>
          <w:color w:val="000000"/>
          <w:sz w:val="20"/>
          <w:szCs w:val="20"/>
        </w:rPr>
        <w:t xml:space="preserve"> </w:t>
      </w:r>
      <w:r w:rsidRPr="00C9073D">
        <w:rPr>
          <w:rFonts w:ascii="Arial" w:hAnsi="Arial" w:cs="Arial"/>
          <w:color w:val="000000"/>
          <w:sz w:val="20"/>
          <w:szCs w:val="20"/>
        </w:rPr>
        <w:t xml:space="preserve">Nick Robinson, </w:t>
      </w:r>
      <w:r w:rsidR="009021E3" w:rsidRPr="00C9073D">
        <w:rPr>
          <w:rFonts w:ascii="Arial" w:hAnsi="Arial" w:cs="Arial"/>
          <w:color w:val="000000"/>
          <w:sz w:val="20"/>
          <w:szCs w:val="20"/>
        </w:rPr>
        <w:t>‘</w:t>
      </w:r>
      <w:r w:rsidRPr="00C9073D">
        <w:rPr>
          <w:rFonts w:ascii="Arial" w:hAnsi="Arial" w:cs="Arial"/>
          <w:kern w:val="0"/>
          <w:sz w:val="20"/>
          <w:szCs w:val="20"/>
          <w14:ligatures w14:val="none"/>
        </w:rPr>
        <w:t>Fixing the FARA Mess</w:t>
      </w:r>
      <w:r w:rsidR="009021E3" w:rsidRPr="00C9073D">
        <w:rPr>
          <w:rFonts w:ascii="Arial" w:hAnsi="Arial" w:cs="Arial"/>
          <w:kern w:val="0"/>
          <w:sz w:val="20"/>
          <w:szCs w:val="20"/>
          <w14:ligatures w14:val="none"/>
        </w:rPr>
        <w:t>’</w:t>
      </w:r>
      <w:r w:rsidRPr="00C9073D">
        <w:rPr>
          <w:rFonts w:ascii="Arial" w:hAnsi="Arial" w:cs="Arial"/>
          <w:kern w:val="0"/>
          <w:sz w:val="20"/>
          <w:szCs w:val="20"/>
          <w14:ligatures w14:val="none"/>
        </w:rPr>
        <w:t>, Just</w:t>
      </w:r>
      <w:r w:rsidRPr="00C9073D">
        <w:rPr>
          <w:rFonts w:ascii="Arial" w:hAnsi="Arial" w:cs="Arial"/>
          <w:color w:val="000000"/>
          <w:sz w:val="20"/>
          <w:szCs w:val="20"/>
        </w:rPr>
        <w:t xml:space="preserve"> Security, 16 March 2022</w:t>
      </w:r>
      <w:r w:rsidR="00C9073D" w:rsidRPr="00C9073D">
        <w:rPr>
          <w:rFonts w:ascii="Arial" w:hAnsi="Arial" w:cs="Arial"/>
          <w:color w:val="000000"/>
          <w:sz w:val="20"/>
          <w:szCs w:val="20"/>
        </w:rPr>
        <w:t xml:space="preserve">, available at: </w:t>
      </w:r>
      <w:hyperlink r:id="rId8" w:history="1">
        <w:r w:rsidR="00C9073D" w:rsidRPr="00C9073D">
          <w:rPr>
            <w:rStyle w:val="Hyperlink"/>
            <w:rFonts w:ascii="Arial" w:hAnsi="Arial" w:cs="Arial"/>
            <w:sz w:val="20"/>
            <w:szCs w:val="20"/>
          </w:rPr>
          <w:t>https://www.justsecurity.org/80690/fixing-the-fara-mess/</w:t>
        </w:r>
      </w:hyperlink>
    </w:p>
  </w:endnote>
  <w:endnote w:id="8">
    <w:p w14:paraId="2BDF002D" w14:textId="57072F60" w:rsidR="00A0226C" w:rsidRPr="00C9073D" w:rsidRDefault="00A0226C" w:rsidP="00C9073D">
      <w:pPr>
        <w:autoSpaceDE w:val="0"/>
        <w:autoSpaceDN w:val="0"/>
        <w:adjustRightInd w:val="0"/>
        <w:spacing w:after="0" w:line="240" w:lineRule="auto"/>
        <w:rPr>
          <w:rFonts w:ascii="Arial" w:hAnsi="Arial" w:cs="Arial"/>
          <w:color w:val="0000FF"/>
          <w:sz w:val="20"/>
          <w:szCs w:val="20"/>
        </w:rPr>
      </w:pPr>
      <w:r w:rsidRPr="00F336D3">
        <w:rPr>
          <w:rStyle w:val="EndnoteReference"/>
          <w:rFonts w:ascii="Arial" w:hAnsi="Arial" w:cs="Arial"/>
          <w:sz w:val="20"/>
          <w:szCs w:val="20"/>
        </w:rPr>
        <w:endnoteRef/>
      </w:r>
      <w:r w:rsidRPr="00F336D3">
        <w:rPr>
          <w:rFonts w:ascii="Arial" w:hAnsi="Arial" w:cs="Arial"/>
          <w:sz w:val="20"/>
          <w:szCs w:val="20"/>
        </w:rPr>
        <w:t xml:space="preserve"> </w:t>
      </w:r>
      <w:r w:rsidRPr="00C9073D">
        <w:rPr>
          <w:rFonts w:ascii="Arial" w:hAnsi="Arial" w:cs="Arial"/>
          <w:sz w:val="20"/>
          <w:szCs w:val="20"/>
        </w:rPr>
        <w:t xml:space="preserve">Samantha Laufer, </w:t>
      </w:r>
      <w:r w:rsidR="00C9073D" w:rsidRPr="00C9073D">
        <w:rPr>
          <w:rFonts w:ascii="Arial" w:hAnsi="Arial" w:cs="Arial"/>
          <w:sz w:val="20"/>
          <w:szCs w:val="20"/>
        </w:rPr>
        <w:t>‘</w:t>
      </w:r>
      <w:r w:rsidRPr="00C9073D">
        <w:rPr>
          <w:rFonts w:ascii="Arial" w:hAnsi="Arial" w:cs="Arial"/>
          <w:sz w:val="20"/>
          <w:szCs w:val="20"/>
        </w:rPr>
        <w:t>A Difference in Approach: Comparing the US Foreign Agents Registration Act with Other</w:t>
      </w:r>
      <w:r w:rsidR="00C9073D" w:rsidRPr="00C9073D">
        <w:rPr>
          <w:rFonts w:ascii="Arial" w:hAnsi="Arial" w:cs="Arial"/>
          <w:sz w:val="20"/>
          <w:szCs w:val="20"/>
        </w:rPr>
        <w:t xml:space="preserve"> </w:t>
      </w:r>
      <w:r w:rsidRPr="00C9073D">
        <w:rPr>
          <w:rFonts w:ascii="Arial" w:hAnsi="Arial" w:cs="Arial"/>
          <w:sz w:val="20"/>
          <w:szCs w:val="20"/>
        </w:rPr>
        <w:t>Laws Targeting Internationally Funded Civil Society</w:t>
      </w:r>
      <w:r w:rsidR="00C9073D" w:rsidRPr="00C9073D">
        <w:rPr>
          <w:rFonts w:ascii="Arial" w:hAnsi="Arial" w:cs="Arial"/>
          <w:sz w:val="20"/>
          <w:szCs w:val="20"/>
        </w:rPr>
        <w:t>’,</w:t>
      </w:r>
      <w:r w:rsidRPr="00C9073D">
        <w:rPr>
          <w:rFonts w:ascii="Arial" w:hAnsi="Arial" w:cs="Arial"/>
          <w:sz w:val="20"/>
          <w:szCs w:val="20"/>
        </w:rPr>
        <w:t xml:space="preserve"> International Journal of Not-for-Profit Law, Vol. 19 No. 1,</w:t>
      </w:r>
      <w:r w:rsidR="00C9073D" w:rsidRPr="00C9073D">
        <w:rPr>
          <w:rFonts w:ascii="Arial" w:hAnsi="Arial" w:cs="Arial"/>
          <w:sz w:val="20"/>
          <w:szCs w:val="20"/>
        </w:rPr>
        <w:t xml:space="preserve"> </w:t>
      </w:r>
      <w:r w:rsidRPr="00C9073D">
        <w:rPr>
          <w:rFonts w:ascii="Arial" w:hAnsi="Arial" w:cs="Arial"/>
          <w:sz w:val="20"/>
          <w:szCs w:val="20"/>
        </w:rPr>
        <w:t>April 2017</w:t>
      </w:r>
      <w:r w:rsidR="00831ACF">
        <w:rPr>
          <w:rFonts w:ascii="Arial" w:hAnsi="Arial" w:cs="Arial"/>
          <w:sz w:val="20"/>
          <w:szCs w:val="20"/>
        </w:rPr>
        <w:t xml:space="preserve">, available at: </w:t>
      </w:r>
      <w:hyperlink r:id="rId9" w:history="1">
        <w:r w:rsidR="00831ACF" w:rsidRPr="00C753A0">
          <w:rPr>
            <w:rStyle w:val="Hyperlink"/>
            <w:rFonts w:ascii="Arial" w:hAnsi="Arial" w:cs="Arial"/>
            <w:sz w:val="20"/>
            <w:szCs w:val="20"/>
          </w:rPr>
          <w:t>https://www.icnl.org/resources/research/ijnl/a-difference-in-approach-comparing-the-us-foreign-agents-registration-act-with-other-laws-targeting-internationally-funded-civil-society</w:t>
        </w:r>
      </w:hyperlink>
      <w:r w:rsidR="00831ACF">
        <w:rPr>
          <w:rFonts w:ascii="Arial" w:hAnsi="Arial" w:cs="Arial"/>
          <w:sz w:val="20"/>
          <w:szCs w:val="20"/>
        </w:rPr>
        <w:t xml:space="preserve"> </w:t>
      </w:r>
    </w:p>
  </w:endnote>
  <w:endnote w:id="9">
    <w:p w14:paraId="4D2029B5" w14:textId="05606B3B" w:rsidR="00886909" w:rsidRPr="00F336D3" w:rsidRDefault="00886909" w:rsidP="00886909">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Australia, Foreign Influence Transparency Scheme Act 2018, No. 63, including amendments of 2 November 2023, available at</w:t>
      </w:r>
      <w:r w:rsidR="00831ACF">
        <w:rPr>
          <w:rFonts w:ascii="Arial" w:hAnsi="Arial" w:cs="Arial"/>
        </w:rPr>
        <w:t>:</w:t>
      </w:r>
      <w:r w:rsidRPr="00F336D3">
        <w:rPr>
          <w:rFonts w:ascii="Arial" w:hAnsi="Arial" w:cs="Arial"/>
        </w:rPr>
        <w:t xml:space="preserve"> </w:t>
      </w:r>
      <w:hyperlink r:id="rId10" w:history="1">
        <w:r w:rsidR="00831ACF" w:rsidRPr="00C753A0">
          <w:rPr>
            <w:rStyle w:val="Hyperlink"/>
            <w:rFonts w:ascii="Arial" w:hAnsi="Arial" w:cs="Arial"/>
          </w:rPr>
          <w:t>https://www.legislation.gov.au/C2018A00063/latest/text</w:t>
        </w:r>
      </w:hyperlink>
      <w:r w:rsidR="00831ACF">
        <w:rPr>
          <w:rFonts w:ascii="Arial" w:hAnsi="Arial" w:cs="Arial"/>
        </w:rPr>
        <w:t xml:space="preserve"> </w:t>
      </w:r>
    </w:p>
  </w:endnote>
  <w:endnote w:id="10">
    <w:p w14:paraId="6BDC9D82" w14:textId="4A9F72DC" w:rsidR="00A0226C" w:rsidRPr="00F336D3" w:rsidRDefault="00A0226C" w:rsidP="00A0226C">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See Alemanno, Alberto and Sames, Felix, </w:t>
      </w:r>
      <w:r w:rsidR="00831ACF">
        <w:rPr>
          <w:rFonts w:ascii="Arial" w:hAnsi="Arial" w:cs="Arial"/>
        </w:rPr>
        <w:t>‘</w:t>
      </w:r>
      <w:r w:rsidRPr="00F336D3">
        <w:rPr>
          <w:rFonts w:ascii="Arial" w:hAnsi="Arial" w:cs="Arial"/>
        </w:rPr>
        <w:t>Foreign Influence Legislations: A Comparative Analysis and Critical Evaluatio</w:t>
      </w:r>
      <w:r w:rsidR="00831ACF">
        <w:rPr>
          <w:rFonts w:ascii="Arial" w:hAnsi="Arial" w:cs="Arial"/>
        </w:rPr>
        <w:t xml:space="preserve">n’, 14 </w:t>
      </w:r>
      <w:r w:rsidRPr="00F336D3">
        <w:rPr>
          <w:rFonts w:ascii="Arial" w:hAnsi="Arial" w:cs="Arial"/>
        </w:rPr>
        <w:t>December 2023</w:t>
      </w:r>
      <w:r w:rsidR="00831ACF">
        <w:rPr>
          <w:rFonts w:ascii="Arial" w:hAnsi="Arial" w:cs="Arial"/>
        </w:rPr>
        <w:t>, a</w:t>
      </w:r>
      <w:r w:rsidRPr="00F336D3">
        <w:rPr>
          <w:rFonts w:ascii="Arial" w:hAnsi="Arial" w:cs="Arial"/>
        </w:rPr>
        <w:t>vailable</w:t>
      </w:r>
      <w:r w:rsidR="00831ACF">
        <w:rPr>
          <w:rFonts w:ascii="Arial" w:hAnsi="Arial" w:cs="Arial"/>
        </w:rPr>
        <w:t xml:space="preserve"> at</w:t>
      </w:r>
      <w:r w:rsidRPr="00F336D3">
        <w:rPr>
          <w:rFonts w:ascii="Arial" w:hAnsi="Arial" w:cs="Arial"/>
        </w:rPr>
        <w:t xml:space="preserve">: </w:t>
      </w:r>
      <w:hyperlink r:id="rId11" w:history="1">
        <w:r w:rsidR="00831ACF" w:rsidRPr="00C753A0">
          <w:rPr>
            <w:rStyle w:val="Hyperlink"/>
            <w:rFonts w:ascii="Arial" w:hAnsi="Arial" w:cs="Arial"/>
          </w:rPr>
          <w:t>https://ssrn.com/abstract=4664891</w:t>
        </w:r>
      </w:hyperlink>
      <w:r w:rsidR="00831ACF">
        <w:rPr>
          <w:rFonts w:ascii="Arial" w:hAnsi="Arial" w:cs="Arial"/>
        </w:rPr>
        <w:t xml:space="preserve"> </w:t>
      </w:r>
      <w:r w:rsidRPr="00F336D3">
        <w:rPr>
          <w:rFonts w:ascii="Arial" w:hAnsi="Arial" w:cs="Arial"/>
        </w:rPr>
        <w:t xml:space="preserve"> </w:t>
      </w:r>
    </w:p>
  </w:endnote>
  <w:endnote w:id="11">
    <w:p w14:paraId="71082A45" w14:textId="247EAA1B" w:rsidR="005659DC" w:rsidRPr="00F336D3" w:rsidRDefault="005659DC" w:rsidP="005659DC">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w:t>
      </w:r>
      <w:r w:rsidR="00350DF7">
        <w:rPr>
          <w:rFonts w:ascii="Arial" w:hAnsi="Arial" w:cs="Arial"/>
        </w:rPr>
        <w:t>ARTICLE 19, ‘</w:t>
      </w:r>
      <w:r w:rsidRPr="000723FA">
        <w:rPr>
          <w:rFonts w:ascii="Arial" w:hAnsi="Arial" w:cs="Arial"/>
        </w:rPr>
        <w:t>Russia: ARTICLE 19’s 'undesirable' status is only about silencing Russians</w:t>
      </w:r>
      <w:r w:rsidR="000723FA">
        <w:rPr>
          <w:rFonts w:ascii="Arial" w:hAnsi="Arial" w:cs="Arial"/>
        </w:rPr>
        <w:t xml:space="preserve">’, 15 February 2024, available at: </w:t>
      </w:r>
      <w:hyperlink r:id="rId12" w:history="1">
        <w:r w:rsidR="000723FA" w:rsidRPr="00C753A0">
          <w:rPr>
            <w:rStyle w:val="Hyperlink"/>
            <w:rFonts w:ascii="Arial" w:hAnsi="Arial" w:cs="Arial"/>
          </w:rPr>
          <w:t>https://www.article19.org/resources/russia-article-19s-undesirable-status-is-about-silencing-russians/</w:t>
        </w:r>
      </w:hyperlink>
      <w:r w:rsidR="000723FA">
        <w:rPr>
          <w:rFonts w:ascii="Arial" w:hAnsi="Arial" w:cs="Arial"/>
        </w:rPr>
        <w:t xml:space="preserve"> </w:t>
      </w:r>
    </w:p>
  </w:endnote>
  <w:endnote w:id="12">
    <w:p w14:paraId="2C76F291" w14:textId="2E8B1077" w:rsidR="00424F51" w:rsidRPr="00F336D3" w:rsidRDefault="007F7CB3">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w:t>
      </w:r>
      <w:r w:rsidR="000723FA">
        <w:rPr>
          <w:rFonts w:ascii="Arial" w:hAnsi="Arial" w:cs="Arial"/>
        </w:rPr>
        <w:t xml:space="preserve">ARTICLE 19, </w:t>
      </w:r>
      <w:r w:rsidR="00424F51">
        <w:rPr>
          <w:rFonts w:ascii="Arial" w:hAnsi="Arial" w:cs="Arial"/>
        </w:rPr>
        <w:t>‘</w:t>
      </w:r>
      <w:r w:rsidRPr="00424F51">
        <w:rPr>
          <w:rFonts w:ascii="Arial" w:hAnsi="Arial" w:cs="Arial"/>
        </w:rPr>
        <w:t>European Court of Human Rights: Hungarian anti-immigration law restricts NGOs</w:t>
      </w:r>
      <w:r w:rsidR="00424F51">
        <w:rPr>
          <w:rFonts w:ascii="Arial" w:hAnsi="Arial" w:cs="Arial"/>
        </w:rPr>
        <w:t>’,</w:t>
      </w:r>
      <w:r w:rsidR="00522EF4">
        <w:rPr>
          <w:rFonts w:ascii="Arial" w:hAnsi="Arial" w:cs="Arial"/>
        </w:rPr>
        <w:t xml:space="preserve"> 3 September 2024, available at: </w:t>
      </w:r>
      <w:hyperlink r:id="rId13" w:history="1">
        <w:r w:rsidR="00522EF4" w:rsidRPr="00C753A0">
          <w:rPr>
            <w:rStyle w:val="Hyperlink"/>
            <w:rFonts w:ascii="Arial" w:hAnsi="Arial" w:cs="Arial"/>
          </w:rPr>
          <w:t>https://www.article19.org/resources/european-court-of-human-rights-hungarian-anti-immigration-law-restricts-ngos/</w:t>
        </w:r>
      </w:hyperlink>
      <w:r w:rsidR="00522EF4">
        <w:rPr>
          <w:rFonts w:ascii="Arial" w:hAnsi="Arial" w:cs="Arial"/>
        </w:rPr>
        <w:t xml:space="preserve"> </w:t>
      </w:r>
      <w:r w:rsidR="00424F51">
        <w:rPr>
          <w:rFonts w:ascii="Arial" w:hAnsi="Arial" w:cs="Arial"/>
        </w:rPr>
        <w:t xml:space="preserve"> </w:t>
      </w:r>
    </w:p>
  </w:endnote>
  <w:endnote w:id="13">
    <w:p w14:paraId="7C4CB285" w14:textId="77A925FC" w:rsidR="00F7733E" w:rsidRPr="00360D7C" w:rsidRDefault="00F7733E" w:rsidP="00360D7C">
      <w:pPr>
        <w:pStyle w:val="EndnoteText"/>
        <w:rPr>
          <w:rFonts w:ascii="Arial" w:hAnsi="Arial" w:cs="Arial"/>
        </w:rPr>
      </w:pPr>
      <w:r w:rsidRPr="00F336D3">
        <w:rPr>
          <w:rStyle w:val="EndnoteReference"/>
          <w:rFonts w:ascii="Arial" w:hAnsi="Arial" w:cs="Arial"/>
        </w:rPr>
        <w:endnoteRef/>
      </w:r>
      <w:r w:rsidRPr="00F336D3">
        <w:rPr>
          <w:rFonts w:ascii="Arial" w:hAnsi="Arial" w:cs="Arial"/>
        </w:rPr>
        <w:t xml:space="preserve"> </w:t>
      </w:r>
      <w:r w:rsidR="00360D7C">
        <w:rPr>
          <w:rFonts w:ascii="Arial" w:hAnsi="Arial" w:cs="Arial"/>
        </w:rPr>
        <w:t>ARTICLE 19, ‘</w:t>
      </w:r>
      <w:r w:rsidR="00360D7C" w:rsidRPr="00360D7C">
        <w:rPr>
          <w:rFonts w:ascii="Arial" w:hAnsi="Arial" w:cs="Arial"/>
        </w:rPr>
        <w:t>Dissolution of political</w:t>
      </w:r>
      <w:r w:rsidR="00360D7C">
        <w:rPr>
          <w:rFonts w:ascii="Arial" w:hAnsi="Arial" w:cs="Arial"/>
        </w:rPr>
        <w:t xml:space="preserve"> </w:t>
      </w:r>
      <w:r w:rsidR="00360D7C" w:rsidRPr="00360D7C">
        <w:rPr>
          <w:rFonts w:ascii="Arial" w:hAnsi="Arial" w:cs="Arial"/>
        </w:rPr>
        <w:t>parties in Mali</w:t>
      </w:r>
      <w:r w:rsidR="00360D7C">
        <w:rPr>
          <w:rFonts w:ascii="Arial" w:hAnsi="Arial" w:cs="Arial"/>
        </w:rPr>
        <w:t xml:space="preserve">’, 2025, available at: </w:t>
      </w:r>
      <w:hyperlink r:id="rId14" w:history="1">
        <w:r w:rsidR="00360D7C" w:rsidRPr="00C753A0">
          <w:rPr>
            <w:rStyle w:val="Hyperlink"/>
            <w:rFonts w:ascii="Arial" w:hAnsi="Arial" w:cs="Arial"/>
          </w:rPr>
          <w:t>https://www.article19.org/wp-content/uploads/2025/12/FINALDissolution-of-political-parties-in-Mali9Dec2025-1.pdf</w:t>
        </w:r>
      </w:hyperlink>
      <w:r w:rsidR="00360D7C">
        <w:rPr>
          <w:rFonts w:ascii="Arial" w:hAnsi="Arial" w:cs="Arial"/>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9FD2FE9" w14:paraId="7EC31019" w14:textId="77777777" w:rsidTr="4585207D">
      <w:trPr>
        <w:trHeight w:val="300"/>
      </w:trPr>
      <w:tc>
        <w:tcPr>
          <w:tcW w:w="3005" w:type="dxa"/>
        </w:tcPr>
        <w:p w14:paraId="7BED3F98" w14:textId="4EA37B6D" w:rsidR="39FD2FE9" w:rsidRDefault="39FD2FE9" w:rsidP="39FD2FE9">
          <w:pPr>
            <w:pStyle w:val="Header"/>
            <w:ind w:left="-115"/>
          </w:pPr>
        </w:p>
      </w:tc>
      <w:tc>
        <w:tcPr>
          <w:tcW w:w="3005" w:type="dxa"/>
        </w:tcPr>
        <w:p w14:paraId="59EC0CE6" w14:textId="767DBE7E" w:rsidR="39FD2FE9" w:rsidRDefault="39FD2FE9" w:rsidP="39FD2FE9">
          <w:pPr>
            <w:pStyle w:val="Header"/>
            <w:jc w:val="center"/>
          </w:pPr>
        </w:p>
      </w:tc>
      <w:tc>
        <w:tcPr>
          <w:tcW w:w="3005" w:type="dxa"/>
        </w:tcPr>
        <w:p w14:paraId="26FB606C" w14:textId="19C842A9" w:rsidR="39FD2FE9" w:rsidRDefault="39FD2FE9" w:rsidP="39FD2FE9">
          <w:pPr>
            <w:pStyle w:val="Header"/>
            <w:ind w:right="-115"/>
            <w:jc w:val="right"/>
          </w:pPr>
          <w:r>
            <w:fldChar w:fldCharType="begin"/>
          </w:r>
          <w:r>
            <w:instrText>PAGE</w:instrText>
          </w:r>
          <w:r>
            <w:fldChar w:fldCharType="separate"/>
          </w:r>
          <w:r w:rsidR="00057F33">
            <w:rPr>
              <w:noProof/>
            </w:rPr>
            <w:t>1</w:t>
          </w:r>
          <w:r>
            <w:fldChar w:fldCharType="end"/>
          </w:r>
        </w:p>
      </w:tc>
    </w:tr>
  </w:tbl>
  <w:p w14:paraId="1E83751C" w14:textId="1B71F52E" w:rsidR="39FD2FE9" w:rsidRDefault="39FD2FE9" w:rsidP="39FD2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D577" w14:textId="77777777" w:rsidR="00577513" w:rsidRDefault="00577513" w:rsidP="003B6FD6">
      <w:pPr>
        <w:spacing w:after="0" w:line="240" w:lineRule="auto"/>
      </w:pPr>
      <w:r>
        <w:separator/>
      </w:r>
    </w:p>
  </w:footnote>
  <w:footnote w:type="continuationSeparator" w:id="0">
    <w:p w14:paraId="07F5585A" w14:textId="77777777" w:rsidR="00577513" w:rsidRDefault="00577513" w:rsidP="003B6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78CDD" w14:textId="3AA3433D" w:rsidR="003B6FD6" w:rsidRDefault="003B6FD6">
    <w:pPr>
      <w:pStyle w:val="Header"/>
    </w:pPr>
    <w:r>
      <w:rPr>
        <w:noProof/>
      </w:rPr>
      <mc:AlternateContent>
        <mc:Choice Requires="wps">
          <w:drawing>
            <wp:anchor distT="0" distB="0" distL="0" distR="0" simplePos="0" relativeHeight="251658241" behindDoc="0" locked="0" layoutInCell="1" allowOverlap="1" wp14:anchorId="24574079" wp14:editId="3080F42D">
              <wp:simplePos x="635" y="635"/>
              <wp:positionH relativeFrom="page">
                <wp:align>left</wp:align>
              </wp:positionH>
              <wp:positionV relativeFrom="page">
                <wp:align>top</wp:align>
              </wp:positionV>
              <wp:extent cx="813435" cy="370205"/>
              <wp:effectExtent l="0" t="0" r="5715" b="10795"/>
              <wp:wrapNone/>
              <wp:docPr id="950794245"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4D9C0D0B" w14:textId="76AD3097" w:rsidR="003B6FD6" w:rsidRPr="003B6FD6" w:rsidRDefault="003B6FD6" w:rsidP="003B6FD6">
                          <w:pPr>
                            <w:spacing w:after="0"/>
                            <w:rPr>
                              <w:rFonts w:ascii="Aptos" w:eastAsia="Aptos" w:hAnsi="Aptos" w:cs="Aptos"/>
                              <w:noProof/>
                              <w:color w:val="008000"/>
                              <w:sz w:val="20"/>
                              <w:szCs w:val="20"/>
                            </w:rPr>
                          </w:pPr>
                          <w:r w:rsidRPr="003B6FD6">
                            <w:rPr>
                              <w:rFonts w:ascii="Aptos" w:eastAsia="Aptos" w:hAnsi="Aptos" w:cs="Aptos"/>
                              <w:noProof/>
                              <w:color w:val="008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24574079">
              <v:stroke joinstyle="miter"/>
              <v:path gradientshapeok="t" o:connecttype="rect"/>
            </v:shapetype>
            <v:shape id="Text Box 2" style="position:absolute;margin-left:0;margin-top:0;width:64.05pt;height:29.15pt;z-index:251658241;visibility:visible;mso-wrap-style:none;mso-wrap-distance-left:0;mso-wrap-distance-top:0;mso-wrap-distance-right:0;mso-wrap-distance-bottom:0;mso-position-horizontal:left;mso-position-horizontal-relative:page;mso-position-vertical:top;mso-position-vertical-relative:page;v-text-anchor:top" alt="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">
              <v:textbox style="mso-fit-shape-to-text:t" inset="20pt,15pt,0,0">
                <w:txbxContent>
                  <w:p w:rsidRPr="003B6FD6" w:rsidR="003B6FD6" w:rsidP="003B6FD6" w:rsidRDefault="003B6FD6" w14:paraId="4D9C0D0B" w14:textId="76AD3097">
                    <w:pPr>
                      <w:spacing w:after="0"/>
                      <w:rPr>
                        <w:rFonts w:ascii="Aptos" w:hAnsi="Aptos" w:eastAsia="Aptos" w:cs="Aptos"/>
                        <w:noProof/>
                        <w:color w:val="008000"/>
                        <w:sz w:val="20"/>
                        <w:szCs w:val="20"/>
                      </w:rPr>
                    </w:pPr>
                    <w:r w:rsidRPr="003B6FD6">
                      <w:rPr>
                        <w:rFonts w:ascii="Aptos" w:hAnsi="Aptos" w:eastAsia="Aptos" w:cs="Aptos"/>
                        <w:noProof/>
                        <w:color w:val="008000"/>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E9D4" w14:textId="2AB0A274" w:rsidR="003B6FD6" w:rsidRDefault="003B6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68AF" w14:textId="4DE8B657" w:rsidR="003B6FD6" w:rsidRDefault="003B6FD6">
    <w:pPr>
      <w:pStyle w:val="Header"/>
    </w:pPr>
    <w:r>
      <w:rPr>
        <w:noProof/>
      </w:rPr>
      <mc:AlternateContent>
        <mc:Choice Requires="wps">
          <w:drawing>
            <wp:anchor distT="0" distB="0" distL="0" distR="0" simplePos="0" relativeHeight="251658240" behindDoc="0" locked="0" layoutInCell="1" allowOverlap="1" wp14:anchorId="73A800B1" wp14:editId="17999E89">
              <wp:simplePos x="635" y="635"/>
              <wp:positionH relativeFrom="page">
                <wp:align>left</wp:align>
              </wp:positionH>
              <wp:positionV relativeFrom="page">
                <wp:align>top</wp:align>
              </wp:positionV>
              <wp:extent cx="813435" cy="370205"/>
              <wp:effectExtent l="0" t="0" r="5715" b="10795"/>
              <wp:wrapNone/>
              <wp:docPr id="1516815450"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419130CD" w14:textId="7A09F113" w:rsidR="003B6FD6" w:rsidRPr="003B6FD6" w:rsidRDefault="003B6FD6" w:rsidP="003B6FD6">
                          <w:pPr>
                            <w:spacing w:after="0"/>
                            <w:rPr>
                              <w:rFonts w:ascii="Aptos" w:eastAsia="Aptos" w:hAnsi="Aptos" w:cs="Aptos"/>
                              <w:noProof/>
                              <w:color w:val="008000"/>
                              <w:sz w:val="20"/>
                              <w:szCs w:val="20"/>
                            </w:rPr>
                          </w:pPr>
                          <w:r w:rsidRPr="003B6FD6">
                            <w:rPr>
                              <w:rFonts w:ascii="Aptos" w:eastAsia="Aptos" w:hAnsi="Aptos" w:cs="Aptos"/>
                              <w:noProof/>
                              <w:color w:val="008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73A800B1">
              <v:stroke joinstyle="miter"/>
              <v:path gradientshapeok="t" o:connecttype="rect"/>
            </v:shapetype>
            <v:shape id="Text Box 1" style="position:absolute;margin-left:0;margin-top:0;width:64.05pt;height:29.15pt;z-index:251658240;visibility:visible;mso-wrap-style:none;mso-wrap-distance-left:0;mso-wrap-distance-top:0;mso-wrap-distance-right:0;mso-wrap-distance-bottom:0;mso-position-horizontal:left;mso-position-horizontal-relative:page;mso-position-vertical:top;mso-position-vertical-relative:page;v-text-anchor:top" alt="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">
              <v:textbox style="mso-fit-shape-to-text:t" inset="20pt,15pt,0,0">
                <w:txbxContent>
                  <w:p w:rsidRPr="003B6FD6" w:rsidR="003B6FD6" w:rsidP="003B6FD6" w:rsidRDefault="003B6FD6" w14:paraId="419130CD" w14:textId="7A09F113">
                    <w:pPr>
                      <w:spacing w:after="0"/>
                      <w:rPr>
                        <w:rFonts w:ascii="Aptos" w:hAnsi="Aptos" w:eastAsia="Aptos" w:cs="Aptos"/>
                        <w:noProof/>
                        <w:color w:val="008000"/>
                        <w:sz w:val="20"/>
                        <w:szCs w:val="20"/>
                      </w:rPr>
                    </w:pPr>
                    <w:r w:rsidRPr="003B6FD6">
                      <w:rPr>
                        <w:rFonts w:ascii="Aptos" w:hAnsi="Aptos" w:eastAsia="Aptos" w:cs="Aptos"/>
                        <w:noProof/>
                        <w:color w:val="008000"/>
                        <w:sz w:val="20"/>
                        <w:szCs w:val="20"/>
                      </w:rPr>
                      <w:t>INTERNAL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foPqb1im" int2:invalidationBookmarkName="" int2:hashCode="X55YArurxx+Sdf" int2:id="SjhQQMd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DB36"/>
    <w:multiLevelType w:val="hybridMultilevel"/>
    <w:tmpl w:val="1D42C0D8"/>
    <w:lvl w:ilvl="0" w:tplc="B17426EE">
      <w:start w:val="1"/>
      <w:numFmt w:val="bullet"/>
      <w:lvlText w:val=""/>
      <w:lvlJc w:val="left"/>
      <w:pPr>
        <w:ind w:left="720" w:hanging="360"/>
      </w:pPr>
      <w:rPr>
        <w:rFonts w:ascii="Symbol" w:hAnsi="Symbol" w:hint="default"/>
      </w:rPr>
    </w:lvl>
    <w:lvl w:ilvl="1" w:tplc="C3CCF2F0">
      <w:start w:val="1"/>
      <w:numFmt w:val="bullet"/>
      <w:lvlText w:val="o"/>
      <w:lvlJc w:val="left"/>
      <w:pPr>
        <w:ind w:left="1440" w:hanging="360"/>
      </w:pPr>
      <w:rPr>
        <w:rFonts w:ascii="Courier New" w:hAnsi="Courier New" w:hint="default"/>
      </w:rPr>
    </w:lvl>
    <w:lvl w:ilvl="2" w:tplc="9B8CCE44">
      <w:start w:val="1"/>
      <w:numFmt w:val="bullet"/>
      <w:lvlText w:val=""/>
      <w:lvlJc w:val="left"/>
      <w:pPr>
        <w:ind w:left="2160" w:hanging="360"/>
      </w:pPr>
      <w:rPr>
        <w:rFonts w:ascii="Wingdings" w:hAnsi="Wingdings" w:hint="default"/>
      </w:rPr>
    </w:lvl>
    <w:lvl w:ilvl="3" w:tplc="AE1A9798">
      <w:start w:val="1"/>
      <w:numFmt w:val="bullet"/>
      <w:lvlText w:val=""/>
      <w:lvlJc w:val="left"/>
      <w:pPr>
        <w:ind w:left="2880" w:hanging="360"/>
      </w:pPr>
      <w:rPr>
        <w:rFonts w:ascii="Symbol" w:hAnsi="Symbol" w:hint="default"/>
      </w:rPr>
    </w:lvl>
    <w:lvl w:ilvl="4" w:tplc="1402D9B4">
      <w:start w:val="1"/>
      <w:numFmt w:val="bullet"/>
      <w:lvlText w:val="o"/>
      <w:lvlJc w:val="left"/>
      <w:pPr>
        <w:ind w:left="3600" w:hanging="360"/>
      </w:pPr>
      <w:rPr>
        <w:rFonts w:ascii="Courier New" w:hAnsi="Courier New" w:hint="default"/>
      </w:rPr>
    </w:lvl>
    <w:lvl w:ilvl="5" w:tplc="746A9042">
      <w:start w:val="1"/>
      <w:numFmt w:val="bullet"/>
      <w:lvlText w:val=""/>
      <w:lvlJc w:val="left"/>
      <w:pPr>
        <w:ind w:left="4320" w:hanging="360"/>
      </w:pPr>
      <w:rPr>
        <w:rFonts w:ascii="Wingdings" w:hAnsi="Wingdings" w:hint="default"/>
      </w:rPr>
    </w:lvl>
    <w:lvl w:ilvl="6" w:tplc="A370AFD0">
      <w:start w:val="1"/>
      <w:numFmt w:val="bullet"/>
      <w:lvlText w:val=""/>
      <w:lvlJc w:val="left"/>
      <w:pPr>
        <w:ind w:left="5040" w:hanging="360"/>
      </w:pPr>
      <w:rPr>
        <w:rFonts w:ascii="Symbol" w:hAnsi="Symbol" w:hint="default"/>
      </w:rPr>
    </w:lvl>
    <w:lvl w:ilvl="7" w:tplc="2D125696">
      <w:start w:val="1"/>
      <w:numFmt w:val="bullet"/>
      <w:lvlText w:val="o"/>
      <w:lvlJc w:val="left"/>
      <w:pPr>
        <w:ind w:left="5760" w:hanging="360"/>
      </w:pPr>
      <w:rPr>
        <w:rFonts w:ascii="Courier New" w:hAnsi="Courier New" w:hint="default"/>
      </w:rPr>
    </w:lvl>
    <w:lvl w:ilvl="8" w:tplc="54A82DFA">
      <w:start w:val="1"/>
      <w:numFmt w:val="bullet"/>
      <w:lvlText w:val=""/>
      <w:lvlJc w:val="left"/>
      <w:pPr>
        <w:ind w:left="6480" w:hanging="360"/>
      </w:pPr>
      <w:rPr>
        <w:rFonts w:ascii="Wingdings" w:hAnsi="Wingdings" w:hint="default"/>
      </w:rPr>
    </w:lvl>
  </w:abstractNum>
  <w:abstractNum w:abstractNumId="1" w15:restartNumberingAfterBreak="0">
    <w:nsid w:val="0B8B0210"/>
    <w:multiLevelType w:val="hybridMultilevel"/>
    <w:tmpl w:val="5C685FA0"/>
    <w:lvl w:ilvl="0" w:tplc="D09688A4">
      <w:start w:val="1"/>
      <w:numFmt w:val="decimal"/>
      <w:lvlText w:val="%1."/>
      <w:lvlJc w:val="left"/>
      <w:pPr>
        <w:ind w:left="1353" w:hanging="360"/>
      </w:pPr>
      <w:rPr>
        <w:rFonts w:ascii="Times New Roman" w:hAnsi="Times New Roman" w:cs="Times New Roman" w:hint="default"/>
        <w:b w:val="0"/>
        <w:bCs w:val="0"/>
        <w:sz w:val="24"/>
        <w:szCs w:val="24"/>
      </w:rPr>
    </w:lvl>
    <w:lvl w:ilvl="1" w:tplc="0FE087F2">
      <w:start w:val="1"/>
      <w:numFmt w:val="lowerRoman"/>
      <w:lvlText w:val="(%2)"/>
      <w:lvlJc w:val="left"/>
      <w:pPr>
        <w:ind w:left="2073" w:hanging="360"/>
      </w:pPr>
      <w:rPr>
        <w:rFonts w:hint="default"/>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3AA93075"/>
    <w:multiLevelType w:val="hybridMultilevel"/>
    <w:tmpl w:val="7AEE7720"/>
    <w:lvl w:ilvl="0" w:tplc="D09688A4">
      <w:start w:val="1"/>
      <w:numFmt w:val="decimal"/>
      <w:lvlText w:val="%1."/>
      <w:lvlJc w:val="left"/>
      <w:pPr>
        <w:ind w:left="1353" w:hanging="360"/>
      </w:pPr>
      <w:rPr>
        <w:rFonts w:ascii="Times New Roman" w:hAnsi="Times New Roman" w:cs="Times New Roman"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0773A3"/>
    <w:multiLevelType w:val="multilevel"/>
    <w:tmpl w:val="19EAA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730278"/>
    <w:multiLevelType w:val="hybridMultilevel"/>
    <w:tmpl w:val="65747944"/>
    <w:lvl w:ilvl="0" w:tplc="B7408A84">
      <w:start w:val="1"/>
      <w:numFmt w:val="decimal"/>
      <w:lvlText w:val="%1."/>
      <w:lvlJc w:val="left"/>
      <w:pPr>
        <w:ind w:left="76" w:hanging="360"/>
      </w:pPr>
      <w:rPr>
        <w:rFonts w:hint="default"/>
        <w:b w:val="0"/>
        <w:bCs w:val="0"/>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num w:numId="1" w16cid:durableId="2046908414">
    <w:abstractNumId w:val="0"/>
  </w:num>
  <w:num w:numId="2" w16cid:durableId="261770022">
    <w:abstractNumId w:val="1"/>
  </w:num>
  <w:num w:numId="3" w16cid:durableId="918490891">
    <w:abstractNumId w:val="2"/>
  </w:num>
  <w:num w:numId="4" w16cid:durableId="1159344320">
    <w:abstractNumId w:val="3"/>
  </w:num>
  <w:num w:numId="5" w16cid:durableId="21117807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064"/>
    <w:rsid w:val="00017572"/>
    <w:rsid w:val="00030841"/>
    <w:rsid w:val="00035DDF"/>
    <w:rsid w:val="00057F33"/>
    <w:rsid w:val="000703B8"/>
    <w:rsid w:val="000723FA"/>
    <w:rsid w:val="00074CE7"/>
    <w:rsid w:val="00075955"/>
    <w:rsid w:val="00076C96"/>
    <w:rsid w:val="0009292E"/>
    <w:rsid w:val="00094E0D"/>
    <w:rsid w:val="00097A51"/>
    <w:rsid w:val="000A6CD8"/>
    <w:rsid w:val="000B3050"/>
    <w:rsid w:val="000D0308"/>
    <w:rsid w:val="000D4ED4"/>
    <w:rsid w:val="00116321"/>
    <w:rsid w:val="001169FD"/>
    <w:rsid w:val="00116EB0"/>
    <w:rsid w:val="001392B1"/>
    <w:rsid w:val="00146BE8"/>
    <w:rsid w:val="0016293A"/>
    <w:rsid w:val="00173A3A"/>
    <w:rsid w:val="00174A48"/>
    <w:rsid w:val="001A152D"/>
    <w:rsid w:val="001B4EA0"/>
    <w:rsid w:val="001CBFC5"/>
    <w:rsid w:val="001D2CF4"/>
    <w:rsid w:val="002072E3"/>
    <w:rsid w:val="00216998"/>
    <w:rsid w:val="00221093"/>
    <w:rsid w:val="00222793"/>
    <w:rsid w:val="00223F19"/>
    <w:rsid w:val="00224135"/>
    <w:rsid w:val="00237B77"/>
    <w:rsid w:val="002968FF"/>
    <w:rsid w:val="00297064"/>
    <w:rsid w:val="00297A46"/>
    <w:rsid w:val="002B12A3"/>
    <w:rsid w:val="002B133F"/>
    <w:rsid w:val="002B21F0"/>
    <w:rsid w:val="002B3342"/>
    <w:rsid w:val="002C5C50"/>
    <w:rsid w:val="002D3D65"/>
    <w:rsid w:val="002D7823"/>
    <w:rsid w:val="002D78BB"/>
    <w:rsid w:val="002F0BF8"/>
    <w:rsid w:val="002F18C5"/>
    <w:rsid w:val="002F1DF6"/>
    <w:rsid w:val="00305488"/>
    <w:rsid w:val="00314382"/>
    <w:rsid w:val="00323DC7"/>
    <w:rsid w:val="0032559F"/>
    <w:rsid w:val="00333292"/>
    <w:rsid w:val="003423ED"/>
    <w:rsid w:val="00350DF7"/>
    <w:rsid w:val="00360D7C"/>
    <w:rsid w:val="00362839"/>
    <w:rsid w:val="00363EEB"/>
    <w:rsid w:val="00367512"/>
    <w:rsid w:val="00394D7B"/>
    <w:rsid w:val="00397DB5"/>
    <w:rsid w:val="003B6FD6"/>
    <w:rsid w:val="003E45F1"/>
    <w:rsid w:val="003E4ED1"/>
    <w:rsid w:val="003E5D8B"/>
    <w:rsid w:val="004157F7"/>
    <w:rsid w:val="00424F51"/>
    <w:rsid w:val="00427DA3"/>
    <w:rsid w:val="004443B2"/>
    <w:rsid w:val="0048048D"/>
    <w:rsid w:val="00491D76"/>
    <w:rsid w:val="00494A5F"/>
    <w:rsid w:val="004952AF"/>
    <w:rsid w:val="00495960"/>
    <w:rsid w:val="004A0286"/>
    <w:rsid w:val="004A3865"/>
    <w:rsid w:val="00500849"/>
    <w:rsid w:val="005045EF"/>
    <w:rsid w:val="00522EF4"/>
    <w:rsid w:val="00545743"/>
    <w:rsid w:val="005579A5"/>
    <w:rsid w:val="005659DC"/>
    <w:rsid w:val="00571575"/>
    <w:rsid w:val="00571F18"/>
    <w:rsid w:val="00577513"/>
    <w:rsid w:val="005951BE"/>
    <w:rsid w:val="005A1E65"/>
    <w:rsid w:val="005A2371"/>
    <w:rsid w:val="005B45FD"/>
    <w:rsid w:val="005B509F"/>
    <w:rsid w:val="005D1A5D"/>
    <w:rsid w:val="005E4EAB"/>
    <w:rsid w:val="005F438E"/>
    <w:rsid w:val="00640CA7"/>
    <w:rsid w:val="00650909"/>
    <w:rsid w:val="00686423"/>
    <w:rsid w:val="00692CB7"/>
    <w:rsid w:val="006A3448"/>
    <w:rsid w:val="006D0E23"/>
    <w:rsid w:val="006D715A"/>
    <w:rsid w:val="006E5F9F"/>
    <w:rsid w:val="00700E9F"/>
    <w:rsid w:val="00737F05"/>
    <w:rsid w:val="007411D4"/>
    <w:rsid w:val="00764C16"/>
    <w:rsid w:val="00773A22"/>
    <w:rsid w:val="0079283B"/>
    <w:rsid w:val="007B141B"/>
    <w:rsid w:val="007C18EA"/>
    <w:rsid w:val="007C5DB8"/>
    <w:rsid w:val="007F7CB3"/>
    <w:rsid w:val="0080298A"/>
    <w:rsid w:val="00816869"/>
    <w:rsid w:val="00831ACF"/>
    <w:rsid w:val="008613B6"/>
    <w:rsid w:val="00886909"/>
    <w:rsid w:val="008962EE"/>
    <w:rsid w:val="00896384"/>
    <w:rsid w:val="0089EC91"/>
    <w:rsid w:val="008A54DC"/>
    <w:rsid w:val="008B2C9D"/>
    <w:rsid w:val="008B43FB"/>
    <w:rsid w:val="008E107B"/>
    <w:rsid w:val="00900D8E"/>
    <w:rsid w:val="009021E3"/>
    <w:rsid w:val="0093185A"/>
    <w:rsid w:val="00953307"/>
    <w:rsid w:val="00957D35"/>
    <w:rsid w:val="00970341"/>
    <w:rsid w:val="00973569"/>
    <w:rsid w:val="00985FA9"/>
    <w:rsid w:val="009A14C7"/>
    <w:rsid w:val="009A6A18"/>
    <w:rsid w:val="009B26FF"/>
    <w:rsid w:val="009B545D"/>
    <w:rsid w:val="009C3766"/>
    <w:rsid w:val="009F1C99"/>
    <w:rsid w:val="009F41FD"/>
    <w:rsid w:val="00A0226C"/>
    <w:rsid w:val="00A05923"/>
    <w:rsid w:val="00A05A56"/>
    <w:rsid w:val="00A9263D"/>
    <w:rsid w:val="00A92BEA"/>
    <w:rsid w:val="00A935E9"/>
    <w:rsid w:val="00A94101"/>
    <w:rsid w:val="00AB53E0"/>
    <w:rsid w:val="00AD1A5A"/>
    <w:rsid w:val="00AE4D5F"/>
    <w:rsid w:val="00AF3151"/>
    <w:rsid w:val="00AF629A"/>
    <w:rsid w:val="00B14A25"/>
    <w:rsid w:val="00B24B39"/>
    <w:rsid w:val="00B26354"/>
    <w:rsid w:val="00B44A44"/>
    <w:rsid w:val="00B50B25"/>
    <w:rsid w:val="00B9794D"/>
    <w:rsid w:val="00BB3BB8"/>
    <w:rsid w:val="00BB6C19"/>
    <w:rsid w:val="00BD2A9A"/>
    <w:rsid w:val="00BF5E22"/>
    <w:rsid w:val="00C032B3"/>
    <w:rsid w:val="00C4261B"/>
    <w:rsid w:val="00C57566"/>
    <w:rsid w:val="00C7355D"/>
    <w:rsid w:val="00C9073D"/>
    <w:rsid w:val="00C90C89"/>
    <w:rsid w:val="00C96DEC"/>
    <w:rsid w:val="00C9735D"/>
    <w:rsid w:val="00CA0CB4"/>
    <w:rsid w:val="00CA63A7"/>
    <w:rsid w:val="00CA6B6B"/>
    <w:rsid w:val="00CB0EAF"/>
    <w:rsid w:val="00CB6ED6"/>
    <w:rsid w:val="00CD4A79"/>
    <w:rsid w:val="00D43B36"/>
    <w:rsid w:val="00D47805"/>
    <w:rsid w:val="00D64496"/>
    <w:rsid w:val="00D758A2"/>
    <w:rsid w:val="00D8260F"/>
    <w:rsid w:val="00DB7E3A"/>
    <w:rsid w:val="00DC1EB0"/>
    <w:rsid w:val="00DC3CD0"/>
    <w:rsid w:val="00DD13AA"/>
    <w:rsid w:val="00DD305B"/>
    <w:rsid w:val="00DE1C33"/>
    <w:rsid w:val="00DF294C"/>
    <w:rsid w:val="00E00805"/>
    <w:rsid w:val="00E04B34"/>
    <w:rsid w:val="00E07F8A"/>
    <w:rsid w:val="00E14924"/>
    <w:rsid w:val="00E2306C"/>
    <w:rsid w:val="00E537A7"/>
    <w:rsid w:val="00E559EB"/>
    <w:rsid w:val="00E66293"/>
    <w:rsid w:val="00E818BB"/>
    <w:rsid w:val="00EC5242"/>
    <w:rsid w:val="00EF013C"/>
    <w:rsid w:val="00F115D8"/>
    <w:rsid w:val="00F147CE"/>
    <w:rsid w:val="00F336D3"/>
    <w:rsid w:val="00F349D4"/>
    <w:rsid w:val="00F37137"/>
    <w:rsid w:val="00F5216B"/>
    <w:rsid w:val="00F60F29"/>
    <w:rsid w:val="00F73A77"/>
    <w:rsid w:val="00F7733E"/>
    <w:rsid w:val="00F8011F"/>
    <w:rsid w:val="00F92627"/>
    <w:rsid w:val="00F94106"/>
    <w:rsid w:val="00FB523A"/>
    <w:rsid w:val="00FD2319"/>
    <w:rsid w:val="00FE27A0"/>
    <w:rsid w:val="00FF355F"/>
    <w:rsid w:val="012EE934"/>
    <w:rsid w:val="0155F501"/>
    <w:rsid w:val="01CFA349"/>
    <w:rsid w:val="0214E6E7"/>
    <w:rsid w:val="026484A2"/>
    <w:rsid w:val="02ACB147"/>
    <w:rsid w:val="02FAB707"/>
    <w:rsid w:val="030D0D0E"/>
    <w:rsid w:val="035D61BA"/>
    <w:rsid w:val="035FBC3B"/>
    <w:rsid w:val="04B4BBBD"/>
    <w:rsid w:val="052D1E27"/>
    <w:rsid w:val="05535529"/>
    <w:rsid w:val="05559A8F"/>
    <w:rsid w:val="0562E422"/>
    <w:rsid w:val="057D743F"/>
    <w:rsid w:val="0582C3B6"/>
    <w:rsid w:val="064450F9"/>
    <w:rsid w:val="06E42A52"/>
    <w:rsid w:val="072B3101"/>
    <w:rsid w:val="07B554AF"/>
    <w:rsid w:val="0884A714"/>
    <w:rsid w:val="088AA54F"/>
    <w:rsid w:val="0939DE61"/>
    <w:rsid w:val="093DDE67"/>
    <w:rsid w:val="097EBEE7"/>
    <w:rsid w:val="09ED1617"/>
    <w:rsid w:val="0A0D1859"/>
    <w:rsid w:val="0A351780"/>
    <w:rsid w:val="0A4CD033"/>
    <w:rsid w:val="0A5EF1FC"/>
    <w:rsid w:val="0A74AB4D"/>
    <w:rsid w:val="0A8782F1"/>
    <w:rsid w:val="0B270539"/>
    <w:rsid w:val="0CC5D758"/>
    <w:rsid w:val="0CE4CDBD"/>
    <w:rsid w:val="0DB2275A"/>
    <w:rsid w:val="0E626E70"/>
    <w:rsid w:val="0EAE8AC4"/>
    <w:rsid w:val="0EFAC962"/>
    <w:rsid w:val="0EFD513E"/>
    <w:rsid w:val="0F216E47"/>
    <w:rsid w:val="0FD629B4"/>
    <w:rsid w:val="10A79633"/>
    <w:rsid w:val="111676F8"/>
    <w:rsid w:val="1122CF0C"/>
    <w:rsid w:val="115461B2"/>
    <w:rsid w:val="12160F34"/>
    <w:rsid w:val="132BD33D"/>
    <w:rsid w:val="13930C67"/>
    <w:rsid w:val="13C276FB"/>
    <w:rsid w:val="13DEABEE"/>
    <w:rsid w:val="144801A7"/>
    <w:rsid w:val="14986154"/>
    <w:rsid w:val="14C4BDBF"/>
    <w:rsid w:val="153E4D97"/>
    <w:rsid w:val="15943ECE"/>
    <w:rsid w:val="15E8259F"/>
    <w:rsid w:val="163C7E18"/>
    <w:rsid w:val="16C64D90"/>
    <w:rsid w:val="16CAD962"/>
    <w:rsid w:val="16F36D33"/>
    <w:rsid w:val="17140DC1"/>
    <w:rsid w:val="186E068D"/>
    <w:rsid w:val="1A5C1F31"/>
    <w:rsid w:val="1AD3A829"/>
    <w:rsid w:val="1AD3CC71"/>
    <w:rsid w:val="1AF979D2"/>
    <w:rsid w:val="1B13121E"/>
    <w:rsid w:val="1C3AE6F5"/>
    <w:rsid w:val="1C48A364"/>
    <w:rsid w:val="1C7412C4"/>
    <w:rsid w:val="1CC49451"/>
    <w:rsid w:val="1CF5D01F"/>
    <w:rsid w:val="1DA56B26"/>
    <w:rsid w:val="1DF28F27"/>
    <w:rsid w:val="1DF52920"/>
    <w:rsid w:val="1E4D854A"/>
    <w:rsid w:val="1ECEFC77"/>
    <w:rsid w:val="1F677852"/>
    <w:rsid w:val="1F7D40BD"/>
    <w:rsid w:val="20353840"/>
    <w:rsid w:val="2139558C"/>
    <w:rsid w:val="221F5C89"/>
    <w:rsid w:val="2222088F"/>
    <w:rsid w:val="2299C4F4"/>
    <w:rsid w:val="22BDFCF6"/>
    <w:rsid w:val="23235408"/>
    <w:rsid w:val="238F3245"/>
    <w:rsid w:val="23AD87AD"/>
    <w:rsid w:val="23DE78F0"/>
    <w:rsid w:val="249FF1B8"/>
    <w:rsid w:val="2539E510"/>
    <w:rsid w:val="262B61D5"/>
    <w:rsid w:val="26364D1B"/>
    <w:rsid w:val="267A0C79"/>
    <w:rsid w:val="26AC0993"/>
    <w:rsid w:val="26C2CE30"/>
    <w:rsid w:val="26C8696A"/>
    <w:rsid w:val="2739BD6B"/>
    <w:rsid w:val="27D3AE2C"/>
    <w:rsid w:val="27DEB9BF"/>
    <w:rsid w:val="287C819B"/>
    <w:rsid w:val="29289757"/>
    <w:rsid w:val="294E4BC5"/>
    <w:rsid w:val="295E53E8"/>
    <w:rsid w:val="2AF812E6"/>
    <w:rsid w:val="2B1E4A6B"/>
    <w:rsid w:val="2B2C6D3D"/>
    <w:rsid w:val="2B3C6A66"/>
    <w:rsid w:val="2B7CE24A"/>
    <w:rsid w:val="2BA9842B"/>
    <w:rsid w:val="2BEF2B23"/>
    <w:rsid w:val="2C21742D"/>
    <w:rsid w:val="2C6BC483"/>
    <w:rsid w:val="2C8691E3"/>
    <w:rsid w:val="2CD71B39"/>
    <w:rsid w:val="2D32191E"/>
    <w:rsid w:val="2D98AA33"/>
    <w:rsid w:val="2E49302B"/>
    <w:rsid w:val="2E7957C2"/>
    <w:rsid w:val="2EAC2DEE"/>
    <w:rsid w:val="2F0537E5"/>
    <w:rsid w:val="2F4A5B9D"/>
    <w:rsid w:val="2F98FE78"/>
    <w:rsid w:val="3028D489"/>
    <w:rsid w:val="303A51A5"/>
    <w:rsid w:val="3054F114"/>
    <w:rsid w:val="305999DC"/>
    <w:rsid w:val="306F8AB7"/>
    <w:rsid w:val="313153F7"/>
    <w:rsid w:val="322FB445"/>
    <w:rsid w:val="3290D8CD"/>
    <w:rsid w:val="32D2351F"/>
    <w:rsid w:val="32F2816A"/>
    <w:rsid w:val="336D4772"/>
    <w:rsid w:val="35575D45"/>
    <w:rsid w:val="361D5BCF"/>
    <w:rsid w:val="3648DD08"/>
    <w:rsid w:val="37D5CF8C"/>
    <w:rsid w:val="37EB9259"/>
    <w:rsid w:val="380064BB"/>
    <w:rsid w:val="385EE311"/>
    <w:rsid w:val="389ED5C2"/>
    <w:rsid w:val="3910CF3C"/>
    <w:rsid w:val="39FD2FE9"/>
    <w:rsid w:val="3AF8B5DC"/>
    <w:rsid w:val="3BC39D63"/>
    <w:rsid w:val="3C046D5D"/>
    <w:rsid w:val="3C30068C"/>
    <w:rsid w:val="3D134C90"/>
    <w:rsid w:val="3D1556A4"/>
    <w:rsid w:val="3D32CD88"/>
    <w:rsid w:val="3DB38312"/>
    <w:rsid w:val="3E1B7752"/>
    <w:rsid w:val="3E8F65FA"/>
    <w:rsid w:val="3E90C221"/>
    <w:rsid w:val="3EB89A93"/>
    <w:rsid w:val="3EEC24B2"/>
    <w:rsid w:val="3FE4F0DB"/>
    <w:rsid w:val="40CE59C7"/>
    <w:rsid w:val="410511EE"/>
    <w:rsid w:val="412C4F69"/>
    <w:rsid w:val="41941E3A"/>
    <w:rsid w:val="419FDAC1"/>
    <w:rsid w:val="41E3E778"/>
    <w:rsid w:val="4209A6EF"/>
    <w:rsid w:val="425D25BA"/>
    <w:rsid w:val="428ACEA8"/>
    <w:rsid w:val="42A64E85"/>
    <w:rsid w:val="42F61094"/>
    <w:rsid w:val="43CFB802"/>
    <w:rsid w:val="444B4EF3"/>
    <w:rsid w:val="4488B9F1"/>
    <w:rsid w:val="44DDC397"/>
    <w:rsid w:val="44E133D3"/>
    <w:rsid w:val="45268657"/>
    <w:rsid w:val="45460E81"/>
    <w:rsid w:val="456A5220"/>
    <w:rsid w:val="4585207D"/>
    <w:rsid w:val="45EA074F"/>
    <w:rsid w:val="46171B6C"/>
    <w:rsid w:val="4626E669"/>
    <w:rsid w:val="466330F9"/>
    <w:rsid w:val="469C473B"/>
    <w:rsid w:val="469F6796"/>
    <w:rsid w:val="4701CB87"/>
    <w:rsid w:val="47223AEF"/>
    <w:rsid w:val="4787B6BF"/>
    <w:rsid w:val="478B10F1"/>
    <w:rsid w:val="47CBD5C7"/>
    <w:rsid w:val="48333FD4"/>
    <w:rsid w:val="48B0F9B9"/>
    <w:rsid w:val="48D28AF2"/>
    <w:rsid w:val="48F72743"/>
    <w:rsid w:val="494E6C81"/>
    <w:rsid w:val="49F7EB4B"/>
    <w:rsid w:val="4A9B5048"/>
    <w:rsid w:val="4AF82858"/>
    <w:rsid w:val="4B6892EF"/>
    <w:rsid w:val="4C202A5B"/>
    <w:rsid w:val="4C8960CB"/>
    <w:rsid w:val="4C940006"/>
    <w:rsid w:val="4C969D70"/>
    <w:rsid w:val="4CDA18DE"/>
    <w:rsid w:val="4CECD202"/>
    <w:rsid w:val="4D1B7A61"/>
    <w:rsid w:val="4DD3FBBC"/>
    <w:rsid w:val="4E1F46D1"/>
    <w:rsid w:val="4E57942F"/>
    <w:rsid w:val="4F351746"/>
    <w:rsid w:val="4F3DC550"/>
    <w:rsid w:val="4F7FA86B"/>
    <w:rsid w:val="4FC30131"/>
    <w:rsid w:val="5008D0AC"/>
    <w:rsid w:val="502F245E"/>
    <w:rsid w:val="507153E2"/>
    <w:rsid w:val="50B5AF10"/>
    <w:rsid w:val="50C0671C"/>
    <w:rsid w:val="514EF560"/>
    <w:rsid w:val="5180F333"/>
    <w:rsid w:val="527FBBD0"/>
    <w:rsid w:val="531520FB"/>
    <w:rsid w:val="53772F59"/>
    <w:rsid w:val="53BD875E"/>
    <w:rsid w:val="53C9B3DD"/>
    <w:rsid w:val="53EB0738"/>
    <w:rsid w:val="5428201B"/>
    <w:rsid w:val="5428B444"/>
    <w:rsid w:val="5450C8C4"/>
    <w:rsid w:val="54852CAB"/>
    <w:rsid w:val="54ADC5E3"/>
    <w:rsid w:val="5576AA6D"/>
    <w:rsid w:val="55DA502A"/>
    <w:rsid w:val="56BFB35D"/>
    <w:rsid w:val="5709BCEC"/>
    <w:rsid w:val="578D78C9"/>
    <w:rsid w:val="57ADF5C9"/>
    <w:rsid w:val="585C8451"/>
    <w:rsid w:val="5948859C"/>
    <w:rsid w:val="59A0B374"/>
    <w:rsid w:val="5A9545EF"/>
    <w:rsid w:val="5AB969E1"/>
    <w:rsid w:val="5B860947"/>
    <w:rsid w:val="5B8EAC5B"/>
    <w:rsid w:val="5BD4559C"/>
    <w:rsid w:val="5CA7353C"/>
    <w:rsid w:val="5CE4F4CB"/>
    <w:rsid w:val="5CF175BA"/>
    <w:rsid w:val="5D878CEA"/>
    <w:rsid w:val="5E245778"/>
    <w:rsid w:val="5E4A31AA"/>
    <w:rsid w:val="5EA53AAC"/>
    <w:rsid w:val="5EEDACAA"/>
    <w:rsid w:val="6024D075"/>
    <w:rsid w:val="602681E1"/>
    <w:rsid w:val="608E7B62"/>
    <w:rsid w:val="612532CD"/>
    <w:rsid w:val="614779C4"/>
    <w:rsid w:val="61607206"/>
    <w:rsid w:val="61A62661"/>
    <w:rsid w:val="61DA71EB"/>
    <w:rsid w:val="6210EB9E"/>
    <w:rsid w:val="6226E8C5"/>
    <w:rsid w:val="6232FF8E"/>
    <w:rsid w:val="6244DF99"/>
    <w:rsid w:val="62790152"/>
    <w:rsid w:val="62F1BD38"/>
    <w:rsid w:val="64866E46"/>
    <w:rsid w:val="64B3AEE3"/>
    <w:rsid w:val="64D8723E"/>
    <w:rsid w:val="654B04B1"/>
    <w:rsid w:val="6560BA15"/>
    <w:rsid w:val="6578F996"/>
    <w:rsid w:val="65EDD19C"/>
    <w:rsid w:val="664F87C2"/>
    <w:rsid w:val="66EB552F"/>
    <w:rsid w:val="672AFC86"/>
    <w:rsid w:val="67A1FE2E"/>
    <w:rsid w:val="67ED2476"/>
    <w:rsid w:val="6825612A"/>
    <w:rsid w:val="686FEAC0"/>
    <w:rsid w:val="68DAAC0C"/>
    <w:rsid w:val="69044C74"/>
    <w:rsid w:val="694A5A42"/>
    <w:rsid w:val="69CC0B8D"/>
    <w:rsid w:val="6A198067"/>
    <w:rsid w:val="6A32F868"/>
    <w:rsid w:val="6A756D44"/>
    <w:rsid w:val="6A9A291D"/>
    <w:rsid w:val="6B47029F"/>
    <w:rsid w:val="6B69E72C"/>
    <w:rsid w:val="6B6CDFEB"/>
    <w:rsid w:val="6B774D68"/>
    <w:rsid w:val="6B8D9FBD"/>
    <w:rsid w:val="6B9C5803"/>
    <w:rsid w:val="6BC2FCA6"/>
    <w:rsid w:val="6BDE075D"/>
    <w:rsid w:val="6C0B7E7F"/>
    <w:rsid w:val="6C3590E0"/>
    <w:rsid w:val="6CCF9734"/>
    <w:rsid w:val="6D16F738"/>
    <w:rsid w:val="6D5CD3E8"/>
    <w:rsid w:val="6DA6DC94"/>
    <w:rsid w:val="6DB2F007"/>
    <w:rsid w:val="6DBA47F0"/>
    <w:rsid w:val="6E1B49B9"/>
    <w:rsid w:val="6E5E99C0"/>
    <w:rsid w:val="6EBEF879"/>
    <w:rsid w:val="6EE0CB8F"/>
    <w:rsid w:val="6EEE2DA9"/>
    <w:rsid w:val="6F11EB85"/>
    <w:rsid w:val="6FA90C66"/>
    <w:rsid w:val="6FE637A9"/>
    <w:rsid w:val="70020C41"/>
    <w:rsid w:val="719B7A3A"/>
    <w:rsid w:val="71D0CD0C"/>
    <w:rsid w:val="71F2925B"/>
    <w:rsid w:val="72AF8D94"/>
    <w:rsid w:val="72BB67B7"/>
    <w:rsid w:val="732FCBFD"/>
    <w:rsid w:val="736AB546"/>
    <w:rsid w:val="73719EB6"/>
    <w:rsid w:val="747F7F12"/>
    <w:rsid w:val="75A145A6"/>
    <w:rsid w:val="75AEB230"/>
    <w:rsid w:val="7608F909"/>
    <w:rsid w:val="7655D5A7"/>
    <w:rsid w:val="766FB1AA"/>
    <w:rsid w:val="7770A1D3"/>
    <w:rsid w:val="77CD0718"/>
    <w:rsid w:val="780B78EC"/>
    <w:rsid w:val="7874544F"/>
    <w:rsid w:val="793970ED"/>
    <w:rsid w:val="79A204FD"/>
    <w:rsid w:val="79CC9BC5"/>
    <w:rsid w:val="79E8AEA0"/>
    <w:rsid w:val="7A4CE271"/>
    <w:rsid w:val="7A826203"/>
    <w:rsid w:val="7AB230DF"/>
    <w:rsid w:val="7AE7C103"/>
    <w:rsid w:val="7BC8DDB9"/>
    <w:rsid w:val="7BCA92F2"/>
    <w:rsid w:val="7C7A555E"/>
    <w:rsid w:val="7CAE2321"/>
    <w:rsid w:val="7D43C864"/>
    <w:rsid w:val="7DF98F1D"/>
    <w:rsid w:val="7E465477"/>
    <w:rsid w:val="7E46B079"/>
    <w:rsid w:val="7E4F5F6F"/>
    <w:rsid w:val="7EB516EB"/>
    <w:rsid w:val="7EB93255"/>
    <w:rsid w:val="7EE48F2C"/>
    <w:rsid w:val="7EF9CCBF"/>
    <w:rsid w:val="7F7151C1"/>
    <w:rsid w:val="7F81D9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7703F"/>
  <w15:chartTrackingRefBased/>
  <w15:docId w15:val="{A8EE9B95-4197-4C0D-A82B-F87E7E59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70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0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0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0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0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0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0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0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0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0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0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0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0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0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0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0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0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064"/>
    <w:rPr>
      <w:rFonts w:eastAsiaTheme="majorEastAsia" w:cstheme="majorBidi"/>
      <w:color w:val="272727" w:themeColor="text1" w:themeTint="D8"/>
    </w:rPr>
  </w:style>
  <w:style w:type="paragraph" w:styleId="Title">
    <w:name w:val="Title"/>
    <w:basedOn w:val="Normal"/>
    <w:next w:val="Normal"/>
    <w:link w:val="TitleChar"/>
    <w:uiPriority w:val="10"/>
    <w:qFormat/>
    <w:rsid w:val="002970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0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0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0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064"/>
    <w:pPr>
      <w:spacing w:before="160"/>
      <w:jc w:val="center"/>
    </w:pPr>
    <w:rPr>
      <w:i/>
      <w:iCs/>
      <w:color w:val="404040" w:themeColor="text1" w:themeTint="BF"/>
    </w:rPr>
  </w:style>
  <w:style w:type="character" w:customStyle="1" w:styleId="QuoteChar">
    <w:name w:val="Quote Char"/>
    <w:basedOn w:val="DefaultParagraphFont"/>
    <w:link w:val="Quote"/>
    <w:uiPriority w:val="29"/>
    <w:rsid w:val="00297064"/>
    <w:rPr>
      <w:i/>
      <w:iCs/>
      <w:color w:val="404040" w:themeColor="text1" w:themeTint="BF"/>
    </w:rPr>
  </w:style>
  <w:style w:type="paragraph" w:styleId="ListParagraph">
    <w:name w:val="List Paragraph"/>
    <w:basedOn w:val="Normal"/>
    <w:uiPriority w:val="34"/>
    <w:qFormat/>
    <w:rsid w:val="00297064"/>
    <w:pPr>
      <w:ind w:left="720"/>
      <w:contextualSpacing/>
    </w:pPr>
  </w:style>
  <w:style w:type="character" w:styleId="IntenseEmphasis">
    <w:name w:val="Intense Emphasis"/>
    <w:basedOn w:val="DefaultParagraphFont"/>
    <w:uiPriority w:val="21"/>
    <w:qFormat/>
    <w:rsid w:val="00297064"/>
    <w:rPr>
      <w:i/>
      <w:iCs/>
      <w:color w:val="0F4761" w:themeColor="accent1" w:themeShade="BF"/>
    </w:rPr>
  </w:style>
  <w:style w:type="paragraph" w:styleId="IntenseQuote">
    <w:name w:val="Intense Quote"/>
    <w:basedOn w:val="Normal"/>
    <w:next w:val="Normal"/>
    <w:link w:val="IntenseQuoteChar"/>
    <w:uiPriority w:val="30"/>
    <w:qFormat/>
    <w:rsid w:val="002970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064"/>
    <w:rPr>
      <w:i/>
      <w:iCs/>
      <w:color w:val="0F4761" w:themeColor="accent1" w:themeShade="BF"/>
    </w:rPr>
  </w:style>
  <w:style w:type="character" w:styleId="IntenseReference">
    <w:name w:val="Intense Reference"/>
    <w:basedOn w:val="DefaultParagraphFont"/>
    <w:uiPriority w:val="32"/>
    <w:qFormat/>
    <w:rsid w:val="00297064"/>
    <w:rPr>
      <w:b/>
      <w:bCs/>
      <w:smallCaps/>
      <w:color w:val="0F4761" w:themeColor="accent1" w:themeShade="BF"/>
      <w:spacing w:val="5"/>
    </w:rPr>
  </w:style>
  <w:style w:type="paragraph" w:styleId="Header">
    <w:name w:val="header"/>
    <w:basedOn w:val="Normal"/>
    <w:link w:val="HeaderChar"/>
    <w:uiPriority w:val="99"/>
    <w:unhideWhenUsed/>
    <w:rsid w:val="003B6F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FD6"/>
  </w:style>
  <w:style w:type="character" w:styleId="Hyperlink">
    <w:name w:val="Hyperlink"/>
    <w:basedOn w:val="DefaultParagraphFont"/>
    <w:uiPriority w:val="99"/>
    <w:unhideWhenUsed/>
    <w:rsid w:val="00A0226C"/>
    <w:rPr>
      <w:color w:val="0000FF"/>
      <w:u w:val="single"/>
    </w:rPr>
  </w:style>
  <w:style w:type="paragraph" w:styleId="EndnoteText">
    <w:name w:val="endnote text"/>
    <w:basedOn w:val="Normal"/>
    <w:link w:val="EndnoteTextChar"/>
    <w:uiPriority w:val="99"/>
    <w:semiHidden/>
    <w:unhideWhenUsed/>
    <w:rsid w:val="00A0226C"/>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semiHidden/>
    <w:rsid w:val="00A0226C"/>
    <w:rPr>
      <w:kern w:val="0"/>
      <w:sz w:val="20"/>
      <w:szCs w:val="20"/>
      <w14:ligatures w14:val="none"/>
    </w:rPr>
  </w:style>
  <w:style w:type="character" w:styleId="EndnoteReference">
    <w:name w:val="endnote reference"/>
    <w:basedOn w:val="DefaultParagraphFont"/>
    <w:uiPriority w:val="99"/>
    <w:semiHidden/>
    <w:unhideWhenUsed/>
    <w:rsid w:val="00A0226C"/>
    <w:rPr>
      <w:vertAlign w:val="superscript"/>
    </w:rPr>
  </w:style>
  <w:style w:type="paragraph" w:customStyle="1" w:styleId="Default">
    <w:name w:val="Default"/>
    <w:rsid w:val="00A0226C"/>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FollowedHyperlink">
    <w:name w:val="FollowedHyperlink"/>
    <w:basedOn w:val="DefaultParagraphFont"/>
    <w:uiPriority w:val="99"/>
    <w:semiHidden/>
    <w:unhideWhenUsed/>
    <w:rsid w:val="00773A22"/>
    <w:rPr>
      <w:color w:val="96607D" w:themeColor="followedHyperlink"/>
      <w:u w:val="single"/>
    </w:rPr>
  </w:style>
  <w:style w:type="paragraph" w:styleId="FootnoteText">
    <w:name w:val="footnote text"/>
    <w:basedOn w:val="Normal"/>
    <w:link w:val="FootnoteTextChar"/>
    <w:uiPriority w:val="99"/>
    <w:semiHidden/>
    <w:unhideWhenUsed/>
    <w:rsid w:val="009F1C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1C99"/>
    <w:rPr>
      <w:sz w:val="20"/>
      <w:szCs w:val="20"/>
    </w:rPr>
  </w:style>
  <w:style w:type="character" w:styleId="FootnoteReference">
    <w:name w:val="footnote reference"/>
    <w:basedOn w:val="DefaultParagraphFont"/>
    <w:uiPriority w:val="99"/>
    <w:semiHidden/>
    <w:unhideWhenUsed/>
    <w:rsid w:val="009F1C99"/>
    <w:rPr>
      <w:vertAlign w:val="superscript"/>
    </w:rPr>
  </w:style>
  <w:style w:type="character" w:styleId="UnresolvedMention">
    <w:name w:val="Unresolved Mention"/>
    <w:basedOn w:val="DefaultParagraphFont"/>
    <w:uiPriority w:val="99"/>
    <w:semiHidden/>
    <w:unhideWhenUsed/>
    <w:rsid w:val="009F1C99"/>
    <w:rPr>
      <w:color w:val="605E5C"/>
      <w:shd w:val="clear" w:color="auto" w:fill="E1DFDD"/>
    </w:rPr>
  </w:style>
  <w:style w:type="paragraph" w:styleId="Footer">
    <w:name w:val="footer"/>
    <w:basedOn w:val="Normal"/>
    <w:link w:val="FooterChar"/>
    <w:uiPriority w:val="99"/>
    <w:semiHidden/>
    <w:unhideWhenUsed/>
    <w:rsid w:val="006E5F9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E5F9F"/>
  </w:style>
  <w:style w:type="paragraph" w:styleId="Revision">
    <w:name w:val="Revision"/>
    <w:hidden/>
    <w:uiPriority w:val="99"/>
    <w:semiHidden/>
    <w:rsid w:val="00F349D4"/>
    <w:pPr>
      <w:spacing w:after="0" w:line="240" w:lineRule="auto"/>
    </w:pPr>
  </w:style>
  <w:style w:type="character" w:styleId="CommentReference">
    <w:name w:val="annotation reference"/>
    <w:basedOn w:val="DefaultParagraphFont"/>
    <w:uiPriority w:val="99"/>
    <w:semiHidden/>
    <w:unhideWhenUsed/>
    <w:rsid w:val="00FE27A0"/>
    <w:rPr>
      <w:sz w:val="16"/>
      <w:szCs w:val="16"/>
    </w:rPr>
  </w:style>
  <w:style w:type="paragraph" w:styleId="CommentText">
    <w:name w:val="annotation text"/>
    <w:basedOn w:val="Normal"/>
    <w:link w:val="CommentTextChar"/>
    <w:uiPriority w:val="99"/>
    <w:unhideWhenUsed/>
    <w:rsid w:val="00FE27A0"/>
    <w:pPr>
      <w:spacing w:line="240" w:lineRule="auto"/>
    </w:pPr>
    <w:rPr>
      <w:sz w:val="20"/>
      <w:szCs w:val="20"/>
    </w:rPr>
  </w:style>
  <w:style w:type="character" w:customStyle="1" w:styleId="CommentTextChar">
    <w:name w:val="Comment Text Char"/>
    <w:basedOn w:val="DefaultParagraphFont"/>
    <w:link w:val="CommentText"/>
    <w:uiPriority w:val="99"/>
    <w:rsid w:val="00FE27A0"/>
    <w:rPr>
      <w:sz w:val="20"/>
      <w:szCs w:val="20"/>
    </w:rPr>
  </w:style>
  <w:style w:type="paragraph" w:styleId="CommentSubject">
    <w:name w:val="annotation subject"/>
    <w:basedOn w:val="CommentText"/>
    <w:next w:val="CommentText"/>
    <w:link w:val="CommentSubjectChar"/>
    <w:uiPriority w:val="99"/>
    <w:semiHidden/>
    <w:unhideWhenUsed/>
    <w:rsid w:val="00FE27A0"/>
    <w:rPr>
      <w:b/>
      <w:bCs/>
    </w:rPr>
  </w:style>
  <w:style w:type="character" w:customStyle="1" w:styleId="CommentSubjectChar">
    <w:name w:val="Comment Subject Char"/>
    <w:basedOn w:val="CommentTextChar"/>
    <w:link w:val="CommentSubject"/>
    <w:uiPriority w:val="99"/>
    <w:semiHidden/>
    <w:rsid w:val="00FE27A0"/>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justsecurity.org/80690/fixing-the-fara-mess/" TargetMode="External"/><Relationship Id="rId13" Type="http://schemas.openxmlformats.org/officeDocument/2006/relationships/hyperlink" Target="https://www.article19.org/resources/european-court-of-human-rights-hungarian-anti-immigration-law-restricts-ngos/" TargetMode="External"/><Relationship Id="rId3" Type="http://schemas.openxmlformats.org/officeDocument/2006/relationships/hyperlink" Target="https://www.osce.org/representative-on-freedom-of-media/496291" TargetMode="External"/><Relationship Id="rId7" Type="http://schemas.openxmlformats.org/officeDocument/2006/relationships/hyperlink" Target="https://www.article19.org/resources/requiring-media-register-foreign-agents-poses-threat-free-speech/" TargetMode="External"/><Relationship Id="rId12" Type="http://schemas.openxmlformats.org/officeDocument/2006/relationships/hyperlink" Target="https://www.article19.org/resources/russia-article-19s-undesirable-status-is-about-silencing-russians/" TargetMode="External"/><Relationship Id="rId2" Type="http://schemas.openxmlformats.org/officeDocument/2006/relationships/hyperlink" Target="http://publication.pravo.gov.ru/Document/View/0001202109300048?index=2&amp;rangeSize=1" TargetMode="External"/><Relationship Id="rId1" Type="http://schemas.openxmlformats.org/officeDocument/2006/relationships/hyperlink" Target="https://www.venice.coe.int/webforms/documents/default.aspx?pdffile=CDL-PI(2024)013-e" TargetMode="External"/><Relationship Id="rId6" Type="http://schemas.openxmlformats.org/officeDocument/2006/relationships/hyperlink" Target="https://en.sipiapa.org/notas/1214528-non-interference-and-freedom-of-association" TargetMode="External"/><Relationship Id="rId11" Type="http://schemas.openxmlformats.org/officeDocument/2006/relationships/hyperlink" Target="https://ssrn.com/abstract=4664891" TargetMode="External"/><Relationship Id="rId5" Type="http://schemas.openxmlformats.org/officeDocument/2006/relationships/hyperlink" Target="http://www.oas.org/en/IACHR/jsForm/?File=/en/iachr/media_center/PReleases/2021/043.asp" TargetMode="External"/><Relationship Id="rId10" Type="http://schemas.openxmlformats.org/officeDocument/2006/relationships/hyperlink" Target="https://www.legislation.gov.au/C2018A00063/latest/text" TargetMode="External"/><Relationship Id="rId4" Type="http://schemas.openxmlformats.org/officeDocument/2006/relationships/hyperlink" Target="https://www.article19.org/resources/eu-scrap-problematic-draft-of-foreign-influence-directive/" TargetMode="External"/><Relationship Id="rId9" Type="http://schemas.openxmlformats.org/officeDocument/2006/relationships/hyperlink" Target="https://www.icnl.org/resources/research/ijnl/a-difference-in-approach-comparing-the-us-foreign-agents-registration-act-with-other-laws-targeting-internationally-funded-civil-society" TargetMode="External"/><Relationship Id="rId14" Type="http://schemas.openxmlformats.org/officeDocument/2006/relationships/hyperlink" Target="https://www.article19.org/wp-content/uploads/2025/12/FINALDissolution-of-political-parties-in-Mali9Dec2025-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CSOs</Category>
    <Filename xmlns="d42e65b2-cf21-49c1-b27d-d23f90380c0e" xsi:nil="true"/>
    <Doctype xmlns="d42e65b2-cf21-49c1-b27d-d23f90380c0e">input</Doctype>
    <Contributor xmlns="d42e65b2-cf21-49c1-b27d-d23f90380c0e">ARTICLE 19</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CED9EF06-4299-4825-91D5-B4F40CED8027}">
  <ds:schemaRefs>
    <ds:schemaRef ds:uri="http://schemas.openxmlformats.org/officeDocument/2006/bibliography"/>
  </ds:schemaRefs>
</ds:datastoreItem>
</file>

<file path=customXml/itemProps2.xml><?xml version="1.0" encoding="utf-8"?>
<ds:datastoreItem xmlns:ds="http://schemas.openxmlformats.org/officeDocument/2006/customXml" ds:itemID="{587AE1CA-7449-45EB-B8E7-521ACD9A3FB8}"/>
</file>

<file path=customXml/itemProps3.xml><?xml version="1.0" encoding="utf-8"?>
<ds:datastoreItem xmlns:ds="http://schemas.openxmlformats.org/officeDocument/2006/customXml" ds:itemID="{ED5DEEE3-1F14-4F37-8CA3-D741C640BD0E}"/>
</file>

<file path=customXml/itemProps4.xml><?xml version="1.0" encoding="utf-8"?>
<ds:datastoreItem xmlns:ds="http://schemas.openxmlformats.org/officeDocument/2006/customXml" ds:itemID="{C74AACA1-B968-49EB-AEEF-39875E181258}"/>
</file>

<file path=docProps/app.xml><?xml version="1.0" encoding="utf-8"?>
<Properties xmlns="http://schemas.openxmlformats.org/officeDocument/2006/extended-properties" xmlns:vt="http://schemas.openxmlformats.org/officeDocument/2006/docPropsVTypes">
  <Template>Normal</Template>
  <TotalTime>17</TotalTime>
  <Pages>7</Pages>
  <Words>1861</Words>
  <Characters>10614</Characters>
  <Application>Microsoft Office Word</Application>
  <DocSecurity>0</DocSecurity>
  <Lines>88</Lines>
  <Paragraphs>24</Paragraphs>
  <ScaleCrop>false</ScaleCrop>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Maksym Popovych</dc:creator>
  <cp:keywords/>
  <dc:description/>
  <cp:lastModifiedBy>Callum Birch</cp:lastModifiedBy>
  <cp:revision>67</cp:revision>
  <dcterms:created xsi:type="dcterms:W3CDTF">2026-07-16T02:50:00Z</dcterms:created>
  <dcterms:modified xsi:type="dcterms:W3CDTF">2026-07-20T11:41:00Z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5a68c45a,38abf805,4bf45d1f</vt:lpwstr>
  </property>
  <property fmtid="{D5CDD505-2E9C-101B-9397-08002B2CF9AE}" pid="3" name="ClassificationContentMarkingHeaderFontProps">
    <vt:lpwstr>#008000,10,Aptos</vt:lpwstr>
  </property>
  <property fmtid="{D5CDD505-2E9C-101B-9397-08002B2CF9AE}" pid="4" name="ClassificationContentMarkingHeaderText">
    <vt:lpwstr>INTERNAL</vt:lpwstr>
  </property>
  <property fmtid="{D5CDD505-2E9C-101B-9397-08002B2CF9AE}" pid="5" name="MSIP_Label_bc520d57-22b0-478d-878a-01209e3894d8_Enabled">
    <vt:lpwstr>true</vt:lpwstr>
  </property>
  <property fmtid="{D5CDD505-2E9C-101B-9397-08002B2CF9AE}" pid="6" name="MSIP_Label_bc520d57-22b0-478d-878a-01209e3894d8_SetDate">
    <vt:lpwstr>2026-07-01T11:04:04Z</vt:lpwstr>
  </property>
  <property fmtid="{D5CDD505-2E9C-101B-9397-08002B2CF9AE}" pid="7" name="MSIP_Label_bc520d57-22b0-478d-878a-01209e3894d8_Method">
    <vt:lpwstr>Standard</vt:lpwstr>
  </property>
  <property fmtid="{D5CDD505-2E9C-101B-9397-08002B2CF9AE}" pid="8" name="MSIP_Label_bc520d57-22b0-478d-878a-01209e3894d8_Name">
    <vt:lpwstr>INTERNAL</vt:lpwstr>
  </property>
  <property fmtid="{D5CDD505-2E9C-101B-9397-08002B2CF9AE}" pid="9" name="MSIP_Label_bc520d57-22b0-478d-878a-01209e3894d8_SiteId">
    <vt:lpwstr>08722067-f231-4f22-bb68-ea4fbf92dabb</vt:lpwstr>
  </property>
  <property fmtid="{D5CDD505-2E9C-101B-9397-08002B2CF9AE}" pid="10" name="MSIP_Label_bc520d57-22b0-478d-878a-01209e3894d8_ActionId">
    <vt:lpwstr>618b7d7a-5afa-44aa-820a-2113a1f068bc</vt:lpwstr>
  </property>
  <property fmtid="{D5CDD505-2E9C-101B-9397-08002B2CF9AE}" pid="11" name="MSIP_Label_bc520d57-22b0-478d-878a-01209e3894d8_ContentBits">
    <vt:lpwstr>1</vt:lpwstr>
  </property>
  <property fmtid="{D5CDD505-2E9C-101B-9397-08002B2CF9AE}" pid="12" name="MSIP_Label_bc520d57-22b0-478d-878a-01209e3894d8_Tag">
    <vt:lpwstr>10, 3, 0, 1</vt:lpwstr>
  </property>
  <property fmtid="{D5CDD505-2E9C-101B-9397-08002B2CF9AE}" pid="13" name="GrammarlyDocumentId">
    <vt:lpwstr>2a483c79-e62c-4a4b-903d-ca94354fcfee</vt:lpwstr>
  </property>
  <property fmtid="{D5CDD505-2E9C-101B-9397-08002B2CF9AE}" pid="14" name="ContentTypeId">
    <vt:lpwstr>0x0101009D953D6983EF5F4EB0B6A5354F975E96</vt:lpwstr>
  </property>
  <property fmtid="{D5CDD505-2E9C-101B-9397-08002B2CF9AE}" pid="15" name="MediaServiceImageTags">
    <vt:lpwstr/>
  </property>
</Properties>
</file>