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1451A" w14:textId="77777777" w:rsidR="00876586" w:rsidRDefault="00000000">
      <w:pPr>
        <w:pBdr>
          <w:top w:val="nil"/>
          <w:left w:val="nil"/>
          <w:bottom w:val="nil"/>
          <w:right w:val="nil"/>
          <w:between w:val="nil"/>
        </w:pBdr>
        <w:ind w:left="117"/>
        <w:rPr>
          <w:color w:val="000000"/>
          <w:sz w:val="20"/>
          <w:szCs w:val="20"/>
        </w:rPr>
      </w:pPr>
      <w:r>
        <w:rPr>
          <w:noProof/>
        </w:rPr>
        <w:drawing>
          <wp:anchor distT="0" distB="0" distL="0" distR="0" simplePos="0" relativeHeight="251658240" behindDoc="0" locked="0" layoutInCell="1" hidden="0" allowOverlap="1" wp14:anchorId="1A105E30" wp14:editId="00FA0D77">
            <wp:simplePos x="0" y="0"/>
            <wp:positionH relativeFrom="column">
              <wp:posOffset>95250</wp:posOffset>
            </wp:positionH>
            <wp:positionV relativeFrom="paragraph">
              <wp:posOffset>19050</wp:posOffset>
            </wp:positionV>
            <wp:extent cx="6509198" cy="1719262"/>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6509198" cy="1719262"/>
                    </a:xfrm>
                    <a:prstGeom prst="rect">
                      <a:avLst/>
                    </a:prstGeom>
                    <a:ln/>
                  </pic:spPr>
                </pic:pic>
              </a:graphicData>
            </a:graphic>
          </wp:anchor>
        </w:drawing>
      </w:r>
    </w:p>
    <w:p w14:paraId="3684D35B" w14:textId="77777777" w:rsidR="00876586" w:rsidRDefault="00000000">
      <w:pPr>
        <w:pBdr>
          <w:top w:val="nil"/>
          <w:left w:val="nil"/>
          <w:bottom w:val="nil"/>
          <w:right w:val="nil"/>
          <w:between w:val="nil"/>
        </w:pBdr>
        <w:spacing w:before="57"/>
        <w:ind w:left="700"/>
        <w:rPr>
          <w:color w:val="000000"/>
        </w:rPr>
      </w:pPr>
      <w:r>
        <w:rPr>
          <w:color w:val="000000"/>
        </w:rPr>
        <w:t xml:space="preserve">Email: </w:t>
      </w:r>
      <w:hyperlink r:id="rId12">
        <w:r>
          <w:rPr>
            <w:color w:val="0000FF"/>
            <w:u w:val="single"/>
          </w:rPr>
          <w:t>bkdpcongress@gmail.com</w:t>
        </w:r>
      </w:hyperlink>
      <w:hyperlink r:id="rId13">
        <w:r w:rsidR="00876586">
          <w:rPr>
            <w:color w:val="000000"/>
          </w:rPr>
          <w:t>;</w:t>
        </w:r>
      </w:hyperlink>
      <w:r>
        <w:rPr>
          <w:color w:val="000000"/>
        </w:rPr>
        <w:t xml:space="preserve"> Tel: +4915125500461; </w:t>
      </w:r>
      <w:hyperlink r:id="rId14">
        <w:r>
          <w:rPr>
            <w:color w:val="000000"/>
          </w:rPr>
          <w:t>www.salidarnast.info</w:t>
        </w:r>
      </w:hyperlink>
    </w:p>
    <w:p w14:paraId="20AD2CE4" w14:textId="77777777" w:rsidR="00876586" w:rsidRDefault="00876586">
      <w:pPr>
        <w:pBdr>
          <w:top w:val="nil"/>
          <w:left w:val="nil"/>
          <w:bottom w:val="nil"/>
          <w:right w:val="nil"/>
          <w:between w:val="nil"/>
        </w:pBdr>
        <w:spacing w:before="7"/>
        <w:rPr>
          <w:color w:val="000000"/>
        </w:rPr>
      </w:pPr>
    </w:p>
    <w:p w14:paraId="2E9FF0B5" w14:textId="77777777" w:rsidR="00876586" w:rsidRDefault="00876586">
      <w:pPr>
        <w:pStyle w:val="Heading1"/>
        <w:ind w:left="566" w:right="274"/>
        <w:jc w:val="right"/>
        <w:rPr>
          <w:b w:val="0"/>
          <w:bCs w:val="0"/>
        </w:rPr>
      </w:pPr>
    </w:p>
    <w:p w14:paraId="48E22D57" w14:textId="77777777" w:rsidR="00876586" w:rsidRDefault="00000000">
      <w:pPr>
        <w:pStyle w:val="Heading1"/>
        <w:ind w:left="566" w:right="274"/>
        <w:jc w:val="right"/>
      </w:pPr>
      <w:r>
        <w:t>TO GOVERNING BODY</w:t>
      </w:r>
    </w:p>
    <w:p w14:paraId="27F2376D" w14:textId="77777777" w:rsidR="00876586" w:rsidRDefault="00876586">
      <w:pPr>
        <w:pStyle w:val="Heading1"/>
        <w:ind w:left="566" w:right="274"/>
        <w:jc w:val="right"/>
        <w:rPr>
          <w:b w:val="0"/>
          <w:bCs w:val="0"/>
        </w:rPr>
      </w:pPr>
    </w:p>
    <w:p w14:paraId="12451BC1" w14:textId="77777777" w:rsidR="00876586" w:rsidRDefault="00000000">
      <w:pPr>
        <w:pStyle w:val="Heading1"/>
        <w:ind w:left="566" w:right="274"/>
        <w:jc w:val="right"/>
        <w:rPr>
          <w:color w:val="FF0000"/>
        </w:rPr>
      </w:pPr>
      <w:r>
        <w:rPr>
          <w:b w:val="0"/>
          <w:bCs w:val="0"/>
          <w:color w:val="FF0000"/>
        </w:rPr>
        <w:t>16 January 2025</w:t>
      </w:r>
    </w:p>
    <w:p w14:paraId="004675B6" w14:textId="77777777" w:rsidR="00876586" w:rsidRDefault="00876586">
      <w:pPr>
        <w:pStyle w:val="Heading1"/>
        <w:ind w:left="566" w:right="274"/>
      </w:pPr>
    </w:p>
    <w:p w14:paraId="2A1E7C3E" w14:textId="77777777" w:rsidR="00876586" w:rsidRDefault="00876586">
      <w:pPr>
        <w:pStyle w:val="Heading1"/>
        <w:ind w:left="566" w:right="274"/>
      </w:pPr>
    </w:p>
    <w:sdt>
      <w:sdtPr>
        <w:tag w:val="goog_rdk_0"/>
        <w:id w:val="2121616611"/>
      </w:sdtPr>
      <w:sdtContent>
        <w:p w14:paraId="6E91280B" w14:textId="77777777" w:rsidR="00876586" w:rsidRDefault="00000000">
          <w:pPr>
            <w:pStyle w:val="Heading1"/>
            <w:ind w:left="566" w:right="274"/>
          </w:pPr>
          <w:r>
            <w:t xml:space="preserve">Additional information of the Trade Union Association “Belarusian Congress of Democratic </w:t>
          </w:r>
        </w:p>
      </w:sdtContent>
    </w:sdt>
    <w:p w14:paraId="51BA2E33" w14:textId="77777777" w:rsidR="00876586" w:rsidRDefault="00876586">
      <w:pPr>
        <w:pStyle w:val="Heading1"/>
        <w:ind w:left="566" w:right="274"/>
      </w:pPr>
    </w:p>
    <w:p w14:paraId="6E8B2C46" w14:textId="77777777" w:rsidR="00876586" w:rsidRDefault="00876586">
      <w:pPr>
        <w:pStyle w:val="Heading1"/>
        <w:ind w:left="566" w:right="274"/>
      </w:pPr>
    </w:p>
    <w:p w14:paraId="6C2E59C9" w14:textId="77777777" w:rsidR="00876586" w:rsidRDefault="00000000">
      <w:pPr>
        <w:jc w:val="center"/>
        <w:rPr>
          <w:b/>
          <w:bCs/>
        </w:rPr>
      </w:pPr>
      <w:r>
        <w:rPr>
          <w:b/>
          <w:bCs/>
        </w:rPr>
        <w:t>Proposals for the draft of the General Comment</w:t>
      </w:r>
    </w:p>
    <w:p w14:paraId="4937647D" w14:textId="77777777" w:rsidR="00876586" w:rsidRDefault="00000000">
      <w:pPr>
        <w:jc w:val="center"/>
        <w:rPr>
          <w:b/>
          <w:bCs/>
        </w:rPr>
      </w:pPr>
      <w:r>
        <w:rPr>
          <w:b/>
          <w:bCs/>
        </w:rPr>
        <w:t>No. 38 on Article 22</w:t>
      </w:r>
    </w:p>
    <w:p w14:paraId="6D16DB9C" w14:textId="77777777" w:rsidR="00876586" w:rsidRDefault="00000000">
      <w:pPr>
        <w:jc w:val="center"/>
        <w:rPr>
          <w:b/>
          <w:bCs/>
        </w:rPr>
      </w:pPr>
      <w:r>
        <w:rPr>
          <w:b/>
          <w:bCs/>
        </w:rPr>
        <w:t>(on the right to freedom of association)</w:t>
      </w:r>
    </w:p>
    <w:p w14:paraId="20F3E576" w14:textId="77777777" w:rsidR="00876586" w:rsidRDefault="00000000">
      <w:pPr>
        <w:jc w:val="center"/>
        <w:rPr>
          <w:b/>
          <w:bCs/>
        </w:rPr>
      </w:pPr>
      <w:r>
        <w:rPr>
          <w:b/>
          <w:bCs/>
        </w:rPr>
        <w:t>of the International Covenant on Civil and Political Rights</w:t>
      </w:r>
    </w:p>
    <w:p w14:paraId="47B6A806" w14:textId="77777777" w:rsidR="00876586" w:rsidRDefault="00876586">
      <w:pPr>
        <w:jc w:val="center"/>
        <w:rPr>
          <w:b/>
          <w:bCs/>
        </w:rPr>
      </w:pPr>
    </w:p>
    <w:p w14:paraId="4558C4F2" w14:textId="77777777" w:rsidR="00876586" w:rsidRDefault="00000000">
      <w:pPr>
        <w:jc w:val="center"/>
        <w:rPr>
          <w:b/>
          <w:bCs/>
        </w:rPr>
      </w:pPr>
      <w:r>
        <w:rPr>
          <w:b/>
          <w:bCs/>
        </w:rPr>
        <w:t>submitted by the Trade Union Association “Belarusian Congress of Democratic Trade Unions” (TUA BKDP)</w:t>
      </w:r>
    </w:p>
    <w:p w14:paraId="79885ECA" w14:textId="77777777" w:rsidR="00876586" w:rsidRDefault="00876586">
      <w:pPr>
        <w:jc w:val="center"/>
        <w:rPr>
          <w:b/>
          <w:bCs/>
        </w:rPr>
      </w:pPr>
    </w:p>
    <w:p w14:paraId="7FA95447" w14:textId="77777777" w:rsidR="00876586" w:rsidRDefault="00000000">
      <w:pPr>
        <w:jc w:val="right"/>
      </w:pPr>
      <w:r>
        <w:t>15 July 2026</w:t>
      </w:r>
    </w:p>
    <w:p w14:paraId="1E133363" w14:textId="77777777" w:rsidR="00876586" w:rsidRDefault="00876586">
      <w:pPr>
        <w:ind w:right="-90"/>
        <w:jc w:val="both"/>
      </w:pPr>
    </w:p>
    <w:p w14:paraId="61A71FB9" w14:textId="77777777" w:rsidR="00876586" w:rsidRDefault="00000000">
      <w:pPr>
        <w:ind w:firstLine="567"/>
      </w:pPr>
      <w:r>
        <w:rPr>
          <w:b/>
          <w:bCs/>
          <w:color w:val="000000"/>
          <w:highlight w:val="lightGray"/>
        </w:rPr>
        <w:t>Background information</w:t>
      </w:r>
    </w:p>
    <w:p w14:paraId="6378F657" w14:textId="77777777" w:rsidR="00876586" w:rsidRDefault="00876586"/>
    <w:p w14:paraId="328F444B" w14:textId="77777777" w:rsidR="00876586" w:rsidRDefault="00000000">
      <w:pPr>
        <w:numPr>
          <w:ilvl w:val="0"/>
          <w:numId w:val="1"/>
        </w:numPr>
        <w:pBdr>
          <w:top w:val="nil"/>
          <w:left w:val="nil"/>
          <w:bottom w:val="nil"/>
          <w:right w:val="nil"/>
          <w:between w:val="nil"/>
        </w:pBdr>
        <w:spacing w:line="275" w:lineRule="auto"/>
        <w:ind w:left="567" w:hanging="567"/>
        <w:jc w:val="both"/>
        <w:rPr>
          <w:color w:val="000000"/>
          <w:highlight w:val="white"/>
        </w:rPr>
      </w:pPr>
      <w:r>
        <w:rPr>
          <w:b/>
          <w:bCs/>
          <w:color w:val="000000"/>
          <w:highlight w:val="white"/>
        </w:rPr>
        <w:t xml:space="preserve">Belarusian Congress of Democratic Trade Unions </w:t>
      </w:r>
      <w:r>
        <w:rPr>
          <w:color w:val="000000"/>
          <w:highlight w:val="white"/>
        </w:rPr>
        <w:t xml:space="preserve">is an association of Belarusian independent trade unions. The main areas of activities include: representing Belarusian workers in the International Labour Organization (hereinafter - </w:t>
      </w:r>
      <w:r>
        <w:rPr>
          <w:b/>
          <w:bCs/>
          <w:color w:val="000000"/>
          <w:highlight w:val="white"/>
        </w:rPr>
        <w:t>ILO</w:t>
      </w:r>
      <w:r>
        <w:rPr>
          <w:color w:val="000000"/>
          <w:highlight w:val="white"/>
        </w:rPr>
        <w:t xml:space="preserve">), United Nations (hereinafter - </w:t>
      </w:r>
      <w:r>
        <w:rPr>
          <w:b/>
          <w:bCs/>
          <w:color w:val="000000"/>
          <w:highlight w:val="white"/>
        </w:rPr>
        <w:t>UN</w:t>
      </w:r>
      <w:r>
        <w:rPr>
          <w:color w:val="000000"/>
          <w:highlight w:val="white"/>
        </w:rPr>
        <w:t>) and other international organizations, monitoring violations of workers’ rights, providing international legal protection for the rights of Belarusian workers, and humanitarian support of persecuted trade unions members.</w:t>
      </w:r>
    </w:p>
    <w:p w14:paraId="3D3BBF2C" w14:textId="77777777" w:rsidR="00876586" w:rsidRDefault="00000000">
      <w:pPr>
        <w:numPr>
          <w:ilvl w:val="0"/>
          <w:numId w:val="1"/>
        </w:numPr>
        <w:pBdr>
          <w:top w:val="nil"/>
          <w:left w:val="nil"/>
          <w:bottom w:val="nil"/>
          <w:right w:val="nil"/>
          <w:between w:val="nil"/>
        </w:pBdr>
        <w:spacing w:line="275" w:lineRule="auto"/>
        <w:ind w:left="567" w:hanging="567"/>
        <w:jc w:val="both"/>
        <w:rPr>
          <w:color w:val="000000"/>
          <w:highlight w:val="white"/>
        </w:rPr>
      </w:pPr>
      <w:r>
        <w:rPr>
          <w:color w:val="000000"/>
          <w:highlight w:val="white"/>
        </w:rPr>
        <w:t>The Belarusian Congress of Democratic Trade Unions (BKDP) welcomes the opportunity to contribute to the Human Rights Committee’s consideration of the Draft General Comment No. 38 on article 22 of the International Covenant on Civil and Political Rights. The BKDP highly appreciates the Committee’s efforts to clarify the scope and content of the right to freedom of association in light of contemporary challenges and respectfully submits the following observations and recommendations from the perspective of an independent national trade union organisation.</w:t>
      </w:r>
    </w:p>
    <w:p w14:paraId="3821D13A" w14:textId="77777777" w:rsidR="00876586" w:rsidRDefault="00876586">
      <w:pPr>
        <w:ind w:left="567"/>
        <w:jc w:val="both"/>
      </w:pPr>
    </w:p>
    <w:p w14:paraId="04647A89" w14:textId="77777777" w:rsidR="00876586" w:rsidRDefault="00000000">
      <w:pPr>
        <w:ind w:left="567"/>
        <w:jc w:val="both"/>
        <w:rPr>
          <w:b/>
          <w:bCs/>
        </w:rPr>
      </w:pPr>
      <w:r>
        <w:rPr>
          <w:b/>
          <w:bCs/>
          <w:highlight w:val="lightGray"/>
        </w:rPr>
        <w:t>Proposals</w:t>
      </w:r>
    </w:p>
    <w:p w14:paraId="1DBD92CB" w14:textId="77777777" w:rsidR="00876586" w:rsidRDefault="00876586">
      <w:pPr>
        <w:ind w:left="567"/>
        <w:jc w:val="both"/>
        <w:rPr>
          <w:b/>
          <w:bCs/>
        </w:rPr>
      </w:pPr>
    </w:p>
    <w:p w14:paraId="0CB531FE" w14:textId="77777777" w:rsidR="00876586" w:rsidRDefault="00000000">
      <w:pPr>
        <w:numPr>
          <w:ilvl w:val="0"/>
          <w:numId w:val="1"/>
        </w:numPr>
        <w:pBdr>
          <w:top w:val="nil"/>
          <w:left w:val="nil"/>
          <w:bottom w:val="nil"/>
          <w:right w:val="nil"/>
          <w:between w:val="nil"/>
        </w:pBdr>
        <w:spacing w:line="275" w:lineRule="auto"/>
        <w:ind w:left="567" w:hanging="567"/>
        <w:jc w:val="both"/>
        <w:rPr>
          <w:b/>
          <w:bCs/>
          <w:color w:val="000000"/>
        </w:rPr>
      </w:pPr>
      <w:r>
        <w:rPr>
          <w:b/>
          <w:bCs/>
          <w:color w:val="000000"/>
        </w:rPr>
        <w:t>Trade unions cannot exist only formally</w:t>
      </w:r>
    </w:p>
    <w:p w14:paraId="1E4B9240" w14:textId="77777777" w:rsidR="00876586" w:rsidRDefault="00876586">
      <w:pPr>
        <w:pBdr>
          <w:top w:val="nil"/>
          <w:left w:val="nil"/>
          <w:bottom w:val="nil"/>
          <w:right w:val="nil"/>
          <w:between w:val="nil"/>
        </w:pBdr>
        <w:spacing w:line="275" w:lineRule="auto"/>
        <w:ind w:left="567"/>
        <w:jc w:val="both"/>
        <w:rPr>
          <w:b/>
          <w:bCs/>
          <w:color w:val="000000"/>
        </w:rPr>
      </w:pPr>
    </w:p>
    <w:p w14:paraId="543664D6" w14:textId="77777777" w:rsidR="00876586" w:rsidRDefault="00000000">
      <w:pPr>
        <w:numPr>
          <w:ilvl w:val="1"/>
          <w:numId w:val="1"/>
        </w:numPr>
        <w:pBdr>
          <w:top w:val="nil"/>
          <w:left w:val="nil"/>
          <w:bottom w:val="nil"/>
          <w:right w:val="nil"/>
          <w:between w:val="nil"/>
        </w:pBdr>
        <w:spacing w:line="275" w:lineRule="auto"/>
        <w:ind w:left="567" w:hanging="567"/>
        <w:jc w:val="both"/>
        <w:rPr>
          <w:color w:val="000000"/>
        </w:rPr>
      </w:pPr>
      <w:r>
        <w:rPr>
          <w:color w:val="000000"/>
        </w:rPr>
        <w:t>The present draft correctly recognises the importance of trade unions but does not sufficiently distinguish between the formal existence of a trade union and the effective enjoyment of freedom of association.</w:t>
      </w:r>
    </w:p>
    <w:p w14:paraId="45C73970" w14:textId="77777777" w:rsidR="00876586" w:rsidRDefault="00000000">
      <w:pPr>
        <w:numPr>
          <w:ilvl w:val="1"/>
          <w:numId w:val="1"/>
        </w:numPr>
        <w:pBdr>
          <w:top w:val="nil"/>
          <w:left w:val="nil"/>
          <w:bottom w:val="nil"/>
          <w:right w:val="nil"/>
          <w:between w:val="nil"/>
        </w:pBdr>
        <w:spacing w:line="275" w:lineRule="auto"/>
        <w:ind w:left="567" w:hanging="567"/>
        <w:jc w:val="both"/>
        <w:rPr>
          <w:color w:val="000000"/>
        </w:rPr>
      </w:pPr>
      <w:r>
        <w:rPr>
          <w:color w:val="000000"/>
        </w:rPr>
        <w:t>Article 22 of the ICCPR protects the practical and effective exercise of associational rights rather than merely their formal recognition.</w:t>
      </w:r>
    </w:p>
    <w:p w14:paraId="06F35369" w14:textId="77777777" w:rsidR="00876586" w:rsidRDefault="00000000">
      <w:pPr>
        <w:numPr>
          <w:ilvl w:val="1"/>
          <w:numId w:val="1"/>
        </w:numPr>
        <w:pBdr>
          <w:top w:val="nil"/>
          <w:left w:val="nil"/>
          <w:bottom w:val="nil"/>
          <w:right w:val="nil"/>
          <w:between w:val="nil"/>
        </w:pBdr>
        <w:spacing w:line="275" w:lineRule="auto"/>
        <w:ind w:left="567" w:hanging="567"/>
        <w:jc w:val="both"/>
        <w:rPr>
          <w:color w:val="000000"/>
        </w:rPr>
      </w:pPr>
      <w:r>
        <w:rPr>
          <w:color w:val="000000"/>
        </w:rPr>
        <w:t>This interpretation follows the Human Rights Committee’s consistent approach that Covenant rights must be practical and effective rather than theoretical or illusory.It is also fully consistent with Articles 3, 8 and 11 of ILO Freedom of Association and Protection of the Right to Organise Convention С087</w:t>
      </w:r>
      <w:r>
        <w:rPr>
          <w:color w:val="000000"/>
          <w:vertAlign w:val="superscript"/>
        </w:rPr>
        <w:footnoteReference w:id="1"/>
      </w:r>
      <w:r>
        <w:rPr>
          <w:color w:val="000000"/>
        </w:rPr>
        <w:t xml:space="preserve"> (hereinafter – </w:t>
      </w:r>
      <w:r>
        <w:rPr>
          <w:b/>
          <w:bCs/>
          <w:color w:val="000000"/>
        </w:rPr>
        <w:t>C087 Convention</w:t>
      </w:r>
      <w:r>
        <w:rPr>
          <w:color w:val="000000"/>
        </w:rPr>
        <w:t>).</w:t>
      </w:r>
    </w:p>
    <w:p w14:paraId="3FD38ED4" w14:textId="77777777" w:rsidR="00876586" w:rsidRDefault="00000000">
      <w:pPr>
        <w:numPr>
          <w:ilvl w:val="1"/>
          <w:numId w:val="1"/>
        </w:numPr>
        <w:pBdr>
          <w:top w:val="nil"/>
          <w:left w:val="nil"/>
          <w:bottom w:val="nil"/>
          <w:right w:val="nil"/>
          <w:between w:val="nil"/>
        </w:pBdr>
        <w:spacing w:line="275" w:lineRule="auto"/>
        <w:ind w:left="567" w:hanging="567"/>
        <w:jc w:val="both"/>
        <w:rPr>
          <w:color w:val="000000"/>
        </w:rPr>
      </w:pPr>
      <w:r>
        <w:rPr>
          <w:color w:val="000000"/>
        </w:rPr>
        <w:t>Therefore, the BKDP respectfully suggest adding into the General Comment the following:</w:t>
      </w:r>
    </w:p>
    <w:p w14:paraId="321B30E2" w14:textId="77777777" w:rsidR="00876586" w:rsidRDefault="00000000">
      <w:pPr>
        <w:pBdr>
          <w:top w:val="nil"/>
          <w:left w:val="nil"/>
          <w:bottom w:val="nil"/>
          <w:right w:val="nil"/>
          <w:between w:val="nil"/>
        </w:pBdr>
        <w:spacing w:line="275" w:lineRule="auto"/>
        <w:ind w:left="567"/>
        <w:jc w:val="both"/>
        <w:rPr>
          <w:color w:val="000000"/>
        </w:rPr>
      </w:pPr>
      <w:r>
        <w:rPr>
          <w:color w:val="000000"/>
        </w:rPr>
        <w:t xml:space="preserve">“The right to form and join trade unions under Article 22 encompasses not only their formal establishment and legal existence but also their </w:t>
      </w:r>
      <w:r>
        <w:rPr>
          <w:b/>
          <w:bCs/>
          <w:color w:val="000000"/>
        </w:rPr>
        <w:t>effective ability</w:t>
      </w:r>
      <w:r>
        <w:rPr>
          <w:color w:val="000000"/>
        </w:rPr>
        <w:t xml:space="preserve"> to function independently and pursue their legitimate </w:t>
      </w:r>
      <w:r>
        <w:rPr>
          <w:color w:val="000000"/>
        </w:rPr>
        <w:lastRenderedPageBreak/>
        <w:t>objectives. States Parties must ensure that trade unions are able, in law and in practice, to organise workers, recruit members, elect their representatives freely, communicate with workers, bargain collectively, participate in public debate concerning labour issues, cooperate with national and international organisations, and defend the occupational, economic and social interests of workers without fear of reprisals. Measures that preserve the formal existence of trade unions while depriving them of these essential functions amount to an interference with Article 22”.</w:t>
      </w:r>
    </w:p>
    <w:p w14:paraId="582F2E15" w14:textId="77777777" w:rsidR="00876586" w:rsidRDefault="00876586">
      <w:pPr>
        <w:pBdr>
          <w:top w:val="nil"/>
          <w:left w:val="nil"/>
          <w:bottom w:val="nil"/>
          <w:right w:val="nil"/>
          <w:between w:val="nil"/>
        </w:pBdr>
        <w:spacing w:line="275" w:lineRule="auto"/>
        <w:ind w:left="567"/>
        <w:jc w:val="both"/>
        <w:rPr>
          <w:color w:val="000000"/>
        </w:rPr>
      </w:pPr>
    </w:p>
    <w:p w14:paraId="2507CF9F" w14:textId="77777777" w:rsidR="00876586" w:rsidRDefault="00000000">
      <w:pPr>
        <w:numPr>
          <w:ilvl w:val="0"/>
          <w:numId w:val="1"/>
        </w:numPr>
        <w:pBdr>
          <w:top w:val="nil"/>
          <w:left w:val="nil"/>
          <w:bottom w:val="nil"/>
          <w:right w:val="nil"/>
          <w:between w:val="nil"/>
        </w:pBdr>
        <w:spacing w:line="275" w:lineRule="auto"/>
        <w:ind w:left="567" w:hanging="567"/>
        <w:jc w:val="both"/>
        <w:rPr>
          <w:b/>
          <w:bCs/>
          <w:color w:val="000000"/>
        </w:rPr>
      </w:pPr>
      <w:r>
        <w:rPr>
          <w:b/>
          <w:bCs/>
          <w:color w:val="000000"/>
        </w:rPr>
        <w:t>State-controlled trade unions and the requirement of genuine independence</w:t>
      </w:r>
    </w:p>
    <w:p w14:paraId="37B4C122" w14:textId="77777777" w:rsidR="00876586" w:rsidRDefault="00876586">
      <w:pPr>
        <w:pBdr>
          <w:top w:val="nil"/>
          <w:left w:val="nil"/>
          <w:bottom w:val="nil"/>
          <w:right w:val="nil"/>
          <w:between w:val="nil"/>
        </w:pBdr>
        <w:spacing w:line="275" w:lineRule="auto"/>
        <w:ind w:left="567"/>
        <w:jc w:val="both"/>
        <w:rPr>
          <w:b/>
          <w:bCs/>
          <w:color w:val="000000"/>
        </w:rPr>
      </w:pPr>
    </w:p>
    <w:p w14:paraId="2C61FBEF" w14:textId="77777777" w:rsidR="00876586" w:rsidRDefault="00000000">
      <w:pPr>
        <w:numPr>
          <w:ilvl w:val="1"/>
          <w:numId w:val="1"/>
        </w:numPr>
        <w:pBdr>
          <w:top w:val="nil"/>
          <w:left w:val="nil"/>
          <w:bottom w:val="nil"/>
          <w:right w:val="nil"/>
          <w:between w:val="nil"/>
        </w:pBdr>
        <w:spacing w:line="275" w:lineRule="auto"/>
        <w:ind w:left="567" w:hanging="567"/>
        <w:jc w:val="both"/>
      </w:pPr>
      <w:r>
        <w:rPr>
          <w:color w:val="000000"/>
        </w:rPr>
        <w:t>The current draft discusses independence only indirectly. However, one of the principal contemporary threats to freedom of association is the replacement or marginalisation of genuinely independent trade unions through organisations that are established, supported or effectively controlled by public authorities (“government-organised non-governmental organisations” or “GONGOs”).</w:t>
      </w:r>
    </w:p>
    <w:p w14:paraId="460ADDB6" w14:textId="77777777" w:rsidR="00876586" w:rsidRDefault="00000000">
      <w:pPr>
        <w:numPr>
          <w:ilvl w:val="1"/>
          <w:numId w:val="1"/>
        </w:numPr>
        <w:pBdr>
          <w:top w:val="nil"/>
          <w:left w:val="nil"/>
          <w:bottom w:val="nil"/>
          <w:right w:val="nil"/>
          <w:between w:val="nil"/>
        </w:pBdr>
        <w:spacing w:line="275" w:lineRule="auto"/>
        <w:ind w:left="567" w:hanging="567"/>
        <w:jc w:val="both"/>
        <w:rPr>
          <w:color w:val="000000"/>
        </w:rPr>
      </w:pPr>
      <w:r>
        <w:rPr>
          <w:color w:val="000000"/>
        </w:rPr>
        <w:t>The BKD</w:t>
      </w:r>
      <w:r>
        <w:t>P</w:t>
      </w:r>
      <w:r>
        <w:rPr>
          <w:color w:val="000000"/>
        </w:rPr>
        <w:t xml:space="preserve"> respectfully suggests that the Committee should expressly clarify that the existence of organisations formally designated as trade unions does not, in itself, demonstrate compliance with Article 22 where such organisations lack genuine institutional, operational or financial independence from Government or employers. States Parties violate Article 22 where they establish, promote, favour or maintain organisations that replace, marginalise or undermine genuinely independent trade unions, where workers are effectively prevented from establishing or joining organisations independent from State influence, or where legal or practical arrangements create a </w:t>
      </w:r>
      <w:r>
        <w:rPr>
          <w:b/>
          <w:bCs/>
          <w:i/>
          <w:iCs/>
          <w:color w:val="000000"/>
        </w:rPr>
        <w:t>de facto</w:t>
      </w:r>
      <w:r>
        <w:rPr>
          <w:b/>
          <w:bCs/>
          <w:color w:val="000000"/>
        </w:rPr>
        <w:t xml:space="preserve"> monopoly</w:t>
      </w:r>
      <w:r>
        <w:rPr>
          <w:color w:val="000000"/>
        </w:rPr>
        <w:t xml:space="preserve"> of a single trade union federation or otherwise prevent genuine trade union pluralism.</w:t>
      </w:r>
    </w:p>
    <w:p w14:paraId="29E85973" w14:textId="77777777" w:rsidR="00876586" w:rsidRDefault="00000000">
      <w:pPr>
        <w:numPr>
          <w:ilvl w:val="1"/>
          <w:numId w:val="1"/>
        </w:numPr>
        <w:pBdr>
          <w:top w:val="nil"/>
          <w:left w:val="nil"/>
          <w:bottom w:val="nil"/>
          <w:right w:val="nil"/>
          <w:between w:val="nil"/>
        </w:pBdr>
        <w:spacing w:line="275" w:lineRule="auto"/>
        <w:ind w:left="567" w:hanging="567"/>
        <w:jc w:val="both"/>
        <w:rPr>
          <w:color w:val="000000"/>
        </w:rPr>
      </w:pPr>
      <w:r>
        <w:rPr>
          <w:color w:val="000000"/>
        </w:rPr>
        <w:t xml:space="preserve">The independence of trade unions should be assessed on the basis of both legal guarantees and practical realities. Relevant factors include, </w:t>
      </w:r>
      <w:r>
        <w:rPr>
          <w:i/>
          <w:iCs/>
          <w:color w:val="000000"/>
        </w:rPr>
        <w:t>inter alia</w:t>
      </w:r>
      <w:r>
        <w:rPr>
          <w:color w:val="000000"/>
        </w:rPr>
        <w:t>:</w:t>
      </w:r>
    </w:p>
    <w:p w14:paraId="51BC4B72" w14:textId="77777777" w:rsidR="00876586" w:rsidRDefault="00000000">
      <w:pPr>
        <w:pBdr>
          <w:top w:val="nil"/>
          <w:left w:val="nil"/>
          <w:bottom w:val="nil"/>
          <w:right w:val="nil"/>
          <w:between w:val="nil"/>
        </w:pBdr>
        <w:spacing w:line="275" w:lineRule="auto"/>
        <w:ind w:left="567"/>
        <w:jc w:val="both"/>
        <w:rPr>
          <w:color w:val="000000"/>
        </w:rPr>
      </w:pPr>
      <w:r>
        <w:rPr>
          <w:b/>
          <w:bCs/>
          <w:color w:val="000000"/>
        </w:rPr>
        <w:t>(a)</w:t>
      </w:r>
      <w:r>
        <w:rPr>
          <w:color w:val="000000"/>
        </w:rPr>
        <w:t xml:space="preserve"> the extent to which the process for selecting trade union leadership is genuinely free from governmental influence, including where election procedures formally exist but the nomination, endorsement or effective selection of candidates is directly or indirectly controlled or substantially influenced by public authorities, resulting </w:t>
      </w:r>
      <w:r>
        <w:rPr>
          <w:i/>
          <w:iCs/>
          <w:color w:val="000000"/>
        </w:rPr>
        <w:t>inter alia</w:t>
      </w:r>
      <w:r>
        <w:rPr>
          <w:color w:val="000000"/>
        </w:rPr>
        <w:t xml:space="preserve"> in the systematic election of persons closely connected with State institutions or the governing political establishment;</w:t>
      </w:r>
    </w:p>
    <w:p w14:paraId="3FA736DF" w14:textId="77777777" w:rsidR="00876586" w:rsidRDefault="00000000">
      <w:pPr>
        <w:pBdr>
          <w:top w:val="nil"/>
          <w:left w:val="nil"/>
          <w:bottom w:val="nil"/>
          <w:right w:val="nil"/>
          <w:between w:val="nil"/>
        </w:pBdr>
        <w:spacing w:line="275" w:lineRule="auto"/>
        <w:ind w:left="567"/>
        <w:jc w:val="both"/>
        <w:rPr>
          <w:color w:val="000000"/>
        </w:rPr>
      </w:pPr>
      <w:r>
        <w:rPr>
          <w:b/>
          <w:bCs/>
          <w:color w:val="000000"/>
        </w:rPr>
        <w:t>(b)</w:t>
      </w:r>
      <w:r>
        <w:rPr>
          <w:color w:val="000000"/>
        </w:rPr>
        <w:t xml:space="preserve"> the existence of legislative or administrative measures conferring privileged legal status, exclusive representational rights or institutional advantages upon particular trade unions;</w:t>
      </w:r>
    </w:p>
    <w:p w14:paraId="0CF0D66B" w14:textId="77777777" w:rsidR="00876586" w:rsidRDefault="00000000">
      <w:pPr>
        <w:pBdr>
          <w:top w:val="nil"/>
          <w:left w:val="nil"/>
          <w:bottom w:val="nil"/>
          <w:right w:val="nil"/>
          <w:between w:val="nil"/>
        </w:pBdr>
        <w:spacing w:line="275" w:lineRule="auto"/>
        <w:ind w:left="567"/>
        <w:jc w:val="both"/>
        <w:rPr>
          <w:b/>
          <w:bCs/>
          <w:color w:val="000000"/>
        </w:rPr>
      </w:pPr>
      <w:r>
        <w:rPr>
          <w:b/>
          <w:bCs/>
          <w:color w:val="000000"/>
        </w:rPr>
        <w:t>(c)</w:t>
      </w:r>
      <w:r>
        <w:rPr>
          <w:color w:val="000000"/>
        </w:rPr>
        <w:t xml:space="preserve"> legal or practical restrictions that exclude certain categories of trade unions from collective bargaining, tripartite bodies or other mechanisms of social dialogue, including through representativeness criteria or participation thresholds that are unreasonable, discriminatory or disproportionate or that, having regard to the political or industrial relations context, effectively prevent independent trade unions from participating on an equal basis. Participation in collective bargaining, tripartite institutions or other mechanisms of social dialogue should not be conditioned upon criteria that, although formally neutral, have the purpose or effect of excluding independent trade unions or depriving them of any meaningful opportunity to influence labour, employment or social policy;</w:t>
      </w:r>
    </w:p>
    <w:p w14:paraId="0E5E6C57" w14:textId="77777777" w:rsidR="00876586" w:rsidRDefault="00000000">
      <w:pPr>
        <w:pBdr>
          <w:top w:val="nil"/>
          <w:left w:val="nil"/>
          <w:bottom w:val="nil"/>
          <w:right w:val="nil"/>
          <w:between w:val="nil"/>
        </w:pBdr>
        <w:spacing w:line="275" w:lineRule="auto"/>
        <w:ind w:left="567"/>
        <w:jc w:val="both"/>
        <w:rPr>
          <w:color w:val="000000"/>
        </w:rPr>
      </w:pPr>
      <w:r>
        <w:rPr>
          <w:b/>
          <w:bCs/>
          <w:color w:val="000000"/>
        </w:rPr>
        <w:t>(d)</w:t>
      </w:r>
      <w:r>
        <w:rPr>
          <w:color w:val="000000"/>
        </w:rPr>
        <w:t xml:space="preserve"> the extent to which a trade union is expected, encouraged or required to perform functions that primarily serve governmental or ruling-party interests rather than the independent representation of workers;</w:t>
      </w:r>
    </w:p>
    <w:p w14:paraId="576EF230" w14:textId="77777777" w:rsidR="00876586" w:rsidRDefault="00000000">
      <w:pPr>
        <w:pBdr>
          <w:top w:val="nil"/>
          <w:left w:val="nil"/>
          <w:bottom w:val="nil"/>
          <w:right w:val="nil"/>
          <w:between w:val="nil"/>
        </w:pBdr>
        <w:spacing w:line="275" w:lineRule="auto"/>
        <w:ind w:left="567"/>
        <w:jc w:val="both"/>
        <w:rPr>
          <w:color w:val="000000"/>
        </w:rPr>
      </w:pPr>
      <w:r>
        <w:rPr>
          <w:b/>
          <w:bCs/>
          <w:color w:val="000000"/>
        </w:rPr>
        <w:t>(e)</w:t>
      </w:r>
      <w:r>
        <w:rPr>
          <w:color w:val="000000"/>
        </w:rPr>
        <w:t xml:space="preserve"> the extent to which a trade union is expected or induced to assume a leading organisational role in support of incumbent authorities or governing political actors, including through the mobilisation of workers during electoral processes, the organisation of political campaigns or public events in support of governmental policies, or other activities that compromise its ability to represent workers independently.</w:t>
      </w:r>
    </w:p>
    <w:p w14:paraId="564DF833" w14:textId="77777777" w:rsidR="00876586" w:rsidRDefault="00000000">
      <w:pPr>
        <w:ind w:left="567" w:hanging="567"/>
        <w:jc w:val="both"/>
      </w:pPr>
      <w:r>
        <w:rPr>
          <w:b/>
          <w:bCs/>
        </w:rPr>
        <w:t>4.4.</w:t>
      </w:r>
      <w:r>
        <w:tab/>
        <w:t xml:space="preserve">While trade unions may legitimately express views on matters of public interest, including political, economic and social issues affecting workers, they should not be transformed into instruments for securing or maintaining political power. The systematic involvement of trade unions in organising, administering or supervising electoral processes, nominating or supporting candidates, mobilising workers to vote for incumbent authorities, organising political campaigns or public events in support of </w:t>
      </w:r>
      <w:r>
        <w:lastRenderedPageBreak/>
        <w:t>governmental policies, or otherwise performing functions that primarily serve the political interests of the State or the ruling political establishment, particularly where such activities result from legal obligations, institutional dependence or other forms of State influence, constitutes a relevant factor in assessing whether such organisations remain genuinely independent for the purposes of Article 22.</w:t>
      </w:r>
    </w:p>
    <w:p w14:paraId="0837916D" w14:textId="77777777" w:rsidR="00876586" w:rsidRDefault="00000000">
      <w:pPr>
        <w:ind w:left="567" w:hanging="567"/>
        <w:jc w:val="both"/>
      </w:pPr>
      <w:r>
        <w:rPr>
          <w:b/>
          <w:bCs/>
        </w:rPr>
        <w:t>4</w:t>
      </w:r>
      <w:r>
        <w:rPr>
          <w:b/>
          <w:bCs/>
          <w:i/>
          <w:iCs/>
        </w:rPr>
        <w:t>.</w:t>
      </w:r>
      <w:r>
        <w:rPr>
          <w:b/>
          <w:bCs/>
        </w:rPr>
        <w:t>5</w:t>
      </w:r>
      <w:r>
        <w:rPr>
          <w:i/>
          <w:iCs/>
        </w:rPr>
        <w:t>.</w:t>
      </w:r>
      <w:r>
        <w:tab/>
        <w:t>In assessing whether a trade union is genuinely independent, regard should also be had to its ability to act autonomously in protecting workers’ interests, including by monitoring compliance with international labour standards, participating in collective bargaining, engaging with international organisations and supervisory mechanisms, advocating legislative and policy reforms, and expressing positions that may differ from those of the Government without fear of retaliation or loss of legal status.</w:t>
      </w:r>
    </w:p>
    <w:p w14:paraId="56D2AE5B" w14:textId="77777777" w:rsidR="00876586" w:rsidRDefault="00000000">
      <w:pPr>
        <w:ind w:left="567" w:hanging="567"/>
        <w:jc w:val="both"/>
      </w:pPr>
      <w:r>
        <w:rPr>
          <w:b/>
          <w:bCs/>
        </w:rPr>
        <w:t>4.6.</w:t>
      </w:r>
      <w:r>
        <w:tab/>
        <w:t>Therefore, the BKDP respectfully suggest adding into the General Comment the following:</w:t>
      </w:r>
    </w:p>
    <w:p w14:paraId="6B77B5E4" w14:textId="77777777" w:rsidR="00876586" w:rsidRDefault="00000000">
      <w:pPr>
        <w:ind w:left="567"/>
        <w:jc w:val="both"/>
        <w:rPr>
          <w:i/>
          <w:iCs/>
        </w:rPr>
      </w:pPr>
      <w:r>
        <w:t>“</w:t>
      </w:r>
      <w:r>
        <w:rPr>
          <w:i/>
          <w:iCs/>
        </w:rPr>
        <w:t>The existence of organisations formally designated as trade unions does not, in itself, demonstrate compliance with Article 22 where such organisations lack genuine institutional, operational or financial independence from public authorities or employers. States Parties violate Article 22 where they establish, promote, favour or maintain organisations that replace, marginalise or undermine genuinely independent trade unions, where workers are effectively prevented from establishing or joining organisations independent from State influence, or where legal or practical arrangements create a de facto monopoly of a single trade union federation or otherwise prevent genuine trade union pluralism.</w:t>
      </w:r>
    </w:p>
    <w:p w14:paraId="6A89EE0D" w14:textId="77777777" w:rsidR="00876586" w:rsidRDefault="00000000">
      <w:pPr>
        <w:ind w:left="567"/>
        <w:jc w:val="both"/>
        <w:rPr>
          <w:i/>
          <w:iCs/>
        </w:rPr>
      </w:pPr>
      <w:r>
        <w:rPr>
          <w:i/>
          <w:iCs/>
        </w:rPr>
        <w:t>The independence of trade unions should be assessed on the basis of both legal guarantees and practical realities. Relevant factors include, inter alia, whether the process for selecting trade union leadership is genuinely free from governmental influence; whether legislative or administrative measures confer privileged legal status, exclusive representational rights or institutional advantages upon particular trade unions; whether representativeness criteria or participation thresholds effectively exclude independent trade unions from collective bargaining, tripartite institutions or other mechanisms of social dialogue; whether trade unions are expected to perform functions that primarily serve governmental or ruling-party interests rather than the independent representation of workers; and whether they are systematically involved in organising or supporting electoral processes or other activities aimed at securing or maintaining political power.</w:t>
      </w:r>
    </w:p>
    <w:p w14:paraId="487E5D16" w14:textId="77777777" w:rsidR="00876586" w:rsidRDefault="00000000">
      <w:pPr>
        <w:ind w:left="567"/>
        <w:jc w:val="both"/>
        <w:rPr>
          <w:i/>
          <w:iCs/>
        </w:rPr>
      </w:pPr>
      <w:r>
        <w:rPr>
          <w:i/>
          <w:iCs/>
        </w:rPr>
        <w:t>While trade unions may legitimately express views on matters of public interest, including political, economic and social issues affecting workers, they should not be transformed into instruments of State policy or political governance.</w:t>
      </w:r>
    </w:p>
    <w:p w14:paraId="32C5F234" w14:textId="77777777" w:rsidR="00876586" w:rsidRDefault="00000000">
      <w:pPr>
        <w:ind w:left="567"/>
        <w:jc w:val="both"/>
      </w:pPr>
      <w:r>
        <w:rPr>
          <w:i/>
          <w:iCs/>
        </w:rPr>
        <w:t>In assessing whether a trade union is genuinely independent, regard should also be had to its ability to act autonomously in protecting workers’ interests, including through collective bargaining; monitoring compliance with domestic and international labour standards; engaging with national and international workers’ and employers’ organisations, international organisations and supervisory mechanisms; advocating legislative and policy reforms; and expressing positions that may differ from those of the Government without fear of retaliation, discrimination or loss of legal status</w:t>
      </w:r>
      <w:r>
        <w:t>.”.</w:t>
      </w:r>
    </w:p>
    <w:p w14:paraId="6EE98D3B" w14:textId="77777777" w:rsidR="00876586" w:rsidRDefault="00876586">
      <w:pPr>
        <w:ind w:right="-90"/>
        <w:jc w:val="both"/>
      </w:pPr>
    </w:p>
    <w:p w14:paraId="10DBF032" w14:textId="77777777" w:rsidR="00876586" w:rsidRDefault="00000000">
      <w:pPr>
        <w:numPr>
          <w:ilvl w:val="0"/>
          <w:numId w:val="1"/>
        </w:numPr>
        <w:pBdr>
          <w:top w:val="nil"/>
          <w:left w:val="nil"/>
          <w:bottom w:val="nil"/>
          <w:right w:val="nil"/>
          <w:between w:val="nil"/>
        </w:pBdr>
        <w:spacing w:line="275" w:lineRule="auto"/>
        <w:ind w:left="567" w:right="-90" w:hanging="567"/>
        <w:jc w:val="both"/>
        <w:rPr>
          <w:b/>
          <w:bCs/>
          <w:color w:val="000000"/>
        </w:rPr>
      </w:pPr>
      <w:r>
        <w:rPr>
          <w:b/>
          <w:bCs/>
          <w:color w:val="000000"/>
        </w:rPr>
        <w:t>Criminalisation through extremism, terrorism and national security legislation</w:t>
      </w:r>
    </w:p>
    <w:p w14:paraId="609A66E2" w14:textId="77777777" w:rsidR="00876586" w:rsidRDefault="00876586">
      <w:pPr>
        <w:ind w:right="-90"/>
        <w:jc w:val="both"/>
      </w:pPr>
    </w:p>
    <w:p w14:paraId="1E69D933" w14:textId="77777777" w:rsidR="00876586" w:rsidRDefault="00000000">
      <w:pPr>
        <w:numPr>
          <w:ilvl w:val="1"/>
          <w:numId w:val="1"/>
        </w:numPr>
        <w:pBdr>
          <w:top w:val="nil"/>
          <w:left w:val="nil"/>
          <w:bottom w:val="nil"/>
          <w:right w:val="nil"/>
          <w:between w:val="nil"/>
        </w:pBdr>
        <w:spacing w:line="275" w:lineRule="auto"/>
        <w:ind w:left="567" w:right="-90" w:hanging="567"/>
        <w:jc w:val="both"/>
        <w:rPr>
          <w:color w:val="000000"/>
        </w:rPr>
      </w:pPr>
      <w:r>
        <w:rPr>
          <w:color w:val="000000"/>
        </w:rPr>
        <w:t>The current draft appropriately recognises that restrictions based on national security, public order or public safety must comply with the strict requirements of Article 22(2). However, the BKDP respectfully submits that the General Comment should expressly address the growing practice of misusing legislation on extremism, terrorism and national security to suppress independent associations, including trade unions.</w:t>
      </w:r>
    </w:p>
    <w:p w14:paraId="5DBE3EFC" w14:textId="77777777" w:rsidR="00876586" w:rsidRDefault="00000000">
      <w:pPr>
        <w:numPr>
          <w:ilvl w:val="1"/>
          <w:numId w:val="1"/>
        </w:numPr>
        <w:pBdr>
          <w:top w:val="nil"/>
          <w:left w:val="nil"/>
          <w:bottom w:val="nil"/>
          <w:right w:val="nil"/>
          <w:between w:val="nil"/>
        </w:pBdr>
        <w:spacing w:line="275" w:lineRule="auto"/>
        <w:ind w:left="567" w:right="-90" w:hanging="567"/>
        <w:jc w:val="both"/>
        <w:rPr>
          <w:color w:val="000000"/>
        </w:rPr>
      </w:pPr>
      <w:r>
        <w:rPr>
          <w:color w:val="000000"/>
        </w:rPr>
        <w:t>4.5.</w:t>
      </w:r>
      <w:r>
        <w:rPr>
          <w:color w:val="000000"/>
        </w:rPr>
        <w:tab/>
        <w:t>Under international standards, any law that restricts fundamental rights must be formulated with sufficient precision to enable individuals to regulate their conduct accordingly. In an increasing number of States, legislation on countering extremism or terrorism is formulated in excessively broad or vague terms</w:t>
      </w:r>
      <w:r>
        <w:rPr>
          <w:color w:val="000000"/>
          <w:vertAlign w:val="superscript"/>
        </w:rPr>
        <w:footnoteReference w:id="2"/>
      </w:r>
      <w:r>
        <w:rPr>
          <w:color w:val="000000"/>
        </w:rPr>
        <w:t xml:space="preserve"> and is applied against organisations and individuals solely for the peaceful exercise of the rights guaranteed under Articles 19, 21 and 22 of the Covenant. Such legislation frequently allows associations to be designated as “extremist” or “terrorist” organisations, criminalises membership or participation in their </w:t>
      </w:r>
      <w:r>
        <w:rPr>
          <w:color w:val="000000"/>
        </w:rPr>
        <w:lastRenderedPageBreak/>
        <w:t>activities, and imposes severe criminal or administrative penalties without any connection to violence or incitement to violence.</w:t>
      </w:r>
    </w:p>
    <w:p w14:paraId="668331FF" w14:textId="77777777" w:rsidR="00876586" w:rsidRDefault="00000000">
      <w:pPr>
        <w:numPr>
          <w:ilvl w:val="1"/>
          <w:numId w:val="1"/>
        </w:numPr>
        <w:pBdr>
          <w:top w:val="nil"/>
          <w:left w:val="nil"/>
          <w:bottom w:val="nil"/>
          <w:right w:val="nil"/>
          <w:between w:val="nil"/>
        </w:pBdr>
        <w:spacing w:line="275" w:lineRule="auto"/>
        <w:ind w:left="567" w:right="-90" w:hanging="567"/>
        <w:jc w:val="both"/>
        <w:rPr>
          <w:color w:val="000000"/>
        </w:rPr>
      </w:pPr>
      <w:r>
        <w:rPr>
          <w:color w:val="000000"/>
        </w:rPr>
        <w:t>The mere invocation of national security, public order or counter-extremism cannot by itself justify restrictions under Article 22. States Parties remain under an obligation to demonstrate, in each individual case, that any interference is prescribed by law, pursues one of the legitimate aims exhaustively listed in Article 22(2), and is necessary and proportionate in a democratic society.</w:t>
      </w:r>
    </w:p>
    <w:p w14:paraId="5221E56B" w14:textId="77777777" w:rsidR="00876586" w:rsidRDefault="00000000">
      <w:pPr>
        <w:numPr>
          <w:ilvl w:val="1"/>
          <w:numId w:val="1"/>
        </w:numPr>
        <w:pBdr>
          <w:top w:val="nil"/>
          <w:left w:val="nil"/>
          <w:bottom w:val="nil"/>
          <w:right w:val="nil"/>
          <w:between w:val="nil"/>
        </w:pBdr>
        <w:spacing w:line="275" w:lineRule="auto"/>
        <w:ind w:left="567" w:right="-90" w:hanging="567"/>
        <w:jc w:val="both"/>
        <w:rPr>
          <w:color w:val="000000"/>
        </w:rPr>
      </w:pPr>
      <w:r>
        <w:rPr>
          <w:color w:val="000000"/>
        </w:rPr>
        <w:t>Particular concern arises where legislation or implementation acts employs vague or overly broad concepts - such as “extremism”, “threats to constitutional order”, “public security” or similar notions - without defining them with sufficient precision. Such provisions may permit the peaceful exercise of freedom of association, expression or assembly to be characterised as a threat to national security or constitutional order solely because it challenges governmental policies or the political establishment. Laws of this nature fail to satisfy the principle of legal certainty and foreseeability required under the Covenant and confer excessive discretion upon executive authorities.</w:t>
      </w:r>
    </w:p>
    <w:p w14:paraId="796B1548" w14:textId="77777777" w:rsidR="00876586" w:rsidRDefault="00000000">
      <w:pPr>
        <w:numPr>
          <w:ilvl w:val="1"/>
          <w:numId w:val="1"/>
        </w:numPr>
        <w:pBdr>
          <w:top w:val="nil"/>
          <w:left w:val="nil"/>
          <w:bottom w:val="nil"/>
          <w:right w:val="nil"/>
          <w:between w:val="nil"/>
        </w:pBdr>
        <w:spacing w:line="275" w:lineRule="auto"/>
        <w:ind w:left="567" w:right="-90" w:hanging="567"/>
        <w:jc w:val="both"/>
        <w:rPr>
          <w:color w:val="000000"/>
        </w:rPr>
      </w:pPr>
      <w:r>
        <w:rPr>
          <w:color w:val="000000"/>
        </w:rPr>
        <w:t>The Human Rights Committee should further clarify that legislation which permits the designation of associations or their information resources as “extremist” or “terrorist” or otherwise prohibited, without demonstrating that the association itself advocates, incites or engages in violence, is incompatible with Article 22. Criminal liability should not arise solely from establishing, joining, supporting or cooperating with an association that peacefully exercises rights protected under the Covenant.</w:t>
      </w:r>
    </w:p>
    <w:p w14:paraId="1C1C5C13" w14:textId="77777777" w:rsidR="00876586" w:rsidRDefault="00000000">
      <w:pPr>
        <w:numPr>
          <w:ilvl w:val="1"/>
          <w:numId w:val="1"/>
        </w:numPr>
        <w:pBdr>
          <w:top w:val="nil"/>
          <w:left w:val="nil"/>
          <w:bottom w:val="nil"/>
          <w:right w:val="nil"/>
          <w:between w:val="nil"/>
        </w:pBdr>
        <w:spacing w:line="275" w:lineRule="auto"/>
        <w:ind w:left="567" w:right="-90" w:hanging="567"/>
        <w:jc w:val="both"/>
        <w:rPr>
          <w:color w:val="000000"/>
        </w:rPr>
      </w:pPr>
      <w:r>
        <w:rPr>
          <w:color w:val="000000"/>
        </w:rPr>
        <w:t>States Parties should likewise refrain from criminalising participation in, financial support for, communication with or dissemination of materials produced by peaceful associations solely because they have been designated under legislation that fails to satisfy the requirements of legality, necessity and proportionality. Such measures produce a profound chilling effect on civil society and effectively eliminate the possibility of exercising freedom of association.</w:t>
      </w:r>
    </w:p>
    <w:p w14:paraId="0705148E" w14:textId="77777777" w:rsidR="00876586" w:rsidRDefault="00000000">
      <w:pPr>
        <w:numPr>
          <w:ilvl w:val="1"/>
          <w:numId w:val="1"/>
        </w:numPr>
        <w:pBdr>
          <w:top w:val="nil"/>
          <w:left w:val="nil"/>
          <w:bottom w:val="nil"/>
          <w:right w:val="nil"/>
          <w:between w:val="nil"/>
        </w:pBdr>
        <w:spacing w:line="275" w:lineRule="auto"/>
        <w:ind w:left="567" w:right="-90" w:hanging="567"/>
        <w:jc w:val="both"/>
        <w:rPr>
          <w:color w:val="000000"/>
        </w:rPr>
      </w:pPr>
      <w:r>
        <w:rPr>
          <w:color w:val="000000"/>
        </w:rPr>
        <w:t>Therefore, the BKDP respectfully suggest adding into the General Comment the following:</w:t>
      </w:r>
    </w:p>
    <w:p w14:paraId="68F24248" w14:textId="77777777" w:rsidR="00876586" w:rsidRDefault="00000000">
      <w:pPr>
        <w:pBdr>
          <w:top w:val="nil"/>
          <w:left w:val="nil"/>
          <w:bottom w:val="nil"/>
          <w:right w:val="nil"/>
          <w:between w:val="nil"/>
        </w:pBdr>
        <w:spacing w:line="275" w:lineRule="auto"/>
        <w:ind w:left="567" w:right="-90"/>
        <w:jc w:val="both"/>
        <w:rPr>
          <w:i/>
          <w:iCs/>
          <w:color w:val="000000"/>
        </w:rPr>
      </w:pPr>
      <w:r>
        <w:rPr>
          <w:color w:val="000000"/>
        </w:rPr>
        <w:t>“</w:t>
      </w:r>
      <w:r>
        <w:rPr>
          <w:i/>
          <w:iCs/>
          <w:color w:val="000000"/>
        </w:rPr>
        <w:t>States Parties should not employ legislation relating to extremism, terrorism, national security, public order or similar concepts to criminalise or otherwise suppress the legitimate activities of associations, including trade unions. The designation of associations, their members or their information resources as “extremist”, “terrorist” or otherwise prohibited must not be used to restrict activities protected by Article 22 solely because they criticise governmental policies, advocate legislative or institutional reform, cooperate with international organisations or otherwise peacefully exercise the rights guaranteed under the Covenant.</w:t>
      </w:r>
    </w:p>
    <w:p w14:paraId="30E5B4ED" w14:textId="77777777" w:rsidR="00876586" w:rsidRDefault="00000000">
      <w:pPr>
        <w:pBdr>
          <w:top w:val="nil"/>
          <w:left w:val="nil"/>
          <w:bottom w:val="nil"/>
          <w:right w:val="nil"/>
          <w:between w:val="nil"/>
        </w:pBdr>
        <w:spacing w:line="275" w:lineRule="auto"/>
        <w:ind w:left="567" w:right="-90"/>
        <w:jc w:val="both"/>
        <w:rPr>
          <w:i/>
          <w:iCs/>
          <w:color w:val="000000"/>
        </w:rPr>
      </w:pPr>
      <w:r>
        <w:rPr>
          <w:i/>
          <w:iCs/>
          <w:color w:val="000000"/>
        </w:rPr>
        <w:t>Legislation restricting freedom of association must be formulated with sufficient precision to enable individuals and associations to regulate their conduct accordingly. Laws employing vague or overly broad concepts, such as “extremism”, “threats to constitutional order” or “public security”, without adequate safeguards against arbitrary application, are incompatible with the principle of legality where they confer excessive discretion on public authorities to restrict the exercise of rights protected under Article 22.</w:t>
      </w:r>
    </w:p>
    <w:p w14:paraId="775AA9BB" w14:textId="77777777" w:rsidR="00876586" w:rsidRDefault="00000000">
      <w:pPr>
        <w:pBdr>
          <w:top w:val="nil"/>
          <w:left w:val="nil"/>
          <w:bottom w:val="nil"/>
          <w:right w:val="nil"/>
          <w:between w:val="nil"/>
        </w:pBdr>
        <w:spacing w:line="275" w:lineRule="auto"/>
        <w:ind w:left="567" w:right="-90"/>
        <w:jc w:val="both"/>
        <w:rPr>
          <w:b/>
          <w:bCs/>
          <w:color w:val="000000"/>
        </w:rPr>
      </w:pPr>
      <w:r>
        <w:rPr>
          <w:i/>
          <w:iCs/>
          <w:color w:val="000000"/>
        </w:rPr>
        <w:t>Criminal liability should not arise solely from establishing, joining, supporting, financing or participating in the activities of an association that peacefully exercises rights protected under the Covenant. Nor should individuals incur criminal or administrative liability solely for communicating with such associations, disseminating their publications, accessing or subscribing to their information resources, or otherwise engaging in activities protected under Article 22</w:t>
      </w:r>
      <w:r>
        <w:rPr>
          <w:color w:val="000000"/>
        </w:rPr>
        <w:t>.”.</w:t>
      </w:r>
    </w:p>
    <w:p w14:paraId="6C2E6FA1" w14:textId="77777777" w:rsidR="00876586" w:rsidRDefault="00876586">
      <w:pPr>
        <w:pBdr>
          <w:top w:val="nil"/>
          <w:left w:val="nil"/>
          <w:bottom w:val="nil"/>
          <w:right w:val="nil"/>
          <w:between w:val="nil"/>
        </w:pBdr>
        <w:spacing w:line="275" w:lineRule="auto"/>
        <w:ind w:left="567" w:right="-90"/>
        <w:jc w:val="both"/>
        <w:rPr>
          <w:color w:val="000000"/>
        </w:rPr>
      </w:pPr>
    </w:p>
    <w:p w14:paraId="4C7D67B4" w14:textId="77777777" w:rsidR="00876586" w:rsidRDefault="00000000">
      <w:pPr>
        <w:pStyle w:val="Heading1"/>
        <w:numPr>
          <w:ilvl w:val="0"/>
          <w:numId w:val="1"/>
        </w:numPr>
        <w:ind w:left="567" w:right="274" w:hanging="567"/>
        <w:jc w:val="left"/>
      </w:pPr>
      <w:r>
        <w:t>Right to communicate, including digital communications</w:t>
      </w:r>
    </w:p>
    <w:p w14:paraId="47F7FAFE" w14:textId="77777777" w:rsidR="00C27DE4" w:rsidRPr="00C27DE4" w:rsidRDefault="00C27DE4" w:rsidP="00C27DE4"/>
    <w:p w14:paraId="020033BE" w14:textId="77777777" w:rsidR="00876586" w:rsidRDefault="00000000">
      <w:pPr>
        <w:numPr>
          <w:ilvl w:val="1"/>
          <w:numId w:val="1"/>
        </w:numPr>
        <w:pBdr>
          <w:top w:val="nil"/>
          <w:left w:val="nil"/>
          <w:bottom w:val="nil"/>
          <w:right w:val="nil"/>
          <w:between w:val="nil"/>
        </w:pBdr>
        <w:ind w:left="567" w:hanging="567"/>
        <w:jc w:val="both"/>
      </w:pPr>
      <w:r>
        <w:rPr>
          <w:color w:val="000000"/>
        </w:rPr>
        <w:t>The current draft appropriately recognises the importance of access to resources and the enabling environment for associations. However, it does not sufficiently address the central role of digital communications in the effective exercise of freedom of association. In contemporary societies, associations - including trade unions - depend upon digital technologies as their primary means of organising, recruiting members, communicating internally and externally, disseminating information, coordinating activities and engaging with national and international partners.</w:t>
      </w:r>
    </w:p>
    <w:p w14:paraId="5CCDC136" w14:textId="77777777" w:rsidR="00876586" w:rsidRDefault="00000000">
      <w:pPr>
        <w:numPr>
          <w:ilvl w:val="1"/>
          <w:numId w:val="1"/>
        </w:numPr>
        <w:pBdr>
          <w:top w:val="nil"/>
          <w:left w:val="nil"/>
          <w:bottom w:val="nil"/>
          <w:right w:val="nil"/>
          <w:between w:val="nil"/>
        </w:pBdr>
        <w:ind w:left="567" w:hanging="567"/>
        <w:jc w:val="both"/>
      </w:pPr>
      <w:r>
        <w:rPr>
          <w:color w:val="000000"/>
        </w:rPr>
        <w:lastRenderedPageBreak/>
        <w:t>The right to freedom of association under Article 22 necessarily includes the right of associations to communicate freely through lawful means, including websites, electronic publications, social media platforms, encrypted messaging services, mailing lists, videoconferencing platforms and other digital communication tools. The protection afforded by Article 22 would be largely illusory if associations could formally exist while being deprived of any effective means of communicating with their members or the public.</w:t>
      </w:r>
    </w:p>
    <w:p w14:paraId="5C7A0F82" w14:textId="77777777" w:rsidR="00876586" w:rsidRDefault="00000000">
      <w:pPr>
        <w:numPr>
          <w:ilvl w:val="1"/>
          <w:numId w:val="1"/>
        </w:numPr>
        <w:pBdr>
          <w:top w:val="nil"/>
          <w:left w:val="nil"/>
          <w:bottom w:val="nil"/>
          <w:right w:val="nil"/>
          <w:between w:val="nil"/>
        </w:pBdr>
        <w:ind w:left="567" w:hanging="567"/>
        <w:jc w:val="both"/>
      </w:pPr>
      <w:r>
        <w:rPr>
          <w:color w:val="000000"/>
        </w:rPr>
        <w:t>Increasingly, States interfere with freedom of association not by formally prohibiting organisations, but by restricting their digital presence. Such measures include blocking websites, removing or restricting social media accounts, criminalising subscriptions to or dissemination of digital publications, prohibiting the display or distribution of online content, designating websites or social media channels as “extremist” or otherwise unlawful, and imposing criminal or administrative liability for ordinary forms of digital interaction with associations.</w:t>
      </w:r>
    </w:p>
    <w:p w14:paraId="51B1C55E" w14:textId="77777777" w:rsidR="00876586" w:rsidRDefault="00000000">
      <w:pPr>
        <w:numPr>
          <w:ilvl w:val="1"/>
          <w:numId w:val="1"/>
        </w:numPr>
        <w:pBdr>
          <w:top w:val="nil"/>
          <w:left w:val="nil"/>
          <w:bottom w:val="nil"/>
          <w:right w:val="nil"/>
          <w:between w:val="nil"/>
        </w:pBdr>
        <w:ind w:left="567" w:hanging="567"/>
        <w:jc w:val="both"/>
      </w:pPr>
      <w:r>
        <w:rPr>
          <w:color w:val="000000"/>
        </w:rPr>
        <w:t>These measures may effectively eliminate the practical possibility of exercising freedom of association even where the organisation itself has not formally been dissolved. The Committee should therefore clarify that interference with the digital communications of associations constitutes an interference with Article 22 and must satisfy the requirements of legality, legitimacy, necessity and proportionality under Article 22(2).</w:t>
      </w:r>
    </w:p>
    <w:p w14:paraId="2BED8A81" w14:textId="77777777" w:rsidR="00876586" w:rsidRDefault="00000000">
      <w:pPr>
        <w:numPr>
          <w:ilvl w:val="1"/>
          <w:numId w:val="1"/>
        </w:numPr>
        <w:pBdr>
          <w:top w:val="nil"/>
          <w:left w:val="nil"/>
          <w:bottom w:val="nil"/>
          <w:right w:val="nil"/>
          <w:between w:val="nil"/>
        </w:pBdr>
        <w:ind w:left="567" w:hanging="567"/>
        <w:jc w:val="both"/>
      </w:pPr>
      <w:r>
        <w:rPr>
          <w:color w:val="000000"/>
        </w:rPr>
        <w:t>The BKDP further submits that States Parties should not circumvent the guarantees of Article 22 by designating as extremist or otherwise unlawful the websites, social media accounts, electronic publications, communication platforms or other digital resources of associations where such measures effectively prevent associations from communicating with their members or the public or criminalise ordinary forms of interaction with them.</w:t>
      </w:r>
    </w:p>
    <w:p w14:paraId="52E74B28" w14:textId="77777777" w:rsidR="00876586" w:rsidRDefault="00000000">
      <w:pPr>
        <w:numPr>
          <w:ilvl w:val="1"/>
          <w:numId w:val="1"/>
        </w:numPr>
        <w:pBdr>
          <w:top w:val="nil"/>
          <w:left w:val="nil"/>
          <w:bottom w:val="nil"/>
          <w:right w:val="nil"/>
          <w:between w:val="nil"/>
        </w:pBdr>
        <w:ind w:left="567" w:hanging="567"/>
        <w:jc w:val="both"/>
      </w:pPr>
      <w:r>
        <w:rPr>
          <w:color w:val="000000"/>
        </w:rPr>
        <w:t>Therefore, the BKDP respectfully suggest adding into the General Comment the following:</w:t>
      </w:r>
    </w:p>
    <w:p w14:paraId="0E3B24A3" w14:textId="77777777" w:rsidR="00876586" w:rsidRDefault="00000000">
      <w:pPr>
        <w:pBdr>
          <w:top w:val="nil"/>
          <w:left w:val="nil"/>
          <w:bottom w:val="nil"/>
          <w:right w:val="nil"/>
          <w:between w:val="nil"/>
        </w:pBdr>
        <w:ind w:left="567"/>
        <w:jc w:val="both"/>
        <w:rPr>
          <w:i/>
          <w:iCs/>
          <w:color w:val="000000"/>
        </w:rPr>
      </w:pPr>
      <w:r>
        <w:rPr>
          <w:color w:val="000000"/>
        </w:rPr>
        <w:t>“</w:t>
      </w:r>
      <w:r>
        <w:rPr>
          <w:i/>
          <w:iCs/>
          <w:color w:val="000000"/>
        </w:rPr>
        <w:t>The right to freedom of association includes the right of associations to communicate internally and externally through all lawful means, including digital platforms, websites, electronic publications, social media services, encrypted communication applications and other digital technologies. States Parties should not arbitrarily restrict, block or otherwise interfere with such communications, except in accordance with the strict requirements of Article 22(2).</w:t>
      </w:r>
    </w:p>
    <w:p w14:paraId="0DF9324C" w14:textId="77777777" w:rsidR="00876586" w:rsidRDefault="00000000">
      <w:pPr>
        <w:pBdr>
          <w:top w:val="nil"/>
          <w:left w:val="nil"/>
          <w:bottom w:val="nil"/>
          <w:right w:val="nil"/>
          <w:between w:val="nil"/>
        </w:pBdr>
        <w:ind w:left="567"/>
        <w:jc w:val="both"/>
        <w:rPr>
          <w:b/>
          <w:bCs/>
          <w:i/>
          <w:iCs/>
          <w:color w:val="000000"/>
        </w:rPr>
      </w:pPr>
      <w:r>
        <w:rPr>
          <w:i/>
          <w:iCs/>
          <w:color w:val="000000"/>
        </w:rPr>
        <w:t>States Parties should not circumvent the guarantees of Article 22 by restricting or criminalising access to, communication with or dissemination of the digital resources of associations, including their websites, social media accounts, electronic publications or communication platforms. The designation of such resources as “extremist”, “terrorist” or otherwise unlawful solely because they facilitate the lawful activities of associations or enable individuals to exercise rights protected under the Covenant is incompatible with Article 22.</w:t>
      </w:r>
    </w:p>
    <w:p w14:paraId="2C0B401D" w14:textId="77777777" w:rsidR="00876586" w:rsidRDefault="00000000">
      <w:pPr>
        <w:pBdr>
          <w:top w:val="nil"/>
          <w:left w:val="nil"/>
          <w:bottom w:val="nil"/>
          <w:right w:val="nil"/>
          <w:between w:val="nil"/>
        </w:pBdr>
        <w:ind w:left="567"/>
        <w:jc w:val="both"/>
        <w:rPr>
          <w:color w:val="000000"/>
        </w:rPr>
      </w:pPr>
      <w:r>
        <w:rPr>
          <w:i/>
          <w:iCs/>
          <w:color w:val="000000"/>
        </w:rPr>
        <w:t>Individuals should not incur criminal or administrative liability solely for accessing, subscribing to, following, sharing or otherwise interacting with the digital communications of associations engaged in activities protected under the Covenant</w:t>
      </w:r>
      <w:r>
        <w:rPr>
          <w:color w:val="000000"/>
        </w:rPr>
        <w:t>.”.</w:t>
      </w:r>
    </w:p>
    <w:p w14:paraId="46A75C58" w14:textId="77777777" w:rsidR="00876586" w:rsidRDefault="00876586">
      <w:pPr>
        <w:pBdr>
          <w:top w:val="nil"/>
          <w:left w:val="nil"/>
          <w:bottom w:val="nil"/>
          <w:right w:val="nil"/>
          <w:between w:val="nil"/>
        </w:pBdr>
        <w:jc w:val="both"/>
        <w:rPr>
          <w:b/>
          <w:bCs/>
          <w:color w:val="000000"/>
        </w:rPr>
      </w:pPr>
    </w:p>
    <w:p w14:paraId="140DD7BA" w14:textId="5B7DD1EB" w:rsidR="00C27DE4" w:rsidRDefault="00000000" w:rsidP="00C27DE4">
      <w:pPr>
        <w:numPr>
          <w:ilvl w:val="0"/>
          <w:numId w:val="1"/>
        </w:numPr>
        <w:pBdr>
          <w:top w:val="nil"/>
          <w:left w:val="nil"/>
          <w:bottom w:val="nil"/>
          <w:right w:val="nil"/>
          <w:between w:val="nil"/>
        </w:pBdr>
        <w:ind w:left="567" w:hanging="567"/>
        <w:jc w:val="both"/>
        <w:rPr>
          <w:b/>
          <w:bCs/>
          <w:color w:val="000000"/>
        </w:rPr>
      </w:pPr>
      <w:r>
        <w:rPr>
          <w:b/>
          <w:bCs/>
          <w:color w:val="000000"/>
        </w:rPr>
        <w:t>Trade union rights, democracy and civil and political rights</w:t>
      </w:r>
    </w:p>
    <w:p w14:paraId="27D367B9" w14:textId="77777777" w:rsidR="00C27DE4" w:rsidRPr="00C27DE4" w:rsidRDefault="00C27DE4" w:rsidP="00C27DE4">
      <w:pPr>
        <w:pBdr>
          <w:top w:val="nil"/>
          <w:left w:val="nil"/>
          <w:bottom w:val="nil"/>
          <w:right w:val="nil"/>
          <w:between w:val="nil"/>
        </w:pBdr>
        <w:ind w:left="567"/>
        <w:jc w:val="both"/>
        <w:rPr>
          <w:b/>
          <w:bCs/>
          <w:color w:val="000000"/>
        </w:rPr>
      </w:pPr>
    </w:p>
    <w:p w14:paraId="7F809E64" w14:textId="77777777" w:rsidR="00876586" w:rsidRDefault="00000000">
      <w:pPr>
        <w:numPr>
          <w:ilvl w:val="1"/>
          <w:numId w:val="1"/>
        </w:numPr>
        <w:pBdr>
          <w:top w:val="nil"/>
          <w:left w:val="nil"/>
          <w:bottom w:val="nil"/>
          <w:right w:val="nil"/>
          <w:between w:val="nil"/>
        </w:pBdr>
        <w:ind w:left="567" w:hanging="567"/>
        <w:jc w:val="both"/>
      </w:pPr>
      <w:r>
        <w:rPr>
          <w:color w:val="000000"/>
        </w:rPr>
        <w:t>The BKDP strongly welcomes the recognition in the draft General Comment of the interdependence between trade union rights, democracy and civil and political rights (para. 22). However, this relationship should be further elaborated. Based on</w:t>
      </w:r>
      <w:r>
        <w:rPr>
          <w:b/>
          <w:bCs/>
          <w:color w:val="000000"/>
        </w:rPr>
        <w:t xml:space="preserve"> </w:t>
      </w:r>
      <w:r>
        <w:rPr>
          <w:color w:val="000000"/>
        </w:rPr>
        <w:t>the concept of the continuity and interdependence of human rights</w:t>
      </w:r>
      <w:r>
        <w:rPr>
          <w:color w:val="000000"/>
          <w:vertAlign w:val="superscript"/>
        </w:rPr>
        <w:footnoteReference w:id="3"/>
      </w:r>
      <w:r>
        <w:rPr>
          <w:color w:val="000000"/>
        </w:rPr>
        <w:t>, the protection afforded by Article 22 should expressly extend to the legitimate activities of trade unions aimed at safeguarding the democratic and institutional conditions necessary for the effective exercise of workers’ rights.</w:t>
      </w:r>
    </w:p>
    <w:p w14:paraId="04495BDE" w14:textId="77777777" w:rsidR="00876586" w:rsidRDefault="00000000">
      <w:pPr>
        <w:numPr>
          <w:ilvl w:val="1"/>
          <w:numId w:val="1"/>
        </w:numPr>
        <w:pBdr>
          <w:top w:val="nil"/>
          <w:left w:val="nil"/>
          <w:bottom w:val="nil"/>
          <w:right w:val="nil"/>
          <w:between w:val="nil"/>
        </w:pBdr>
        <w:ind w:left="567" w:hanging="567"/>
        <w:jc w:val="both"/>
        <w:rPr>
          <w:b/>
          <w:bCs/>
          <w:color w:val="000000"/>
        </w:rPr>
      </w:pPr>
      <w:r>
        <w:rPr>
          <w:color w:val="000000"/>
        </w:rPr>
        <w:t>Trade unions do not lose the protection of Article 22 merely because they advocate for the protection of democracy, the rule of law or civil and political rights. The representative mandate of trade unions cannot be artificially confined to collective bargaining, wages or working conditions where broader violations of human rights directly affect the ability of workers to organise, bargain collectively and defend their interests.</w:t>
      </w:r>
    </w:p>
    <w:p w14:paraId="0D55F897" w14:textId="77777777" w:rsidR="00876586" w:rsidRDefault="00000000">
      <w:pPr>
        <w:numPr>
          <w:ilvl w:val="1"/>
          <w:numId w:val="1"/>
        </w:numPr>
        <w:pBdr>
          <w:top w:val="nil"/>
          <w:left w:val="nil"/>
          <w:bottom w:val="nil"/>
          <w:right w:val="nil"/>
          <w:between w:val="nil"/>
        </w:pBdr>
        <w:ind w:left="567" w:hanging="567"/>
        <w:jc w:val="both"/>
        <w:rPr>
          <w:b/>
          <w:bCs/>
          <w:color w:val="000000"/>
        </w:rPr>
      </w:pPr>
      <w:r>
        <w:rPr>
          <w:color w:val="000000"/>
        </w:rPr>
        <w:t xml:space="preserve">The effective enjoyment of trade union rights depends upon respect for a broad range of civil and political rights, including freedom of expression, freedom of peaceful assembly, political participation, access to an independent and impartial judiciary, protection against arbitrary arrest or detention, and freedom from </w:t>
      </w:r>
      <w:r>
        <w:rPr>
          <w:color w:val="000000"/>
        </w:rPr>
        <w:lastRenderedPageBreak/>
        <w:t>torture and other serious human rights violations. The suppression of these rights inevitably undermines the effective exercise of freedom of association protected by Article 22.</w:t>
      </w:r>
    </w:p>
    <w:p w14:paraId="362E8163" w14:textId="77777777" w:rsidR="00876586" w:rsidRDefault="00000000">
      <w:pPr>
        <w:numPr>
          <w:ilvl w:val="1"/>
          <w:numId w:val="1"/>
        </w:numPr>
        <w:pBdr>
          <w:top w:val="nil"/>
          <w:left w:val="nil"/>
          <w:bottom w:val="nil"/>
          <w:right w:val="nil"/>
          <w:between w:val="nil"/>
        </w:pBdr>
        <w:ind w:left="567" w:hanging="567"/>
        <w:jc w:val="both"/>
        <w:rPr>
          <w:b/>
          <w:bCs/>
          <w:color w:val="000000"/>
        </w:rPr>
      </w:pPr>
      <w:r>
        <w:rPr>
          <w:color w:val="000000"/>
        </w:rPr>
        <w:t>Accordingly, trade unions should not be deprived of the protection of Article 22 solely because they advocate for democratic governance, free and genuine elections, judicial independence, accountability for serious human rights violations or compliance with international human rights obligations where such activities are undertaken for the protection of workers’ rights and interests.</w:t>
      </w:r>
    </w:p>
    <w:p w14:paraId="31268636" w14:textId="77777777" w:rsidR="00876586" w:rsidRDefault="00000000">
      <w:pPr>
        <w:numPr>
          <w:ilvl w:val="1"/>
          <w:numId w:val="1"/>
        </w:numPr>
        <w:pBdr>
          <w:top w:val="nil"/>
          <w:left w:val="nil"/>
          <w:bottom w:val="nil"/>
          <w:right w:val="nil"/>
          <w:between w:val="nil"/>
        </w:pBdr>
        <w:ind w:left="567" w:hanging="567"/>
        <w:jc w:val="both"/>
        <w:rPr>
          <w:b/>
          <w:bCs/>
          <w:color w:val="000000"/>
        </w:rPr>
      </w:pPr>
      <w:r>
        <w:rPr>
          <w:color w:val="000000"/>
        </w:rPr>
        <w:t>Workers are not merely economic actors but democratic citizens. The representative function of trade unions should therefore be interpreted in accordance with the principles of the universality, indivisibility, interdependence and interrelatedness of all human rights. The protection of workers’ economic and social interests cannot realistically be separated from the protection of the civil and political rights upon which those interests depend.</w:t>
      </w:r>
    </w:p>
    <w:p w14:paraId="2DF797E4" w14:textId="77777777" w:rsidR="00876586" w:rsidRDefault="00000000">
      <w:pPr>
        <w:numPr>
          <w:ilvl w:val="1"/>
          <w:numId w:val="1"/>
        </w:numPr>
        <w:pBdr>
          <w:top w:val="nil"/>
          <w:left w:val="nil"/>
          <w:bottom w:val="nil"/>
          <w:right w:val="nil"/>
          <w:between w:val="nil"/>
        </w:pBdr>
        <w:ind w:left="567" w:hanging="567"/>
        <w:jc w:val="both"/>
        <w:rPr>
          <w:b/>
          <w:bCs/>
          <w:color w:val="000000"/>
        </w:rPr>
      </w:pPr>
      <w:r>
        <w:rPr>
          <w:color w:val="000000"/>
        </w:rPr>
        <w:t>Trade unions constitute institutions of participatory democracy</w:t>
      </w:r>
      <w:r>
        <w:rPr>
          <w:color w:val="000000"/>
          <w:vertAlign w:val="superscript"/>
        </w:rPr>
        <w:footnoteReference w:id="4"/>
      </w:r>
      <w:r>
        <w:rPr>
          <w:color w:val="000000"/>
        </w:rPr>
        <w:t>. Their representative mandate therefore extends beyond traditional industrial relations and includes the legitimate representation of workers’ collective interests in matters affecting democratic governance, public institutions and the rule of law where these directly influence the enjoyment of labour rights and other rights protected by the Covenant.</w:t>
      </w:r>
    </w:p>
    <w:p w14:paraId="0E8ACA3E" w14:textId="77777777" w:rsidR="00876586" w:rsidRDefault="00000000">
      <w:pPr>
        <w:numPr>
          <w:ilvl w:val="1"/>
          <w:numId w:val="1"/>
        </w:numPr>
        <w:pBdr>
          <w:top w:val="nil"/>
          <w:left w:val="nil"/>
          <w:bottom w:val="nil"/>
          <w:right w:val="nil"/>
          <w:between w:val="nil"/>
        </w:pBdr>
        <w:ind w:left="567" w:hanging="567"/>
        <w:jc w:val="both"/>
        <w:rPr>
          <w:b/>
          <w:bCs/>
          <w:color w:val="000000"/>
        </w:rPr>
      </w:pPr>
      <w:r>
        <w:rPr>
          <w:color w:val="000000"/>
        </w:rPr>
        <w:t>This interpretation is consistent with Article 22 of the Covenant, the principle of the interdependence of all human rights, the ILO Constitution, the ILO Declaration on Social Justice for a Fair Globalization (2008)</w:t>
      </w:r>
      <w:r>
        <w:rPr>
          <w:color w:val="000000"/>
          <w:vertAlign w:val="superscript"/>
        </w:rPr>
        <w:footnoteReference w:id="5"/>
      </w:r>
      <w:r>
        <w:rPr>
          <w:color w:val="000000"/>
        </w:rPr>
        <w:t>, the ILO Declaration on Fundamental Principles and Rights at Work (2022)</w:t>
      </w:r>
      <w:r>
        <w:rPr>
          <w:color w:val="000000"/>
          <w:vertAlign w:val="superscript"/>
        </w:rPr>
        <w:footnoteReference w:id="6"/>
      </w:r>
      <w:r>
        <w:rPr>
          <w:color w:val="000000"/>
        </w:rPr>
        <w:t>, and the long-standing jurisprudence of the ILO supervisory bodies recognising that trade unions may legitimately express views on broader economic, social and public policies affecting workers</w:t>
      </w:r>
      <w:r>
        <w:rPr>
          <w:color w:val="000000"/>
          <w:vertAlign w:val="superscript"/>
        </w:rPr>
        <w:footnoteReference w:id="7"/>
      </w:r>
      <w:r>
        <w:rPr>
          <w:color w:val="000000"/>
        </w:rPr>
        <w:t>.</w:t>
      </w:r>
    </w:p>
    <w:p w14:paraId="7D7D59C7" w14:textId="77777777" w:rsidR="00876586" w:rsidRDefault="00000000">
      <w:pPr>
        <w:numPr>
          <w:ilvl w:val="1"/>
          <w:numId w:val="1"/>
        </w:numPr>
        <w:pBdr>
          <w:top w:val="nil"/>
          <w:left w:val="nil"/>
          <w:bottom w:val="nil"/>
          <w:right w:val="nil"/>
          <w:between w:val="nil"/>
        </w:pBdr>
        <w:ind w:left="567" w:hanging="567"/>
        <w:jc w:val="both"/>
        <w:rPr>
          <w:b/>
          <w:bCs/>
          <w:color w:val="000000"/>
        </w:rPr>
      </w:pPr>
      <w:r>
        <w:rPr>
          <w:color w:val="000000"/>
        </w:rPr>
        <w:t>The BKDP respectfully proposes that paragraph 22 of the draft General Comment be amended as follows:</w:t>
      </w:r>
    </w:p>
    <w:p w14:paraId="4CEA1C68" w14:textId="77777777" w:rsidR="00876586" w:rsidRDefault="00000000">
      <w:pPr>
        <w:pBdr>
          <w:top w:val="nil"/>
          <w:left w:val="nil"/>
          <w:bottom w:val="nil"/>
          <w:right w:val="nil"/>
          <w:between w:val="nil"/>
        </w:pBdr>
        <w:ind w:left="567"/>
        <w:jc w:val="both"/>
        <w:rPr>
          <w:color w:val="000000"/>
        </w:rPr>
      </w:pPr>
      <w:r>
        <w:rPr>
          <w:color w:val="000000"/>
        </w:rPr>
        <w:t>“22.</w:t>
      </w:r>
      <w:r>
        <w:rPr>
          <w:color w:val="000000"/>
        </w:rPr>
        <w:tab/>
      </w:r>
      <w:r>
        <w:rPr>
          <w:i/>
          <w:iCs/>
          <w:color w:val="000000"/>
        </w:rPr>
        <w:t>The protection afforded by Article 22 extends to the full range of legitimate activities of trade unions undertaken for the protection of workers’ interests. Such activities are not limited to collective bargaining or workplace issues but may include advocacy concerning legislation, public policy, democratic institutions, the rule of law and respect for human rights where the absence of democratic governance or respect for fundamental human rights renders the effective protection of workers’ occupational, economic and social interests impossible. Trade unions should not be deprived of the protection of Article 22 solely because they advocate for the protection of civil and political rights, democratic governance, free and genuine elections, judicial independence, accountability for serious human rights violations or compliance with international human rights obligations. The Committee recalls that the effective exercise of freedom of association depends upon an environment in which the rights guaranteed by Articles 19, 21, 22 and 25 of the Covenant are fully respected. Workers are not merely economic actors but democratic citizens, and trade unions are institutions of participatory democracy whose representative mandate should be interpreted consistently with the principles of the universality, indivisibility, interdependence and interrelatedness of all human rights.</w:t>
      </w:r>
      <w:r>
        <w:rPr>
          <w:color w:val="000000"/>
        </w:rPr>
        <w:t xml:space="preserve"> </w:t>
      </w:r>
      <w:r>
        <w:rPr>
          <w:i/>
          <w:iCs/>
          <w:color w:val="000000"/>
        </w:rPr>
        <w:t>Similarly, trade union pluralism is a structural component of democratic pluralism.</w:t>
      </w:r>
      <w:r>
        <w:rPr>
          <w:color w:val="000000"/>
        </w:rPr>
        <w:t>”.</w:t>
      </w:r>
    </w:p>
    <w:p w14:paraId="4C509806" w14:textId="77777777" w:rsidR="00876586" w:rsidRDefault="00876586">
      <w:pPr>
        <w:pBdr>
          <w:top w:val="nil"/>
          <w:left w:val="nil"/>
          <w:bottom w:val="nil"/>
          <w:right w:val="nil"/>
          <w:between w:val="nil"/>
        </w:pBdr>
        <w:ind w:left="567"/>
        <w:jc w:val="both"/>
        <w:rPr>
          <w:color w:val="000000"/>
        </w:rPr>
      </w:pPr>
    </w:p>
    <w:p w14:paraId="027401C6" w14:textId="44726F1C" w:rsidR="00C27DE4" w:rsidRDefault="00000000" w:rsidP="00C27DE4">
      <w:pPr>
        <w:numPr>
          <w:ilvl w:val="0"/>
          <w:numId w:val="1"/>
        </w:numPr>
        <w:pBdr>
          <w:top w:val="nil"/>
          <w:left w:val="nil"/>
          <w:bottom w:val="nil"/>
          <w:right w:val="nil"/>
          <w:between w:val="nil"/>
        </w:pBdr>
        <w:ind w:left="567" w:hanging="567"/>
        <w:jc w:val="both"/>
        <w:rPr>
          <w:b/>
          <w:bCs/>
          <w:color w:val="000000"/>
        </w:rPr>
      </w:pPr>
      <w:r>
        <w:rPr>
          <w:b/>
          <w:bCs/>
          <w:color w:val="000000"/>
        </w:rPr>
        <w:t>Chilling effect and indirect interference with freedom of association</w:t>
      </w:r>
    </w:p>
    <w:p w14:paraId="406E45F9" w14:textId="77777777" w:rsidR="00C27DE4" w:rsidRPr="00C27DE4" w:rsidRDefault="00C27DE4" w:rsidP="00C27DE4">
      <w:pPr>
        <w:pBdr>
          <w:top w:val="nil"/>
          <w:left w:val="nil"/>
          <w:bottom w:val="nil"/>
          <w:right w:val="nil"/>
          <w:between w:val="nil"/>
        </w:pBdr>
        <w:ind w:left="567"/>
        <w:jc w:val="both"/>
        <w:rPr>
          <w:b/>
          <w:bCs/>
          <w:color w:val="000000"/>
        </w:rPr>
      </w:pPr>
    </w:p>
    <w:p w14:paraId="4D7044F6" w14:textId="77777777" w:rsidR="00876586" w:rsidRDefault="00000000">
      <w:pPr>
        <w:numPr>
          <w:ilvl w:val="1"/>
          <w:numId w:val="1"/>
        </w:numPr>
        <w:pBdr>
          <w:top w:val="nil"/>
          <w:left w:val="nil"/>
          <w:bottom w:val="nil"/>
          <w:right w:val="nil"/>
          <w:between w:val="nil"/>
        </w:pBdr>
        <w:ind w:left="567" w:hanging="567"/>
        <w:jc w:val="both"/>
      </w:pPr>
      <w:r>
        <w:rPr>
          <w:color w:val="000000"/>
        </w:rPr>
        <w:t>The BKDP welcomes the Committee’s emphasis on the strict requirements governing restrictions under Article 22(2). However, the draft General Comment does not sufficiently address situations in which States discourage the exercise of freedom of association through indirect measures that create a credible risk of adverse consequences rather than through formal prohibitions.</w:t>
      </w:r>
    </w:p>
    <w:p w14:paraId="671273F9" w14:textId="77777777" w:rsidR="00876586" w:rsidRDefault="00000000">
      <w:pPr>
        <w:numPr>
          <w:ilvl w:val="1"/>
          <w:numId w:val="1"/>
        </w:numPr>
        <w:pBdr>
          <w:top w:val="nil"/>
          <w:left w:val="nil"/>
          <w:bottom w:val="nil"/>
          <w:right w:val="nil"/>
          <w:between w:val="nil"/>
        </w:pBdr>
        <w:ind w:left="567" w:hanging="567"/>
        <w:jc w:val="both"/>
      </w:pPr>
      <w:r>
        <w:rPr>
          <w:color w:val="000000"/>
        </w:rPr>
        <w:t xml:space="preserve">Contemporary restrictions on freedom of association increasingly rely on deterrence rather than outright prohibition. States may refrain from formally banning associations while creating legal and practical conditions that discourage individuals from establishing, joining or participating in them. Such measures may include broad criminal legislation, arbitrary administrative sanctions, surveillance, public </w:t>
      </w:r>
      <w:r>
        <w:rPr>
          <w:color w:val="000000"/>
        </w:rPr>
        <w:lastRenderedPageBreak/>
        <w:t>stigmatisation, employment-related reprisals, excessive inspections, discriminatory registration requirements, restrictions on access to funding, or other forms of pressure that generate a well-founded fear of adverse consequences.</w:t>
      </w:r>
    </w:p>
    <w:p w14:paraId="49F7F2CB" w14:textId="77777777" w:rsidR="00876586" w:rsidRDefault="00000000">
      <w:pPr>
        <w:numPr>
          <w:ilvl w:val="1"/>
          <w:numId w:val="1"/>
        </w:numPr>
        <w:pBdr>
          <w:top w:val="nil"/>
          <w:left w:val="nil"/>
          <w:bottom w:val="nil"/>
          <w:right w:val="nil"/>
          <w:between w:val="nil"/>
        </w:pBdr>
        <w:ind w:left="567" w:hanging="567"/>
        <w:jc w:val="both"/>
      </w:pPr>
      <w:r>
        <w:rPr>
          <w:color w:val="000000"/>
        </w:rPr>
        <w:t>The cumulative effect of such measures may substantially impair the effective exercise of freedom of association even where individual measures, viewed in isolation, appear lawful or relatively limited. The Committee should therefore expressly recognise that Article 22 protects against both direct and indirect forms of interference capable of discouraging individuals from exercising their freedom of association.</w:t>
      </w:r>
    </w:p>
    <w:p w14:paraId="482A3FB2" w14:textId="77777777" w:rsidR="00876586" w:rsidRDefault="00000000">
      <w:pPr>
        <w:numPr>
          <w:ilvl w:val="1"/>
          <w:numId w:val="1"/>
        </w:numPr>
        <w:pBdr>
          <w:top w:val="nil"/>
          <w:left w:val="nil"/>
          <w:bottom w:val="nil"/>
          <w:right w:val="nil"/>
          <w:between w:val="nil"/>
        </w:pBdr>
        <w:ind w:left="567" w:hanging="567"/>
        <w:jc w:val="both"/>
      </w:pPr>
      <w:r>
        <w:rPr>
          <w:color w:val="000000"/>
        </w:rPr>
        <w:t>In assessing whether an interference complies with Article 22, the Committee should take into account not only the legal nature of individual measures but also their practical consequences and cumulative impact on the willingness of individuals to establish, join, support or participate in associations. A legal framework that creates a credible risk of criminal prosecution, administrative liability, dismissal from employment, professional disqualification, loss of social benefits, financial penalties, surveillance or other reprisals may produce a chilling effect incompatible with Article 22 even where such sanctions are not systematically imposed.</w:t>
      </w:r>
    </w:p>
    <w:p w14:paraId="17DA635D" w14:textId="77777777" w:rsidR="00876586" w:rsidRDefault="00000000">
      <w:pPr>
        <w:numPr>
          <w:ilvl w:val="1"/>
          <w:numId w:val="1"/>
        </w:numPr>
        <w:pBdr>
          <w:top w:val="nil"/>
          <w:left w:val="nil"/>
          <w:bottom w:val="nil"/>
          <w:right w:val="nil"/>
          <w:between w:val="nil"/>
        </w:pBdr>
        <w:ind w:left="567" w:hanging="567"/>
        <w:jc w:val="both"/>
      </w:pPr>
      <w:r>
        <w:rPr>
          <w:color w:val="000000"/>
        </w:rPr>
        <w:t>The chilling effect may be particularly severe where States employ vague legislation on extremism, terrorism, national security or public order, maintain extensive systems of surveillance of civil society organisations, publicly stigmatise members of associations, or impose cumulative legal and administrative burdens that deter individuals from exercising rights protected under the Covenant.</w:t>
      </w:r>
    </w:p>
    <w:p w14:paraId="30229624" w14:textId="77777777" w:rsidR="00876586" w:rsidRDefault="00000000">
      <w:pPr>
        <w:numPr>
          <w:ilvl w:val="1"/>
          <w:numId w:val="1"/>
        </w:numPr>
        <w:pBdr>
          <w:top w:val="nil"/>
          <w:left w:val="nil"/>
          <w:bottom w:val="nil"/>
          <w:right w:val="nil"/>
          <w:between w:val="nil"/>
        </w:pBdr>
        <w:ind w:left="567" w:hanging="567"/>
        <w:jc w:val="both"/>
      </w:pPr>
      <w:r>
        <w:rPr>
          <w:color w:val="000000"/>
        </w:rPr>
        <w:t>The Committee should also clarify that the chilling effect extends beyond members of associations themselves. Measures directed against leaders, lawyers, journalists, family members, donors, employers, service providers or other persons associated with civil society organisations may equally discourage the exercise of freedom of association and should therefore be taken into account when assessing compliance with Article 22.</w:t>
      </w:r>
    </w:p>
    <w:p w14:paraId="39E6B520" w14:textId="77777777" w:rsidR="00876586" w:rsidRDefault="00000000">
      <w:pPr>
        <w:numPr>
          <w:ilvl w:val="1"/>
          <w:numId w:val="1"/>
        </w:numPr>
        <w:pBdr>
          <w:top w:val="nil"/>
          <w:left w:val="nil"/>
          <w:bottom w:val="nil"/>
          <w:right w:val="nil"/>
          <w:between w:val="nil"/>
        </w:pBdr>
        <w:ind w:left="567" w:hanging="567"/>
        <w:jc w:val="both"/>
      </w:pPr>
      <w:r>
        <w:rPr>
          <w:color w:val="000000"/>
        </w:rPr>
        <w:t>Therefore, the BKDP respectfully suggest adding into the General Comment the following:</w:t>
      </w:r>
    </w:p>
    <w:p w14:paraId="62BF627E" w14:textId="77777777" w:rsidR="00876586" w:rsidRDefault="00000000">
      <w:pPr>
        <w:pBdr>
          <w:top w:val="nil"/>
          <w:left w:val="nil"/>
          <w:bottom w:val="nil"/>
          <w:right w:val="nil"/>
          <w:between w:val="nil"/>
        </w:pBdr>
        <w:ind w:left="567"/>
        <w:jc w:val="both"/>
        <w:rPr>
          <w:i/>
          <w:iCs/>
          <w:color w:val="000000"/>
        </w:rPr>
      </w:pPr>
      <w:r>
        <w:rPr>
          <w:i/>
          <w:iCs/>
          <w:color w:val="000000"/>
        </w:rPr>
        <w:t>“In assessing compliance with Article 22, the Committee will take into account not only direct restrictions on freedom of association but also measures that produce a chilling effect on the exercise of that right. States Parties should refrain from adopting or maintaining legal or administrative frameworks that create a credible risk of criminal prosecution, administrative sanctions, dismissal from employment, professional or social consequences, financial penalties, surveillance or other reprisals capable of discouraging individuals from establishing, joining, supporting or participating in associations protected under the Covenant.</w:t>
      </w:r>
    </w:p>
    <w:p w14:paraId="63325BC1" w14:textId="77777777" w:rsidR="00876586" w:rsidRDefault="00000000">
      <w:pPr>
        <w:pBdr>
          <w:top w:val="nil"/>
          <w:left w:val="nil"/>
          <w:bottom w:val="nil"/>
          <w:right w:val="nil"/>
          <w:between w:val="nil"/>
        </w:pBdr>
        <w:ind w:left="567"/>
        <w:jc w:val="both"/>
        <w:rPr>
          <w:i/>
          <w:iCs/>
          <w:color w:val="000000"/>
        </w:rPr>
      </w:pPr>
      <w:r>
        <w:rPr>
          <w:i/>
          <w:iCs/>
          <w:color w:val="000000"/>
        </w:rPr>
        <w:t>The Committee recalls that a chilling effect may arise even where sanctions are imposed only selectively or against a limited number of individuals. The selective application of criminal, administrative or regulatory measures may nevertheless create a widespread and objectively justified fear that discourages others from exercising their rights under Article 22.</w:t>
      </w:r>
    </w:p>
    <w:p w14:paraId="1DF6EF1B" w14:textId="77777777" w:rsidR="00876586" w:rsidRDefault="00000000">
      <w:pPr>
        <w:pBdr>
          <w:top w:val="nil"/>
          <w:left w:val="nil"/>
          <w:bottom w:val="nil"/>
          <w:right w:val="nil"/>
          <w:between w:val="nil"/>
        </w:pBdr>
        <w:ind w:left="567"/>
        <w:jc w:val="both"/>
        <w:rPr>
          <w:i/>
          <w:iCs/>
          <w:color w:val="000000"/>
        </w:rPr>
      </w:pPr>
      <w:r>
        <w:rPr>
          <w:i/>
          <w:iCs/>
          <w:color w:val="000000"/>
        </w:rPr>
        <w:t>The assessment of compatibility with Article 22 should take into account the cumulative effect of legislative, administrative and practical measures. Restrictions that, individually or collectively, deter the exercise of freedom of association or create a climate of fear or uncertainty incompatible with the free exercise of Article 22 rights may constitute an interference with the Covenant even where an association has not been formally prohibited or dissolved.”</w:t>
      </w:r>
    </w:p>
    <w:p w14:paraId="41F276D8" w14:textId="77777777" w:rsidR="00C27DE4" w:rsidRDefault="00C27DE4">
      <w:pPr>
        <w:pBdr>
          <w:top w:val="nil"/>
          <w:left w:val="nil"/>
          <w:bottom w:val="nil"/>
          <w:right w:val="nil"/>
          <w:between w:val="nil"/>
        </w:pBdr>
        <w:ind w:left="567"/>
        <w:jc w:val="both"/>
        <w:rPr>
          <w:i/>
          <w:iCs/>
          <w:color w:val="000000"/>
        </w:rPr>
      </w:pPr>
    </w:p>
    <w:p w14:paraId="253F992E" w14:textId="77777777" w:rsidR="00876586" w:rsidRDefault="00876586">
      <w:pPr>
        <w:pBdr>
          <w:top w:val="nil"/>
          <w:left w:val="nil"/>
          <w:bottom w:val="nil"/>
          <w:right w:val="nil"/>
          <w:between w:val="nil"/>
        </w:pBdr>
        <w:ind w:left="567"/>
        <w:jc w:val="both"/>
        <w:rPr>
          <w:i/>
          <w:iCs/>
          <w:color w:val="000000"/>
        </w:rPr>
      </w:pPr>
    </w:p>
    <w:p w14:paraId="36835B22" w14:textId="2ABB7E88" w:rsidR="00876586" w:rsidRPr="00C27DE4" w:rsidRDefault="00000000" w:rsidP="00C27DE4">
      <w:pPr>
        <w:pStyle w:val="ListParagraph"/>
        <w:numPr>
          <w:ilvl w:val="0"/>
          <w:numId w:val="1"/>
        </w:numPr>
        <w:pBdr>
          <w:top w:val="nil"/>
          <w:left w:val="nil"/>
          <w:bottom w:val="nil"/>
          <w:right w:val="nil"/>
          <w:between w:val="nil"/>
        </w:pBdr>
        <w:jc w:val="both"/>
        <w:rPr>
          <w:b/>
          <w:bCs/>
          <w:color w:val="000000"/>
        </w:rPr>
      </w:pPr>
      <w:r w:rsidRPr="00C27DE4">
        <w:rPr>
          <w:b/>
          <w:bCs/>
          <w:color w:val="000000"/>
        </w:rPr>
        <w:t>Access to funding and financial sustainability of associations</w:t>
      </w:r>
    </w:p>
    <w:p w14:paraId="68F8C571" w14:textId="77777777" w:rsidR="00C27DE4" w:rsidRPr="00C27DE4" w:rsidRDefault="00C27DE4" w:rsidP="00C27DE4">
      <w:pPr>
        <w:pStyle w:val="ListParagraph"/>
        <w:pBdr>
          <w:top w:val="nil"/>
          <w:left w:val="nil"/>
          <w:bottom w:val="nil"/>
          <w:right w:val="nil"/>
          <w:between w:val="nil"/>
        </w:pBdr>
        <w:ind w:left="927"/>
        <w:jc w:val="both"/>
        <w:rPr>
          <w:b/>
          <w:bCs/>
          <w:color w:val="000000"/>
        </w:rPr>
      </w:pPr>
    </w:p>
    <w:p w14:paraId="684BF1AE" w14:textId="77777777" w:rsidR="00876586" w:rsidRDefault="00000000">
      <w:pPr>
        <w:ind w:left="567" w:hanging="567"/>
        <w:jc w:val="both"/>
      </w:pPr>
      <w:r>
        <w:rPr>
          <w:b/>
          <w:bCs/>
        </w:rPr>
        <w:t>9.1.</w:t>
      </w:r>
      <w:r>
        <w:tab/>
        <w:t>The draft General Comment correctly recognises the importance of access to resources for the effective exercise of freedom of association. However, the BKDP respectfully submits that the General Comment should more explicitly recognise that the ability of associations to seek, receive, manage and use resources constitutes an integral component of Article 22 rather than merely a facilitating condition for the exercise of that right.</w:t>
      </w:r>
    </w:p>
    <w:p w14:paraId="4483813E" w14:textId="77777777" w:rsidR="00876586" w:rsidRDefault="00000000">
      <w:pPr>
        <w:ind w:left="567" w:hanging="567"/>
        <w:jc w:val="both"/>
      </w:pPr>
      <w:r>
        <w:rPr>
          <w:b/>
          <w:bCs/>
        </w:rPr>
        <w:t>9.2.</w:t>
      </w:r>
      <w:r>
        <w:tab/>
        <w:t xml:space="preserve">In contemporary practice, States increasingly interfere with freedom of association through indirect financial restrictions rather than outright prohibition or dissolution of organisations. Such restrictions may include limitations on access to domestic or foreign funding, discriminatory taxation, burdensome reporting obligations, excessive accounting and auditing requirements, compulsory prior authorisations, arbitrary financial inspections, restrictions on banking services, obstacles to receiving grants or donations, and other administrative measures that substantially impair the financial viability of associations. In some jurisdictions, formal or technical non-compliance with legislation regulating foreign funding or foreign </w:t>
      </w:r>
      <w:r>
        <w:lastRenderedPageBreak/>
        <w:t>assistance may itself constitute grounds for the suspension, deregistration or dissolution of associations, irrespective of whether the alleged violation has caused any material harm or created a genuine risk to any of the legitimate interests recognised under Article 22(2). Such sanctions are generally disproportionate where they are imposed solely for administrative or procedural irregularities and effectively deprive associations of the possibility of continuing their lawful activities.</w:t>
      </w:r>
    </w:p>
    <w:p w14:paraId="040209FC" w14:textId="77777777" w:rsidR="00876586" w:rsidRDefault="00000000">
      <w:pPr>
        <w:ind w:left="567" w:hanging="567"/>
        <w:jc w:val="both"/>
      </w:pPr>
      <w:r>
        <w:rPr>
          <w:b/>
          <w:bCs/>
        </w:rPr>
        <w:t>9.3.</w:t>
      </w:r>
      <w:r>
        <w:rPr>
          <w:b/>
          <w:bCs/>
        </w:rPr>
        <w:tab/>
      </w:r>
      <w:r>
        <w:t>Financial restrictions may have the same practical effect as the formal prohibition of an association. An organisation that is deprived of the ability to obtain or use financial, material or technical resources cannot effectively recruit members, employ staff, maintain premises, communicate with the public, provide services or pursue its legitimate objectives. The Committee should therefore recognise that indirect financial restrictions constitute an interference with Article 22 and must satisfy the strict requirements of Article 22(2).</w:t>
      </w:r>
    </w:p>
    <w:p w14:paraId="5D45AF95" w14:textId="77777777" w:rsidR="00876586" w:rsidRDefault="00000000">
      <w:pPr>
        <w:ind w:left="567" w:hanging="567"/>
        <w:jc w:val="both"/>
      </w:pPr>
      <w:r>
        <w:rPr>
          <w:b/>
          <w:bCs/>
        </w:rPr>
        <w:t>9.4.</w:t>
      </w:r>
      <w:r>
        <w:tab/>
        <w:t>Particular scrutiny should be applied to restrictions specifically targeting funding from foreign or international sources. Associations should not be subjected to discriminatory treatment solely because they receive financial, technical or material support from international organisations, foreign donors or partner organisations. International cooperation, including through financial assistance, constitutes an essential component of the freedom of association protected by Article 22.</w:t>
      </w:r>
    </w:p>
    <w:p w14:paraId="556DD952" w14:textId="77777777" w:rsidR="00876586" w:rsidRDefault="00000000">
      <w:pPr>
        <w:ind w:left="567" w:hanging="567"/>
        <w:jc w:val="both"/>
      </w:pPr>
      <w:r>
        <w:rPr>
          <w:b/>
          <w:bCs/>
        </w:rPr>
        <w:t>9.5.</w:t>
      </w:r>
      <w:r>
        <w:rPr>
          <w:b/>
          <w:bCs/>
        </w:rPr>
        <w:tab/>
      </w:r>
      <w:r>
        <w:t>The Committee should further clarify that financial regulation must not be used to circumvent the guarantees of Article 22. Requirements concerning registration, reporting, accounting, auditing, taxation or financial oversight must pursue a legitimate aim, be prescribed by law, and remain necessary and proportionate. Administrative requirements should not be so burdensome, costly or complex as to render the effective operation of associations impossible or excessively difficult.</w:t>
      </w:r>
    </w:p>
    <w:p w14:paraId="7236F1BB" w14:textId="77777777" w:rsidR="00876586" w:rsidRDefault="00000000">
      <w:pPr>
        <w:ind w:left="567" w:hanging="567"/>
        <w:jc w:val="both"/>
      </w:pPr>
      <w:r>
        <w:rPr>
          <w:b/>
          <w:bCs/>
        </w:rPr>
        <w:t>9.6.</w:t>
      </w:r>
      <w:r>
        <w:tab/>
        <w:t>The cumulative effect of financial restrictions should also be taken into account. Even where individual measures appear neutral or proportionate when considered separately, their combined operation may deprive associations of the practical ability to function and therefore amount to an unjustified interference with Article 22.</w:t>
      </w:r>
    </w:p>
    <w:p w14:paraId="40E4960F" w14:textId="77777777" w:rsidR="00876586" w:rsidRDefault="00000000">
      <w:pPr>
        <w:ind w:left="567" w:hanging="567"/>
        <w:jc w:val="both"/>
      </w:pPr>
      <w:r>
        <w:rPr>
          <w:b/>
          <w:bCs/>
        </w:rPr>
        <w:t>9.7</w:t>
      </w:r>
      <w:r>
        <w:t>.</w:t>
      </w:r>
      <w:r>
        <w:tab/>
        <w:t>Therefore, the BKDP respectfully suggest adding into the General Comment the following:</w:t>
      </w:r>
    </w:p>
    <w:p w14:paraId="1C5D9258" w14:textId="77777777" w:rsidR="00876586" w:rsidRDefault="00000000">
      <w:pPr>
        <w:pBdr>
          <w:top w:val="nil"/>
          <w:left w:val="nil"/>
          <w:bottom w:val="nil"/>
          <w:right w:val="nil"/>
          <w:between w:val="nil"/>
        </w:pBdr>
        <w:ind w:left="567"/>
        <w:jc w:val="both"/>
        <w:rPr>
          <w:i/>
          <w:iCs/>
          <w:color w:val="000000"/>
        </w:rPr>
      </w:pPr>
      <w:r>
        <w:rPr>
          <w:color w:val="000000"/>
        </w:rPr>
        <w:t>“</w:t>
      </w:r>
      <w:r>
        <w:rPr>
          <w:i/>
          <w:iCs/>
          <w:color w:val="000000"/>
        </w:rPr>
        <w:t>The ability of associations to seek, receive, manage and use financial, material and technical resources from domestic, foreign and international sources forms an integral component of the right to freedom of association protected by Article 22. Restrictions on access to resources therefore constitute an interference with Article 22 and must comply with the requirements of Article 22(2).</w:t>
      </w:r>
    </w:p>
    <w:p w14:paraId="4CC40C17" w14:textId="77777777" w:rsidR="00876586" w:rsidRDefault="00000000">
      <w:pPr>
        <w:pBdr>
          <w:top w:val="nil"/>
          <w:left w:val="nil"/>
          <w:bottom w:val="nil"/>
          <w:right w:val="nil"/>
          <w:between w:val="nil"/>
        </w:pBdr>
        <w:ind w:left="567"/>
        <w:jc w:val="both"/>
        <w:rPr>
          <w:i/>
          <w:iCs/>
          <w:color w:val="000000"/>
        </w:rPr>
      </w:pPr>
      <w:r>
        <w:rPr>
          <w:i/>
          <w:iCs/>
          <w:color w:val="000000"/>
        </w:rPr>
        <w:t>States Parties should not impose restrictions or sanctions that directly or indirectly render the operation of associations financially impossible or excessively difficult. Measures such as discriminatory restrictions on domestic or foreign funding, burdensome reporting obligations, excessive accounting or auditing requirements, arbitrary financial inspections, compulsory prior authorisations, restrictions on banking services, discriminatory taxation or other administrative controls require particularly compelling justification under Article 22(2).</w:t>
      </w:r>
    </w:p>
    <w:p w14:paraId="1810AB32" w14:textId="77777777" w:rsidR="00876586" w:rsidRDefault="00000000">
      <w:pPr>
        <w:pBdr>
          <w:top w:val="nil"/>
          <w:left w:val="nil"/>
          <w:bottom w:val="nil"/>
          <w:right w:val="nil"/>
          <w:between w:val="nil"/>
        </w:pBdr>
        <w:ind w:left="567"/>
        <w:jc w:val="both"/>
        <w:rPr>
          <w:i/>
          <w:iCs/>
          <w:color w:val="000000"/>
        </w:rPr>
      </w:pPr>
      <w:r>
        <w:rPr>
          <w:i/>
          <w:iCs/>
          <w:color w:val="000000"/>
        </w:rPr>
        <w:t>States Parties should not employ legislation regulating foreign funding or foreign assistance as a means of restricting, suspending or dissolving associations. Formal or technical non-compliance with reporting, registration, accounting or other administrative requirements governing access to domestic, foreign or international funding should not, in itself, constitute grounds for the suspension, deregistration or dissolution of an association or other sanctions that effectively prevent it from carrying out its lawful activities.</w:t>
      </w:r>
    </w:p>
    <w:p w14:paraId="528452A9" w14:textId="77777777" w:rsidR="00876586" w:rsidRDefault="00000000">
      <w:pPr>
        <w:pBdr>
          <w:top w:val="nil"/>
          <w:left w:val="nil"/>
          <w:bottom w:val="nil"/>
          <w:right w:val="nil"/>
          <w:between w:val="nil"/>
        </w:pBdr>
        <w:ind w:left="567"/>
        <w:jc w:val="both"/>
        <w:rPr>
          <w:i/>
          <w:iCs/>
          <w:color w:val="000000"/>
        </w:rPr>
      </w:pPr>
      <w:r>
        <w:rPr>
          <w:i/>
          <w:iCs/>
          <w:color w:val="000000"/>
        </w:rPr>
        <w:t>Associations should not be subjected to adverse legal or administrative consequences solely because they seek, receive or use financial, material or technical assistance from foreign or international sources. Nor should States Parties employ financial regulation as a means of circumventing the guarantees of Article 22 by preventing associations from carrying out their legitimate activities in practice.</w:t>
      </w:r>
    </w:p>
    <w:p w14:paraId="396411C2" w14:textId="77777777" w:rsidR="00876586" w:rsidRDefault="00000000">
      <w:pPr>
        <w:pBdr>
          <w:top w:val="nil"/>
          <w:left w:val="nil"/>
          <w:bottom w:val="nil"/>
          <w:right w:val="nil"/>
          <w:between w:val="nil"/>
        </w:pBdr>
        <w:ind w:left="567"/>
        <w:jc w:val="both"/>
        <w:rPr>
          <w:color w:val="000000"/>
        </w:rPr>
      </w:pPr>
      <w:r>
        <w:rPr>
          <w:i/>
          <w:iCs/>
          <w:color w:val="000000"/>
        </w:rPr>
        <w:t>In assessing compatibility with Article 22, the cumulative impact of financial and administrative measures on the practical ability of associations to operate effectively should be taking into account.</w:t>
      </w:r>
      <w:r>
        <w:rPr>
          <w:color w:val="000000"/>
        </w:rPr>
        <w:t>”.</w:t>
      </w:r>
    </w:p>
    <w:p w14:paraId="4F0A1CB0" w14:textId="77777777" w:rsidR="00876586" w:rsidRDefault="00876586">
      <w:pPr>
        <w:pBdr>
          <w:top w:val="nil"/>
          <w:left w:val="nil"/>
          <w:bottom w:val="nil"/>
          <w:right w:val="nil"/>
          <w:between w:val="nil"/>
        </w:pBdr>
        <w:ind w:left="567"/>
        <w:jc w:val="both"/>
        <w:rPr>
          <w:color w:val="000000"/>
        </w:rPr>
      </w:pPr>
    </w:p>
    <w:p w14:paraId="3442D78D" w14:textId="4DAFBDCF" w:rsidR="00876586" w:rsidRDefault="00000000" w:rsidP="00C27DE4">
      <w:pPr>
        <w:numPr>
          <w:ilvl w:val="0"/>
          <w:numId w:val="2"/>
        </w:numPr>
        <w:pBdr>
          <w:top w:val="nil"/>
          <w:left w:val="nil"/>
          <w:bottom w:val="nil"/>
          <w:right w:val="nil"/>
          <w:between w:val="nil"/>
        </w:pBdr>
        <w:ind w:left="567" w:hanging="567"/>
        <w:jc w:val="both"/>
        <w:rPr>
          <w:b/>
          <w:bCs/>
          <w:color w:val="000000"/>
        </w:rPr>
      </w:pPr>
      <w:r>
        <w:rPr>
          <w:b/>
          <w:bCs/>
          <w:color w:val="000000"/>
        </w:rPr>
        <w:t>Technical comments on the Draft General Comment</w:t>
      </w:r>
    </w:p>
    <w:p w14:paraId="574B65AC" w14:textId="77777777" w:rsidR="00C27DE4" w:rsidRPr="00C27DE4" w:rsidRDefault="00C27DE4" w:rsidP="00C27DE4">
      <w:pPr>
        <w:pBdr>
          <w:top w:val="nil"/>
          <w:left w:val="nil"/>
          <w:bottom w:val="nil"/>
          <w:right w:val="nil"/>
          <w:between w:val="nil"/>
        </w:pBdr>
        <w:ind w:left="567"/>
        <w:jc w:val="both"/>
        <w:rPr>
          <w:b/>
          <w:bCs/>
          <w:color w:val="000000"/>
        </w:rPr>
      </w:pPr>
    </w:p>
    <w:p w14:paraId="03541B50" w14:textId="77777777" w:rsidR="00876586" w:rsidRDefault="00000000">
      <w:pPr>
        <w:pBdr>
          <w:top w:val="nil"/>
          <w:left w:val="nil"/>
          <w:bottom w:val="nil"/>
          <w:right w:val="nil"/>
          <w:between w:val="nil"/>
        </w:pBdr>
        <w:ind w:left="567" w:hanging="567"/>
        <w:jc w:val="both"/>
        <w:rPr>
          <w:color w:val="000000"/>
        </w:rPr>
      </w:pPr>
      <w:r>
        <w:rPr>
          <w:b/>
          <w:bCs/>
          <w:color w:val="000000"/>
        </w:rPr>
        <w:t>10.1.</w:t>
      </w:r>
      <w:r>
        <w:rPr>
          <w:b/>
          <w:bCs/>
          <w:color w:val="000000"/>
        </w:rPr>
        <w:tab/>
      </w:r>
      <w:r>
        <w:rPr>
          <w:color w:val="000000"/>
        </w:rPr>
        <w:t>The BKDP welcomes the Committee’s broad understanding of the objectives pursued through freedom of association. However, the list of legitimate objectives should also expressly include economic objectives, which constitute one of the principal purposes of associations, particularly workers’ and employers’ organisations.</w:t>
      </w:r>
    </w:p>
    <w:p w14:paraId="4CA86C6E" w14:textId="77777777" w:rsidR="00876586" w:rsidRDefault="00000000">
      <w:pPr>
        <w:pBdr>
          <w:top w:val="nil"/>
          <w:left w:val="nil"/>
          <w:bottom w:val="nil"/>
          <w:right w:val="nil"/>
          <w:between w:val="nil"/>
        </w:pBdr>
        <w:ind w:left="567"/>
        <w:jc w:val="both"/>
        <w:rPr>
          <w:color w:val="000000"/>
        </w:rPr>
      </w:pPr>
      <w:r>
        <w:rPr>
          <w:color w:val="000000"/>
        </w:rPr>
        <w:t>The BKDP respectfully proposes that the relevant sentence of para. 1 be amended as follows:</w:t>
      </w:r>
    </w:p>
    <w:p w14:paraId="7454A3C8" w14:textId="77777777" w:rsidR="00876586" w:rsidRDefault="00000000">
      <w:pPr>
        <w:pBdr>
          <w:top w:val="nil"/>
          <w:left w:val="nil"/>
          <w:bottom w:val="nil"/>
          <w:right w:val="nil"/>
          <w:between w:val="nil"/>
        </w:pBdr>
        <w:ind w:left="567"/>
        <w:jc w:val="both"/>
        <w:rPr>
          <w:color w:val="000000"/>
        </w:rPr>
      </w:pPr>
      <w:r>
        <w:rPr>
          <w:i/>
          <w:iCs/>
          <w:color w:val="000000"/>
        </w:rPr>
        <w:lastRenderedPageBreak/>
        <w:t>“… it serves as a means to defend common values, exchange ideas and pursue shared economic, social, cultural and political objectives – including the protection of human rights</w:t>
      </w:r>
      <w:r>
        <w:rPr>
          <w:color w:val="000000"/>
        </w:rPr>
        <w:t>”.</w:t>
      </w:r>
    </w:p>
    <w:p w14:paraId="6E1C2F1B" w14:textId="77777777" w:rsidR="00876586" w:rsidRDefault="00000000">
      <w:pPr>
        <w:pBdr>
          <w:top w:val="nil"/>
          <w:left w:val="nil"/>
          <w:bottom w:val="nil"/>
          <w:right w:val="nil"/>
          <w:between w:val="nil"/>
        </w:pBdr>
        <w:ind w:left="567" w:hanging="567"/>
        <w:jc w:val="both"/>
        <w:rPr>
          <w:color w:val="000000"/>
        </w:rPr>
      </w:pPr>
      <w:r>
        <w:rPr>
          <w:b/>
          <w:bCs/>
          <w:color w:val="000000"/>
        </w:rPr>
        <w:t>10.2.</w:t>
      </w:r>
      <w:r>
        <w:rPr>
          <w:b/>
          <w:bCs/>
          <w:color w:val="000000"/>
        </w:rPr>
        <w:tab/>
      </w:r>
      <w:r>
        <w:rPr>
          <w:color w:val="000000"/>
        </w:rPr>
        <w:t>The BKDP welcomes the explicit recognition of the importance of trade unions in the workplace. However, the current wording refers only to trade unions, whereas Article 22 protects freedom of association more broadly, including organisations of employers. Moreover, the functioning of labour relations under international labour standards is based upon autonomous organisations of both workers and employers and their participation in tripartite social dialogue.</w:t>
      </w:r>
    </w:p>
    <w:p w14:paraId="4A481DF6" w14:textId="77777777" w:rsidR="00876586" w:rsidRDefault="00000000">
      <w:pPr>
        <w:pBdr>
          <w:top w:val="nil"/>
          <w:left w:val="nil"/>
          <w:bottom w:val="nil"/>
          <w:right w:val="nil"/>
          <w:between w:val="nil"/>
        </w:pBdr>
        <w:ind w:left="567"/>
        <w:jc w:val="both"/>
        <w:rPr>
          <w:i/>
          <w:iCs/>
          <w:color w:val="000000"/>
        </w:rPr>
      </w:pPr>
      <w:r>
        <w:rPr>
          <w:color w:val="000000"/>
        </w:rPr>
        <w:t>The BKDP respectfully proposes replacing the sentence of para. 2:</w:t>
      </w:r>
      <w:r>
        <w:rPr>
          <w:b/>
          <w:bCs/>
          <w:color w:val="000000"/>
        </w:rPr>
        <w:t xml:space="preserve"> </w:t>
      </w:r>
      <w:r>
        <w:rPr>
          <w:i/>
          <w:iCs/>
          <w:color w:val="000000"/>
        </w:rPr>
        <w:t>“Regarding the workplace, the activities of trade unions are also vital for protecting individuals.”.</w:t>
      </w:r>
    </w:p>
    <w:p w14:paraId="4BB249A6" w14:textId="77777777" w:rsidR="00876586" w:rsidRDefault="00000000">
      <w:pPr>
        <w:pBdr>
          <w:top w:val="nil"/>
          <w:left w:val="nil"/>
          <w:bottom w:val="nil"/>
          <w:right w:val="nil"/>
          <w:between w:val="nil"/>
        </w:pBdr>
        <w:ind w:left="567"/>
        <w:jc w:val="both"/>
        <w:rPr>
          <w:color w:val="000000"/>
        </w:rPr>
      </w:pPr>
      <w:r>
        <w:rPr>
          <w:color w:val="000000"/>
        </w:rPr>
        <w:t>with the following:</w:t>
      </w:r>
    </w:p>
    <w:p w14:paraId="11C032A2" w14:textId="025AF4BC" w:rsidR="00876586" w:rsidRDefault="00000000">
      <w:pPr>
        <w:pBdr>
          <w:top w:val="nil"/>
          <w:left w:val="nil"/>
          <w:bottom w:val="nil"/>
          <w:right w:val="nil"/>
          <w:between w:val="nil"/>
        </w:pBdr>
        <w:ind w:left="567"/>
        <w:jc w:val="both"/>
        <w:rPr>
          <w:i/>
          <w:iCs/>
          <w:color w:val="000000"/>
          <w:lang w:val="en-US"/>
        </w:rPr>
      </w:pPr>
      <w:r>
        <w:rPr>
          <w:i/>
          <w:iCs/>
          <w:color w:val="000000"/>
        </w:rPr>
        <w:t>“In the world of work, the activities of workers’ and employers’ organisations are essential for protecting the rights and interests of their members and for ensuring effective social dialogue, including collective bargaining and tripartite consultation, in accordance with international labour standards.</w:t>
      </w:r>
      <w:r w:rsidR="00C27DE4">
        <w:rPr>
          <w:i/>
          <w:iCs/>
          <w:color w:val="000000"/>
          <w:lang w:val="en-US"/>
        </w:rPr>
        <w:t>”</w:t>
      </w:r>
    </w:p>
    <w:p w14:paraId="12BFB63B" w14:textId="77777777" w:rsidR="00C27DE4" w:rsidRDefault="00C27DE4">
      <w:pPr>
        <w:pBdr>
          <w:top w:val="nil"/>
          <w:left w:val="nil"/>
          <w:bottom w:val="nil"/>
          <w:right w:val="nil"/>
          <w:between w:val="nil"/>
        </w:pBdr>
        <w:ind w:left="567"/>
        <w:jc w:val="both"/>
        <w:rPr>
          <w:i/>
          <w:iCs/>
          <w:color w:val="000000"/>
          <w:lang w:val="en-US"/>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6"/>
        <w:gridCol w:w="3356"/>
        <w:gridCol w:w="3363"/>
      </w:tblGrid>
      <w:tr w:rsidR="00C27DE4" w14:paraId="4263813A" w14:textId="77777777" w:rsidTr="00C27DE4">
        <w:tc>
          <w:tcPr>
            <w:tcW w:w="3537" w:type="dxa"/>
          </w:tcPr>
          <w:p w14:paraId="6EEF03F3" w14:textId="69D16D16" w:rsidR="00C27DE4" w:rsidRPr="00C27DE4" w:rsidRDefault="00C27DE4">
            <w:pPr>
              <w:jc w:val="both"/>
              <w:rPr>
                <w:color w:val="000000"/>
                <w:lang w:val="en-US"/>
              </w:rPr>
            </w:pPr>
            <w:r w:rsidRPr="00C27DE4">
              <w:rPr>
                <w:color w:val="000000"/>
                <w:lang w:val="en-US"/>
              </w:rPr>
              <w:t>Head of the Legal Department</w:t>
            </w:r>
          </w:p>
        </w:tc>
        <w:tc>
          <w:tcPr>
            <w:tcW w:w="3537" w:type="dxa"/>
          </w:tcPr>
          <w:p w14:paraId="62778706" w14:textId="03857402" w:rsidR="00C27DE4" w:rsidRPr="00C27DE4" w:rsidRDefault="00C27DE4" w:rsidP="00C27DE4">
            <w:pPr>
              <w:jc w:val="center"/>
              <w:rPr>
                <w:color w:val="000000"/>
                <w:lang w:val="en-US"/>
              </w:rPr>
            </w:pPr>
            <w:r>
              <w:rPr>
                <w:noProof/>
                <w:color w:val="000000"/>
                <w:lang w:val="en-US"/>
              </w:rPr>
              <w:drawing>
                <wp:inline distT="0" distB="0" distL="0" distR="0" wp14:anchorId="31C0107F" wp14:editId="751FCC9E">
                  <wp:extent cx="863600" cy="800100"/>
                  <wp:effectExtent l="0" t="0" r="0" b="0"/>
                  <wp:docPr id="163361190" name="Рисунок 1" descr="Изображение выглядит как зарисовка, рисунок, каллиграфия&#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61190" name="Рисунок 1" descr="Изображение выглядит как зарисовка, рисунок, каллиграфия&#10;&#10;Контент, сгенерированный ИИ, может содержать ошибки."/>
                          <pic:cNvPicPr/>
                        </pic:nvPicPr>
                        <pic:blipFill>
                          <a:blip r:embed="rId15">
                            <a:extLst>
                              <a:ext uri="{28A0092B-C50C-407E-A947-70E740481C1C}">
                                <a14:useLocalDpi xmlns:a14="http://schemas.microsoft.com/office/drawing/2010/main" val="0"/>
                              </a:ext>
                            </a:extLst>
                          </a:blip>
                          <a:stretch>
                            <a:fillRect/>
                          </a:stretch>
                        </pic:blipFill>
                        <pic:spPr>
                          <a:xfrm>
                            <a:off x="0" y="0"/>
                            <a:ext cx="863600" cy="800100"/>
                          </a:xfrm>
                          <a:prstGeom prst="rect">
                            <a:avLst/>
                          </a:prstGeom>
                        </pic:spPr>
                      </pic:pic>
                    </a:graphicData>
                  </a:graphic>
                </wp:inline>
              </w:drawing>
            </w:r>
          </w:p>
        </w:tc>
        <w:tc>
          <w:tcPr>
            <w:tcW w:w="3538" w:type="dxa"/>
          </w:tcPr>
          <w:p w14:paraId="1E83D3DD" w14:textId="79E48F13" w:rsidR="00C27DE4" w:rsidRPr="00C27DE4" w:rsidRDefault="00C27DE4">
            <w:pPr>
              <w:jc w:val="both"/>
              <w:rPr>
                <w:color w:val="000000"/>
                <w:lang w:val="en-US"/>
              </w:rPr>
            </w:pPr>
            <w:r w:rsidRPr="00C27DE4">
              <w:rPr>
                <w:color w:val="000000"/>
                <w:lang w:val="en-US"/>
              </w:rPr>
              <w:t xml:space="preserve">Maryia </w:t>
            </w:r>
            <w:proofErr w:type="spellStart"/>
            <w:r w:rsidRPr="00C27DE4">
              <w:rPr>
                <w:color w:val="000000"/>
                <w:lang w:val="en-US"/>
              </w:rPr>
              <w:t>Zharylouskaya</w:t>
            </w:r>
            <w:proofErr w:type="spellEnd"/>
          </w:p>
        </w:tc>
      </w:tr>
    </w:tbl>
    <w:p w14:paraId="3359A22D" w14:textId="77777777" w:rsidR="00C27DE4" w:rsidRPr="00C27DE4" w:rsidRDefault="00C27DE4">
      <w:pPr>
        <w:pBdr>
          <w:top w:val="nil"/>
          <w:left w:val="nil"/>
          <w:bottom w:val="nil"/>
          <w:right w:val="nil"/>
          <w:between w:val="nil"/>
        </w:pBdr>
        <w:ind w:left="567"/>
        <w:jc w:val="both"/>
        <w:rPr>
          <w:i/>
          <w:iCs/>
          <w:color w:val="000000"/>
          <w:lang w:val="en-US"/>
        </w:rPr>
      </w:pPr>
    </w:p>
    <w:p w14:paraId="03CA1535" w14:textId="77777777" w:rsidR="00C27DE4" w:rsidRPr="00C27DE4" w:rsidRDefault="00C27DE4">
      <w:pPr>
        <w:pBdr>
          <w:top w:val="nil"/>
          <w:left w:val="nil"/>
          <w:bottom w:val="nil"/>
          <w:right w:val="nil"/>
          <w:between w:val="nil"/>
        </w:pBdr>
        <w:ind w:left="567"/>
        <w:jc w:val="both"/>
        <w:rPr>
          <w:i/>
          <w:iCs/>
          <w:color w:val="000000"/>
          <w:lang w:val="en-US"/>
        </w:rPr>
      </w:pPr>
    </w:p>
    <w:p w14:paraId="557A07A5" w14:textId="77777777" w:rsidR="00C27DE4" w:rsidRPr="00C27DE4" w:rsidRDefault="00C27DE4">
      <w:pPr>
        <w:pBdr>
          <w:top w:val="nil"/>
          <w:left w:val="nil"/>
          <w:bottom w:val="nil"/>
          <w:right w:val="nil"/>
          <w:between w:val="nil"/>
        </w:pBdr>
        <w:ind w:left="567"/>
        <w:jc w:val="both"/>
        <w:rPr>
          <w:color w:val="000000"/>
          <w:lang w:val="en-US"/>
        </w:rPr>
      </w:pPr>
    </w:p>
    <w:p w14:paraId="156335B7" w14:textId="77777777" w:rsidR="00876586" w:rsidRDefault="00876586">
      <w:pPr>
        <w:pBdr>
          <w:top w:val="nil"/>
          <w:left w:val="nil"/>
          <w:bottom w:val="nil"/>
          <w:right w:val="nil"/>
          <w:between w:val="nil"/>
        </w:pBdr>
        <w:jc w:val="both"/>
        <w:rPr>
          <w:color w:val="000000"/>
        </w:rPr>
      </w:pPr>
    </w:p>
    <w:sectPr w:rsidR="00876586">
      <w:headerReference w:type="default" r:id="rId16"/>
      <w:pgSz w:w="11910" w:h="16840"/>
      <w:pgMar w:top="920" w:right="580" w:bottom="280" w:left="708" w:header="396" w:footer="39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ECD33" w14:textId="77777777" w:rsidR="000B55E5" w:rsidRDefault="000B55E5">
      <w:r>
        <w:separator/>
      </w:r>
    </w:p>
  </w:endnote>
  <w:endnote w:type="continuationSeparator" w:id="0">
    <w:p w14:paraId="3F69B062" w14:textId="77777777" w:rsidR="000B55E5" w:rsidRDefault="000B5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02F14BC-1566-4033-8CB2-2E60DD3F2915}"/>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2" w:fontKey="{FDCE829E-B0BE-4D52-8D8B-BAB3577D1112}"/>
  </w:font>
  <w:font w:name="Cambria">
    <w:panose1 w:val="02040503050406030204"/>
    <w:charset w:val="00"/>
    <w:family w:val="roman"/>
    <w:pitch w:val="variable"/>
    <w:sig w:usb0="E00006FF" w:usb1="420024FF" w:usb2="02000000" w:usb3="00000000" w:csb0="0000019F" w:csb1="00000000"/>
    <w:embedRegular r:id="rId3" w:fontKey="{5AB1688C-14C9-45E1-81D1-314918548A82}"/>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BF02F" w14:textId="77777777" w:rsidR="000B55E5" w:rsidRDefault="000B55E5">
      <w:r>
        <w:separator/>
      </w:r>
    </w:p>
  </w:footnote>
  <w:footnote w:type="continuationSeparator" w:id="0">
    <w:p w14:paraId="4C0313F1" w14:textId="77777777" w:rsidR="000B55E5" w:rsidRDefault="000B55E5">
      <w:r>
        <w:continuationSeparator/>
      </w:r>
    </w:p>
  </w:footnote>
  <w:footnote w:id="1">
    <w:p w14:paraId="48AFA7BD" w14:textId="77777777" w:rsidR="00876586" w:rsidRDefault="00000000">
      <w:pPr>
        <w:widowControl w:val="0"/>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hyperlink r:id="rId1">
        <w:r w:rsidR="00876586">
          <w:rPr>
            <w:color w:val="0000FF"/>
            <w:sz w:val="20"/>
            <w:szCs w:val="20"/>
            <w:u w:val="single"/>
          </w:rPr>
          <w:t>https://normlex.ilo.org/dyn/nrmlx_en/f?p=NORMLEXPUB:12100:0::NO::P12100_INSTRUMENT_ID:312232</w:t>
        </w:r>
      </w:hyperlink>
      <w:r>
        <w:rPr>
          <w:color w:val="000000"/>
          <w:sz w:val="20"/>
          <w:szCs w:val="20"/>
        </w:rPr>
        <w:t xml:space="preserve"> </w:t>
      </w:r>
    </w:p>
  </w:footnote>
  <w:footnote w:id="2">
    <w:p w14:paraId="15C2DC39" w14:textId="77777777" w:rsidR="00876586" w:rsidRDefault="00000000">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UN, WGAD, Opinion № 54/2024 concerning Maria Rabkova (Belarus), A/HRC/WGAD/2024/54, 18 March 2025, para. 83-86. </w:t>
      </w:r>
    </w:p>
    <w:p w14:paraId="6F873306" w14:textId="77777777" w:rsidR="00876586" w:rsidRDefault="00000000">
      <w:pPr>
        <w:rPr>
          <w:sz w:val="16"/>
          <w:szCs w:val="16"/>
        </w:rPr>
      </w:pPr>
      <w:r>
        <w:rPr>
          <w:color w:val="000000"/>
          <w:sz w:val="16"/>
          <w:szCs w:val="16"/>
        </w:rPr>
        <w:t>UN, WGAD, Opinion № 33/2025 concerning Aliaksandr Kapshul (Belarus and Russian Federation), A/HRC/WGAD/2025/33, 10 July 2025, para.(s) 110-114.</w:t>
      </w:r>
    </w:p>
    <w:p w14:paraId="30BD4F7D" w14:textId="77777777" w:rsidR="00876586" w:rsidRDefault="00000000">
      <w:pPr>
        <w:rPr>
          <w:sz w:val="16"/>
          <w:szCs w:val="16"/>
        </w:rPr>
      </w:pPr>
      <w:r>
        <w:rPr>
          <w:color w:val="000000"/>
          <w:sz w:val="16"/>
          <w:szCs w:val="16"/>
        </w:rPr>
        <w:t xml:space="preserve">UN, WGAD, Opinion № 64/2023 </w:t>
      </w:r>
      <w:r>
        <w:rPr>
          <w:color w:val="111827"/>
          <w:sz w:val="16"/>
          <w:szCs w:val="16"/>
          <w:highlight w:val="white"/>
        </w:rPr>
        <w:t>concerning Vitali Braginiec (Belarus), A/HRC/WGAD/2023/64, 8 December 2023</w:t>
      </w:r>
      <w:r>
        <w:rPr>
          <w:color w:val="000000"/>
          <w:sz w:val="16"/>
          <w:szCs w:val="16"/>
        </w:rPr>
        <w:t>, para. 78-81</w:t>
      </w:r>
    </w:p>
    <w:p w14:paraId="699F2DDF" w14:textId="77777777" w:rsidR="00876586" w:rsidRDefault="00000000">
      <w:pPr>
        <w:rPr>
          <w:sz w:val="16"/>
          <w:szCs w:val="16"/>
        </w:rPr>
      </w:pPr>
      <w:r>
        <w:rPr>
          <w:color w:val="000000"/>
          <w:sz w:val="16"/>
          <w:szCs w:val="16"/>
        </w:rPr>
        <w:t xml:space="preserve">UN, WGAD, Opinion № 2022/24 </w:t>
      </w:r>
      <w:r>
        <w:rPr>
          <w:color w:val="111827"/>
          <w:sz w:val="16"/>
          <w:szCs w:val="16"/>
          <w:highlight w:val="white"/>
        </w:rPr>
        <w:t>concerning Maksim Znak (Belarus)</w:t>
      </w:r>
      <w:r>
        <w:rPr>
          <w:color w:val="000000"/>
          <w:sz w:val="16"/>
          <w:szCs w:val="16"/>
        </w:rPr>
        <w:t>, A/HRC/WGAD/2022/24, 5 May 2022, paras. 89-94; </w:t>
      </w:r>
    </w:p>
    <w:p w14:paraId="1AAFBE72" w14:textId="77777777" w:rsidR="00876586" w:rsidRDefault="00000000">
      <w:r>
        <w:rPr>
          <w:color w:val="000000"/>
          <w:sz w:val="16"/>
          <w:szCs w:val="16"/>
        </w:rPr>
        <w:t xml:space="preserve">UN, WGAD, Opinion № 50/2021 </w:t>
      </w:r>
      <w:r>
        <w:rPr>
          <w:color w:val="111827"/>
          <w:sz w:val="16"/>
          <w:szCs w:val="16"/>
          <w:highlight w:val="white"/>
        </w:rPr>
        <w:t>concerning Raman Pratasevich (Belarus)</w:t>
      </w:r>
      <w:r>
        <w:rPr>
          <w:color w:val="000000"/>
          <w:sz w:val="16"/>
          <w:szCs w:val="16"/>
        </w:rPr>
        <w:t>, A/HRC/WGAD/2021/50, 9 December 2021 para. 80-84.</w:t>
      </w:r>
    </w:p>
  </w:footnote>
  <w:footnote w:id="3">
    <w:p w14:paraId="6329ED9C" w14:textId="77777777" w:rsidR="00876586" w:rsidRPr="00C27DE4" w:rsidRDefault="00000000">
      <w:pPr>
        <w:pBdr>
          <w:top w:val="nil"/>
          <w:left w:val="nil"/>
          <w:bottom w:val="nil"/>
          <w:right w:val="nil"/>
          <w:between w:val="nil"/>
        </w:pBdr>
        <w:rPr>
          <w:color w:val="000000"/>
          <w:sz w:val="16"/>
          <w:szCs w:val="16"/>
        </w:rPr>
      </w:pPr>
      <w:r w:rsidRPr="00C27DE4">
        <w:rPr>
          <w:sz w:val="16"/>
          <w:szCs w:val="16"/>
          <w:vertAlign w:val="superscript"/>
        </w:rPr>
        <w:footnoteRef/>
      </w:r>
      <w:r w:rsidRPr="00C27DE4">
        <w:rPr>
          <w:color w:val="000000"/>
          <w:sz w:val="16"/>
          <w:szCs w:val="16"/>
        </w:rPr>
        <w:t>Vienna Declaration and Programme of Action, adopted by the World Conference on Human Rights, Vienna, 25 June 1993, para.(s) 5 and 8.</w:t>
      </w:r>
    </w:p>
  </w:footnote>
  <w:footnote w:id="4">
    <w:p w14:paraId="5A8D5D7A" w14:textId="77777777" w:rsidR="00876586" w:rsidRDefault="00000000">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w:t>
      </w:r>
      <w:r>
        <w:rPr>
          <w:color w:val="000000"/>
          <w:sz w:val="16"/>
          <w:szCs w:val="16"/>
          <w:highlight w:val="white"/>
        </w:rPr>
        <w:t xml:space="preserve">STOKKE, K. Politics of citizenship: Towards an analytical framework // </w:t>
      </w:r>
      <w:r>
        <w:rPr>
          <w:i/>
          <w:iCs/>
          <w:color w:val="000000"/>
          <w:sz w:val="16"/>
          <w:szCs w:val="16"/>
          <w:highlight w:val="white"/>
        </w:rPr>
        <w:t>Norsk Geografisk Tidsskrift – Norwegian Journal of Geography</w:t>
      </w:r>
      <w:r>
        <w:rPr>
          <w:color w:val="000000"/>
          <w:sz w:val="16"/>
          <w:szCs w:val="16"/>
          <w:highlight w:val="white"/>
        </w:rPr>
        <w:t>, Vol. 71, Issue 4, pp. 193 - 207.</w:t>
      </w:r>
    </w:p>
    <w:p w14:paraId="7C47E90F" w14:textId="77777777" w:rsidR="00876586" w:rsidRDefault="00000000">
      <w:pPr>
        <w:rPr>
          <w:sz w:val="16"/>
          <w:szCs w:val="16"/>
        </w:rPr>
      </w:pPr>
      <w:r>
        <w:rPr>
          <w:color w:val="000000"/>
          <w:sz w:val="16"/>
          <w:szCs w:val="16"/>
          <w:highlight w:val="white"/>
        </w:rPr>
        <w:t xml:space="preserve">SCHUCK, P. H. 2012. Liberal citizenship. In: Isin, E. F., Turner, B. S., </w:t>
      </w:r>
      <w:r>
        <w:rPr>
          <w:i/>
          <w:iCs/>
          <w:color w:val="000000"/>
          <w:sz w:val="16"/>
          <w:szCs w:val="16"/>
          <w:highlight w:val="white"/>
        </w:rPr>
        <w:t>Handbook of Citizenship Studies</w:t>
      </w:r>
      <w:r>
        <w:rPr>
          <w:color w:val="000000"/>
          <w:sz w:val="16"/>
          <w:szCs w:val="16"/>
          <w:highlight w:val="white"/>
        </w:rPr>
        <w:t>, Sage, London, 2012, pp. 131 - 144.</w:t>
      </w:r>
    </w:p>
    <w:p w14:paraId="6DC4D92F" w14:textId="77777777" w:rsidR="00876586" w:rsidRDefault="00000000">
      <w:pPr>
        <w:rPr>
          <w:sz w:val="16"/>
          <w:szCs w:val="16"/>
        </w:rPr>
      </w:pPr>
      <w:r>
        <w:rPr>
          <w:color w:val="000000"/>
          <w:sz w:val="16"/>
          <w:szCs w:val="16"/>
        </w:rPr>
        <w:t>ZHARYLOUSKAYA M., ULYASHYNA L. International obligations of the Republic of Belarus in the ﬁeld of human rights and trade union rights: a comparative legal analysis of the right to freedom of association // INTERNATIONAL ACADEMIC JOURNAL. Vol. 3 Issue 1. 2022, pp. 66-81. ISSN 2671-3748. – Pp. 66-91.</w:t>
      </w:r>
    </w:p>
  </w:footnote>
  <w:footnote w:id="5">
    <w:p w14:paraId="33CCE021" w14:textId="77777777" w:rsidR="00876586" w:rsidRDefault="00000000">
      <w:pPr>
        <w:widowControl w:val="0"/>
        <w:pBdr>
          <w:top w:val="nil"/>
          <w:left w:val="nil"/>
          <w:bottom w:val="nil"/>
          <w:right w:val="nil"/>
          <w:between w:val="nil"/>
        </w:pBdr>
        <w:rPr>
          <w:color w:val="000000"/>
          <w:sz w:val="16"/>
          <w:szCs w:val="16"/>
        </w:rPr>
      </w:pPr>
      <w:r>
        <w:rPr>
          <w:vertAlign w:val="superscript"/>
        </w:rPr>
        <w:footnoteRef/>
      </w:r>
      <w:r>
        <w:rPr>
          <w:color w:val="000000"/>
          <w:sz w:val="16"/>
          <w:szCs w:val="16"/>
        </w:rPr>
        <w:t xml:space="preserve"> </w:t>
      </w:r>
      <w:hyperlink r:id="rId2">
        <w:r w:rsidR="00876586">
          <w:rPr>
            <w:color w:val="0000FF"/>
            <w:sz w:val="16"/>
            <w:szCs w:val="16"/>
            <w:u w:val="single"/>
          </w:rPr>
          <w:t>https://www.ilo.org/resource/other/ilo-declaration-social-justice-fair-globalization</w:t>
        </w:r>
      </w:hyperlink>
      <w:r>
        <w:rPr>
          <w:color w:val="000000"/>
          <w:sz w:val="16"/>
          <w:szCs w:val="16"/>
        </w:rPr>
        <w:t xml:space="preserve"> </w:t>
      </w:r>
    </w:p>
  </w:footnote>
  <w:footnote w:id="6">
    <w:p w14:paraId="55BF15CC" w14:textId="77777777" w:rsidR="00876586" w:rsidRDefault="00000000">
      <w:pPr>
        <w:widowControl w:val="0"/>
        <w:pBdr>
          <w:top w:val="nil"/>
          <w:left w:val="nil"/>
          <w:bottom w:val="nil"/>
          <w:right w:val="nil"/>
          <w:between w:val="nil"/>
        </w:pBdr>
        <w:rPr>
          <w:color w:val="000000"/>
          <w:sz w:val="20"/>
          <w:szCs w:val="20"/>
        </w:rPr>
      </w:pPr>
      <w:r>
        <w:rPr>
          <w:vertAlign w:val="superscript"/>
        </w:rPr>
        <w:footnoteRef/>
      </w:r>
      <w:r>
        <w:rPr>
          <w:color w:val="000000"/>
          <w:sz w:val="16"/>
          <w:szCs w:val="16"/>
        </w:rPr>
        <w:t xml:space="preserve"> </w:t>
      </w:r>
      <w:hyperlink r:id="rId3">
        <w:r w:rsidR="00876586">
          <w:rPr>
            <w:color w:val="0000FF"/>
            <w:sz w:val="16"/>
            <w:szCs w:val="16"/>
            <w:u w:val="single"/>
          </w:rPr>
          <w:t>https://normlex.ilo.org/dyn/nrmlx_en/f?p=1000:62:0::NO:62:P62_LIST_ENTRIE_ID:2453911:NO</w:t>
        </w:r>
      </w:hyperlink>
      <w:r>
        <w:rPr>
          <w:color w:val="000000"/>
          <w:sz w:val="20"/>
          <w:szCs w:val="20"/>
        </w:rPr>
        <w:t xml:space="preserve"> </w:t>
      </w:r>
    </w:p>
  </w:footnote>
  <w:footnote w:id="7">
    <w:p w14:paraId="1EB41BB6" w14:textId="77777777" w:rsidR="00876586" w:rsidRDefault="00000000">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ILO (2020). Observation (CEACR) – adopted 2020, published 109th ILC session (2021),</w:t>
      </w:r>
    </w:p>
    <w:p w14:paraId="7E97DE78" w14:textId="77777777" w:rsidR="00876586" w:rsidRDefault="00876586">
      <w:pPr>
        <w:pBdr>
          <w:top w:val="nil"/>
          <w:left w:val="nil"/>
          <w:bottom w:val="nil"/>
          <w:right w:val="nil"/>
          <w:between w:val="nil"/>
        </w:pBdr>
        <w:rPr>
          <w:color w:val="000000"/>
          <w:sz w:val="16"/>
          <w:szCs w:val="16"/>
        </w:rPr>
      </w:pPr>
      <w:hyperlink r:id="rId4">
        <w:r>
          <w:rPr>
            <w:color w:val="0000FF"/>
            <w:sz w:val="16"/>
            <w:szCs w:val="16"/>
            <w:u w:val="single"/>
          </w:rPr>
          <w:t>https://www.ilo.org/dyn/normlex/en/f?p=1000:13100:0::NO:13100:P13100_COMMENT_ID,P13100_COUNTRY_ID:4060452,103154</w:t>
        </w:r>
      </w:hyperlink>
    </w:p>
    <w:p w14:paraId="233E9B21" w14:textId="77777777" w:rsidR="00876586" w:rsidRDefault="00000000">
      <w:pPr>
        <w:pBdr>
          <w:top w:val="nil"/>
          <w:left w:val="nil"/>
          <w:bottom w:val="nil"/>
          <w:right w:val="nil"/>
          <w:between w:val="nil"/>
        </w:pBdr>
        <w:rPr>
          <w:color w:val="000000"/>
          <w:sz w:val="16"/>
          <w:szCs w:val="16"/>
        </w:rPr>
      </w:pPr>
      <w:r>
        <w:rPr>
          <w:color w:val="000000"/>
          <w:sz w:val="16"/>
          <w:szCs w:val="16"/>
        </w:rPr>
        <w:t>ILO (2020). Observation (CEACR) – adopted 2025, published 114th ILC session (2026),</w:t>
      </w:r>
    </w:p>
    <w:p w14:paraId="33D20C4B" w14:textId="77777777" w:rsidR="00876586" w:rsidRDefault="00876586">
      <w:pPr>
        <w:pBdr>
          <w:top w:val="nil"/>
          <w:left w:val="nil"/>
          <w:bottom w:val="nil"/>
          <w:right w:val="nil"/>
          <w:between w:val="nil"/>
        </w:pBdr>
        <w:rPr>
          <w:color w:val="000000"/>
        </w:rPr>
      </w:pPr>
      <w:hyperlink r:id="rId5">
        <w:r>
          <w:rPr>
            <w:color w:val="0000FF"/>
            <w:sz w:val="16"/>
            <w:szCs w:val="16"/>
            <w:u w:val="single"/>
          </w:rPr>
          <w:t>https://normlex.ilo.org/dyn/nrmlx_en/f?p=1000:13100:0::NO:13100:P13100_COMMENT_ID,P13100_COUNTRY_ID:4467334,103159:NO</w:t>
        </w:r>
      </w:hyperlink>
      <w:r w:rsidR="00000000">
        <w:rPr>
          <w:color w:val="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FBC9F" w14:textId="77777777" w:rsidR="00876586" w:rsidRDefault="00000000">
    <w:pPr>
      <w:jc w:val="center"/>
    </w:pPr>
    <w:r>
      <w:fldChar w:fldCharType="begin"/>
    </w:r>
    <w:r>
      <w:instrText>PAGE</w:instrText>
    </w:r>
    <w:r>
      <w:fldChar w:fldCharType="separate"/>
    </w:r>
    <w:r w:rsidR="00C27DE4">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54112"/>
    <w:multiLevelType w:val="multilevel"/>
    <w:tmpl w:val="2E5E5010"/>
    <w:lvl w:ilvl="0">
      <w:start w:val="1"/>
      <w:numFmt w:val="decimal"/>
      <w:lvlText w:val="%1."/>
      <w:lvlJc w:val="left"/>
      <w:pPr>
        <w:ind w:left="927" w:hanging="360"/>
      </w:pPr>
      <w:rPr>
        <w:b/>
        <w:bCs/>
      </w:rPr>
    </w:lvl>
    <w:lvl w:ilvl="1">
      <w:start w:val="1"/>
      <w:numFmt w:val="decimal"/>
      <w:lvlText w:val="%1.%2."/>
      <w:lvlJc w:val="left"/>
      <w:pPr>
        <w:ind w:left="927" w:hanging="360"/>
      </w:pPr>
      <w:rPr>
        <w:b/>
        <w:bCs/>
      </w:r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1" w15:restartNumberingAfterBreak="0">
    <w:nsid w:val="4372257D"/>
    <w:multiLevelType w:val="multilevel"/>
    <w:tmpl w:val="E40E88A8"/>
    <w:lvl w:ilvl="0">
      <w:start w:val="10"/>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903366892">
    <w:abstractNumId w:val="0"/>
  </w:num>
  <w:num w:numId="2" w16cid:durableId="1543439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586"/>
    <w:rsid w:val="000B55E5"/>
    <w:rsid w:val="007A3A38"/>
    <w:rsid w:val="00876586"/>
    <w:rsid w:val="008B7A36"/>
    <w:rsid w:val="00B247CE"/>
    <w:rsid w:val="00C27DE4"/>
    <w:rsid w:val="00DA516C"/>
    <w:rsid w:val="00F846F9"/>
  </w:rsids>
  <m:mathPr>
    <m:mathFont m:val="Cambria Math"/>
    <m:brkBin m:val="before"/>
    <m:brkBinSub m:val="--"/>
    <m:smallFrac m:val="0"/>
    <m:dispDef/>
    <m:lMargin m:val="0"/>
    <m:rMargin m:val="0"/>
    <m:defJc m:val="centerGroup"/>
    <m:wrapIndent m:val="1440"/>
    <m:intLim m:val="subSup"/>
    <m:naryLim m:val="undOvr"/>
  </m:mathPr>
  <w:themeFontLan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49A68"/>
  <w15:docId w15:val="{2748CED3-82BD-2043-8474-14832C52F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ind w:left="700"/>
      <w:jc w:val="both"/>
      <w:outlineLvl w:val="0"/>
    </w:pPr>
    <w:rPr>
      <w:b/>
      <w:bCs/>
    </w:rPr>
  </w:style>
  <w:style w:type="paragraph" w:styleId="Heading2">
    <w:name w:val="heading 2"/>
    <w:basedOn w:val="Normal"/>
    <w:next w:val="Normal"/>
    <w:uiPriority w:val="9"/>
    <w:semiHidden/>
    <w:unhideWhenUsed/>
    <w:qFormat/>
    <w:pPr>
      <w:keepNext/>
      <w:keepLines/>
      <w:widowControl w:val="0"/>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widowControl w:val="0"/>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widowControl w:val="0"/>
      <w:spacing w:before="240" w:after="40"/>
      <w:outlineLvl w:val="3"/>
    </w:pPr>
    <w:rPr>
      <w:b/>
      <w:bCs/>
    </w:rPr>
  </w:style>
  <w:style w:type="paragraph" w:styleId="Heading5">
    <w:name w:val="heading 5"/>
    <w:basedOn w:val="Normal"/>
    <w:next w:val="Normal"/>
    <w:uiPriority w:val="9"/>
    <w:semiHidden/>
    <w:unhideWhenUsed/>
    <w:qFormat/>
    <w:pPr>
      <w:keepNext/>
      <w:keepLines/>
      <w:widowControl w:val="0"/>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widowControl w:val="0"/>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widowControl w:val="0"/>
      <w:spacing w:before="480" w:after="120"/>
    </w:pPr>
    <w:rPr>
      <w:b/>
      <w:bCs/>
      <w:sz w:val="72"/>
      <w:szCs w:val="72"/>
    </w:rPr>
  </w:style>
  <w:style w:type="paragraph" w:styleId="Subtitle">
    <w:name w:val="Subtitle"/>
    <w:basedOn w:val="Normal"/>
    <w:next w:val="Normal"/>
    <w:uiPriority w:val="11"/>
    <w:qFormat/>
    <w:pPr>
      <w:keepNext/>
      <w:keepLines/>
      <w:widowControl w:val="0"/>
      <w:spacing w:before="360" w:after="80"/>
    </w:pPr>
    <w:rPr>
      <w:rFonts w:ascii="Georgia" w:eastAsia="Georgia" w:hAnsi="Georgia" w:cs="Georgia"/>
      <w:i/>
      <w:iCs/>
      <w:color w:val="666666"/>
      <w:sz w:val="48"/>
      <w:szCs w:val="48"/>
    </w:rPr>
  </w:style>
  <w:style w:type="table" w:styleId="TableGrid">
    <w:name w:val="Table Grid"/>
    <w:basedOn w:val="TableNormal"/>
    <w:uiPriority w:val="39"/>
    <w:rsid w:val="00C27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7DE4"/>
    <w:pPr>
      <w:ind w:left="720"/>
      <w:contextualSpacing/>
    </w:pPr>
  </w:style>
  <w:style w:type="paragraph" w:styleId="Header">
    <w:name w:val="header"/>
    <w:basedOn w:val="Normal"/>
    <w:link w:val="HeaderChar"/>
    <w:uiPriority w:val="99"/>
    <w:semiHidden/>
    <w:unhideWhenUsed/>
    <w:rsid w:val="008B7A36"/>
    <w:pPr>
      <w:tabs>
        <w:tab w:val="center" w:pos="4513"/>
        <w:tab w:val="right" w:pos="9026"/>
      </w:tabs>
    </w:pPr>
  </w:style>
  <w:style w:type="character" w:customStyle="1" w:styleId="HeaderChar">
    <w:name w:val="Header Char"/>
    <w:basedOn w:val="DefaultParagraphFont"/>
    <w:link w:val="Header"/>
    <w:uiPriority w:val="99"/>
    <w:semiHidden/>
    <w:rsid w:val="008B7A36"/>
  </w:style>
  <w:style w:type="paragraph" w:styleId="Footer">
    <w:name w:val="footer"/>
    <w:basedOn w:val="Normal"/>
    <w:link w:val="FooterChar"/>
    <w:uiPriority w:val="99"/>
    <w:semiHidden/>
    <w:unhideWhenUsed/>
    <w:rsid w:val="008B7A36"/>
    <w:pPr>
      <w:tabs>
        <w:tab w:val="center" w:pos="4513"/>
        <w:tab w:val="right" w:pos="9026"/>
      </w:tabs>
    </w:pPr>
  </w:style>
  <w:style w:type="character" w:customStyle="1" w:styleId="FooterChar">
    <w:name w:val="Footer Char"/>
    <w:basedOn w:val="DefaultParagraphFont"/>
    <w:link w:val="Footer"/>
    <w:uiPriority w:val="99"/>
    <w:semiHidden/>
    <w:rsid w:val="008B7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kdpcongress@gmail.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kdpcongress@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lidarnast.info/"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3" Type="http://schemas.openxmlformats.org/officeDocument/2006/relationships/hyperlink" Target="https://normlex.ilo.org/dyn/nrmlx_en/f?p=1000:62:0::NO:62:P62_LIST_ENTRIE_ID:2453911:NO" TargetMode="External"/><Relationship Id="rId2" Type="http://schemas.openxmlformats.org/officeDocument/2006/relationships/hyperlink" Target="https://www.ilo.org/resource/other/ilo-declaration-social-justice-fair-globalization" TargetMode="External"/><Relationship Id="rId1" Type="http://schemas.openxmlformats.org/officeDocument/2006/relationships/hyperlink" Target="https://normlex.ilo.org/dyn/nrmlx_en/f?p=NORMLEXPUB:12100:0::NO::P12100_INSTRUMENT_ID:312232" TargetMode="External"/><Relationship Id="rId5" Type="http://schemas.openxmlformats.org/officeDocument/2006/relationships/hyperlink" Target="https://normlex.ilo.org/dyn/nrmlx_en/f?p=1000:13100:0::NO:13100:P13100_COMMENT_ID,P13100_COUNTRY_ID:4467334,103159:NO" TargetMode="External"/><Relationship Id="rId4" Type="http://schemas.openxmlformats.org/officeDocument/2006/relationships/hyperlink" Target="https://www.ilo.org/dyn/normlex/en/f?p=1000:13100:0::NO:13100:P13100_COMMENT_ID,P13100_COUNTRY_ID:4060452,1031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1</AIcounter>
    <Category xmlns="d42e65b2-cf21-49c1-b27d-d23f90380c0e">CSOs</Category>
    <Filename xmlns="d42e65b2-cf21-49c1-b27d-d23f90380c0e" xsi:nil="true"/>
    <Doctype xmlns="d42e65b2-cf21-49c1-b27d-d23f90380c0e">input</Doctype>
    <Contributor xmlns="d42e65b2-cf21-49c1-b27d-d23f90380c0e">Belarusian Congress of Democratic Trade Unions</Contributor>
    <Status xmlns="d42e65b2-cf21-49c1-b27d-d23f90380c0e">Ready to publish</Status>
    <AItagger xmlns="d42e65b2-cf21-49c1-b27d-d23f90380c0e">false</AItagg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JwhPfxBnZ+ZXDmTpEOVMOZ1w==">CgMxLjAaDQoBMBIICgYIBTICCAE4AHIhMXVmYllMZ0pGME1pRHNWOS1SWXIzWEhsU3NTZlZvXzBB</go:docsCustomData>
</go:gDocsCustomXmlDataStorage>
</file>

<file path=customXml/itemProps1.xml><?xml version="1.0" encoding="utf-8"?>
<ds:datastoreItem xmlns:ds="http://schemas.openxmlformats.org/officeDocument/2006/customXml" ds:itemID="{A4181013-4A47-4717-A628-5699F51FD38E}"/>
</file>

<file path=customXml/itemProps2.xml><?xml version="1.0" encoding="utf-8"?>
<ds:datastoreItem xmlns:ds="http://schemas.openxmlformats.org/officeDocument/2006/customXml" ds:itemID="{029F448C-28BD-4F9E-8F9E-3E18B17D0C1A}">
  <ds:schemaRefs>
    <ds:schemaRef ds:uri="http://schemas.microsoft.com/office/2006/metadata/properties"/>
    <ds:schemaRef ds:uri="http://schemas.microsoft.com/office/infopath/2007/PartnerControls"/>
    <ds:schemaRef ds:uri="985ec44e-1bab-4c0b-9df0-6ba128686fc9"/>
    <ds:schemaRef ds:uri="11a6fe0c-d8de-4390-afb3-d9c7c54181f0"/>
    <ds:schemaRef ds:uri="b248d7e1-e1e1-4a8e-9310-749402edb8a9"/>
  </ds:schemaRefs>
</ds:datastoreItem>
</file>

<file path=customXml/itemProps3.xml><?xml version="1.0" encoding="utf-8"?>
<ds:datastoreItem xmlns:ds="http://schemas.openxmlformats.org/officeDocument/2006/customXml" ds:itemID="{88C5EACA-5ADF-48AE-93A7-19EBA7F9603A}">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9</Pages>
  <Words>5473</Words>
  <Characters>31201</Characters>
  <Application>Microsoft Office Word</Application>
  <DocSecurity>0</DocSecurity>
  <Lines>260</Lines>
  <Paragraphs>73</Paragraphs>
  <ScaleCrop>false</ScaleCrop>
  <Company/>
  <LinksUpToDate>false</LinksUpToDate>
  <CharactersWithSpaces>36601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Maryia Zharylouskaya</cp:lastModifiedBy>
  <cp:revision>3</cp:revision>
  <dcterms:created xsi:type="dcterms:W3CDTF">2026-07-17T12:37:00Z</dcterms:created>
  <dcterms:modified xsi:type="dcterms:W3CDTF">2026-07-17T16:08:00Z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2024-05-17T00:00:00Z</vt:lpwstr>
  </property>
  <property fmtid="{D5CDD505-2E9C-101B-9397-08002B2CF9AE}" pid="3" name="Creator">
    <vt:lpwstr>Microsoft® Word 2016</vt:lpwstr>
  </property>
  <property fmtid="{D5CDD505-2E9C-101B-9397-08002B2CF9AE}" pid="4" name="LastSaved">
    <vt:lpwstr>2024-08-06T00:00:00Z</vt:lpwstr>
  </property>
  <property fmtid="{D5CDD505-2E9C-101B-9397-08002B2CF9AE}" pid="5" name="Producer">
    <vt:lpwstr>Microsoft® Word 2016</vt:lpwstr>
  </property>
  <property fmtid="{D5CDD505-2E9C-101B-9397-08002B2CF9AE}" pid="6" name="ContentTypeId">
    <vt:lpwstr>0x0101009D953D6983EF5F4EB0B6A5354F975E96</vt:lpwstr>
  </property>
  <property fmtid="{D5CDD505-2E9C-101B-9397-08002B2CF9AE}" pid="7" name="MediaServiceImageTags">
    <vt:lpwstr/>
  </property>
</Properties>
</file>