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F6B4D" w14:textId="266CC85B" w:rsidR="00DF7CB0" w:rsidRDefault="000D5E33">
      <w:pPr>
        <w:jc w:val="right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</w:rPr>
        <w:t xml:space="preserve">15 de </w:t>
      </w:r>
      <w:r w:rsidR="00114957">
        <w:rPr>
          <w:rFonts w:ascii="Garamond" w:eastAsia="Garamond" w:hAnsi="Garamond" w:cs="Garamond"/>
        </w:rPr>
        <w:t xml:space="preserve">julio de 2026 </w:t>
      </w:r>
    </w:p>
    <w:p w14:paraId="04841B41" w14:textId="77777777" w:rsidR="00DF7CB0" w:rsidRDefault="00DF7CB0">
      <w:pPr>
        <w:jc w:val="both"/>
        <w:rPr>
          <w:rFonts w:ascii="Garamond" w:eastAsia="Garamond" w:hAnsi="Garamond" w:cs="Garamond"/>
          <w:b/>
          <w:bCs/>
        </w:rPr>
      </w:pPr>
    </w:p>
    <w:p w14:paraId="5B163B85" w14:textId="77777777" w:rsidR="00DF7CB0" w:rsidRDefault="00114957">
      <w:p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 xml:space="preserve">Honorable </w:t>
      </w:r>
    </w:p>
    <w:p w14:paraId="7EF642E8" w14:textId="77777777" w:rsidR="00DF7CB0" w:rsidRDefault="00114957">
      <w:p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 xml:space="preserve">Comité de Derechos Humanos </w:t>
      </w:r>
    </w:p>
    <w:p w14:paraId="4871BAE3" w14:textId="77777777" w:rsidR="00DF7CB0" w:rsidRDefault="00114957">
      <w:pPr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</w:rPr>
        <w:t>NACIONES UNIDAS</w:t>
      </w:r>
    </w:p>
    <w:p w14:paraId="4E1B7300" w14:textId="77777777" w:rsidR="00DF7CB0" w:rsidRDefault="00DF7CB0">
      <w:pPr>
        <w:jc w:val="both"/>
        <w:rPr>
          <w:rFonts w:ascii="Garamond" w:eastAsia="Garamond" w:hAnsi="Garamond" w:cs="Garamond"/>
          <w:b/>
          <w:bCs/>
          <w:sz w:val="24"/>
          <w:szCs w:val="24"/>
        </w:rPr>
      </w:pPr>
    </w:p>
    <w:p w14:paraId="0E17AD5B" w14:textId="7CD61F5F" w:rsidR="00DF7CB0" w:rsidRDefault="00114957">
      <w:pPr>
        <w:jc w:val="right"/>
        <w:rPr>
          <w:rFonts w:ascii="Garamond" w:eastAsia="Garamond" w:hAnsi="Garamond" w:cs="Garamond"/>
          <w:i/>
          <w:i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Asunto: </w:t>
      </w:r>
      <w:r>
        <w:rPr>
          <w:rFonts w:ascii="Garamond" w:eastAsia="Garamond" w:hAnsi="Garamond" w:cs="Garamond"/>
          <w:i/>
          <w:iCs/>
          <w:sz w:val="24"/>
          <w:szCs w:val="24"/>
        </w:rPr>
        <w:t xml:space="preserve">Comentarios sobre el proyecto de observación general </w:t>
      </w:r>
      <w:proofErr w:type="spellStart"/>
      <w:proofErr w:type="gramStart"/>
      <w:r>
        <w:rPr>
          <w:rFonts w:ascii="Garamond" w:eastAsia="Garamond" w:hAnsi="Garamond" w:cs="Garamond"/>
          <w:i/>
          <w:iCs/>
          <w:sz w:val="24"/>
          <w:szCs w:val="24"/>
        </w:rPr>
        <w:t>no.°</w:t>
      </w:r>
      <w:proofErr w:type="spellEnd"/>
      <w:proofErr w:type="gramEnd"/>
      <w:r>
        <w:rPr>
          <w:rFonts w:ascii="Garamond" w:eastAsia="Garamond" w:hAnsi="Garamond" w:cs="Garamond"/>
          <w:i/>
          <w:iCs/>
          <w:sz w:val="24"/>
          <w:szCs w:val="24"/>
        </w:rPr>
        <w:t xml:space="preserve"> </w:t>
      </w:r>
      <w:r w:rsidR="000D5E33">
        <w:rPr>
          <w:rFonts w:ascii="Garamond" w:eastAsia="Garamond" w:hAnsi="Garamond" w:cs="Garamond"/>
          <w:i/>
          <w:iCs/>
          <w:sz w:val="24"/>
          <w:szCs w:val="24"/>
        </w:rPr>
        <w:t>38 sobre</w:t>
      </w:r>
      <w:r>
        <w:rPr>
          <w:rFonts w:ascii="Garamond" w:eastAsia="Garamond" w:hAnsi="Garamond" w:cs="Garamond"/>
          <w:i/>
          <w:iCs/>
          <w:sz w:val="24"/>
          <w:szCs w:val="24"/>
        </w:rPr>
        <w:t xml:space="preserve"> </w:t>
      </w:r>
      <w:r w:rsidR="000D5E33">
        <w:rPr>
          <w:rFonts w:ascii="Garamond" w:eastAsia="Garamond" w:hAnsi="Garamond" w:cs="Garamond"/>
          <w:i/>
          <w:iCs/>
          <w:sz w:val="24"/>
          <w:szCs w:val="24"/>
        </w:rPr>
        <w:t xml:space="preserve">el </w:t>
      </w:r>
      <w:r>
        <w:rPr>
          <w:rFonts w:ascii="Garamond" w:eastAsia="Garamond" w:hAnsi="Garamond" w:cs="Garamond"/>
          <w:i/>
          <w:iCs/>
          <w:sz w:val="24"/>
          <w:szCs w:val="24"/>
        </w:rPr>
        <w:t xml:space="preserve">derecho a la libertad de asociación </w:t>
      </w:r>
    </w:p>
    <w:p w14:paraId="3D62342E" w14:textId="77777777" w:rsidR="00DF7CB0" w:rsidRDefault="00DF7CB0">
      <w:pPr>
        <w:jc w:val="right"/>
        <w:rPr>
          <w:rFonts w:ascii="Garamond" w:eastAsia="Garamond" w:hAnsi="Garamond" w:cs="Garamond"/>
          <w:i/>
          <w:iCs/>
        </w:rPr>
      </w:pPr>
    </w:p>
    <w:p w14:paraId="7B78A46B" w14:textId="6AC09E42" w:rsidR="00DF7CB0" w:rsidRDefault="00114957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 través del presente documento, desde la </w:t>
      </w:r>
      <w:r>
        <w:rPr>
          <w:rFonts w:ascii="Garamond" w:eastAsia="Garamond" w:hAnsi="Garamond" w:cs="Garamond"/>
          <w:b/>
          <w:bCs/>
        </w:rPr>
        <w:t>Red de Litigantes LGBTI+ de las Américas</w:t>
      </w:r>
      <w:r>
        <w:rPr>
          <w:rFonts w:ascii="Garamond" w:eastAsia="Garamond" w:hAnsi="Garamond" w:cs="Garamond"/>
          <w:b/>
          <w:bCs/>
          <w:vertAlign w:val="superscript"/>
        </w:rPr>
        <w:footnoteReference w:id="1"/>
      </w:r>
      <w:r>
        <w:rPr>
          <w:rFonts w:ascii="Garamond" w:eastAsia="Garamond" w:hAnsi="Garamond" w:cs="Garamond"/>
        </w:rPr>
        <w:t xml:space="preserve">,  ponemos a su disposición los siguientes comentarios sobre el proyecto de observación general no. 38 sobre el artículo 22 del Pacto Internacional de Derechos Civiles y Políticos </w:t>
      </w:r>
      <w:r w:rsidR="000D5E33">
        <w:rPr>
          <w:rFonts w:ascii="Garamond" w:eastAsia="Garamond" w:hAnsi="Garamond" w:cs="Garamond"/>
        </w:rPr>
        <w:t>en relación con el</w:t>
      </w:r>
      <w:r>
        <w:rPr>
          <w:rFonts w:ascii="Garamond" w:eastAsia="Garamond" w:hAnsi="Garamond" w:cs="Garamond"/>
        </w:rPr>
        <w:t xml:space="preserve"> derecho a la libertad de asociación. </w:t>
      </w:r>
    </w:p>
    <w:p w14:paraId="5E48A9A9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24A19DED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6734454B" w14:textId="77777777" w:rsidR="00DF7CB0" w:rsidRDefault="00114957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>DESARROLLO DE COMENTARIOS:</w:t>
      </w:r>
    </w:p>
    <w:p w14:paraId="5B5330ED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2188D668" w14:textId="77777777" w:rsidR="00DF7CB0" w:rsidRDefault="00114957">
      <w:pPr>
        <w:numPr>
          <w:ilvl w:val="0"/>
          <w:numId w:val="1"/>
        </w:num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 xml:space="preserve">Párrafo 2: </w:t>
      </w:r>
    </w:p>
    <w:p w14:paraId="19961340" w14:textId="77777777" w:rsidR="00DF7CB0" w:rsidRDefault="00DF7CB0">
      <w:pPr>
        <w:jc w:val="both"/>
        <w:rPr>
          <w:rFonts w:ascii="Garamond" w:eastAsia="Garamond" w:hAnsi="Garamond" w:cs="Garamond"/>
          <w:b/>
          <w:bCs/>
        </w:rPr>
      </w:pPr>
    </w:p>
    <w:p w14:paraId="2D6D2BF5" w14:textId="77777777" w:rsidR="00DF7CB0" w:rsidRDefault="00114957">
      <w:pPr>
        <w:jc w:val="both"/>
        <w:rPr>
          <w:rFonts w:ascii="Garamond" w:eastAsia="Garamond" w:hAnsi="Garamond" w:cs="Garamond"/>
          <w:u w:val="single"/>
        </w:rPr>
      </w:pPr>
      <w:r>
        <w:rPr>
          <w:rFonts w:ascii="Garamond" w:eastAsia="Garamond" w:hAnsi="Garamond" w:cs="Garamond"/>
          <w:b/>
          <w:bCs/>
        </w:rPr>
        <w:t xml:space="preserve">La plena realización del derecho a la libertad de asociación es una garantía indispensable para el disfrute efectivo del derecho a la igualdad y la no discriminación. </w:t>
      </w:r>
      <w:r>
        <w:rPr>
          <w:rFonts w:ascii="Garamond" w:eastAsia="Garamond" w:hAnsi="Garamond" w:cs="Garamond"/>
        </w:rPr>
        <w:t>El reconocimiento y la garantía de la libertad que tiene cada persona de asociarse con otras para defender intereses particulares sin restricciones basadas en categorías sospechosas de discriminación</w:t>
      </w:r>
      <w:r>
        <w:rPr>
          <w:rFonts w:ascii="Garamond" w:eastAsia="Garamond" w:hAnsi="Garamond" w:cs="Garamond"/>
          <w:vertAlign w:val="superscript"/>
        </w:rPr>
        <w:footnoteReference w:id="2"/>
      </w:r>
      <w:r>
        <w:rPr>
          <w:rFonts w:ascii="Garamond" w:eastAsia="Garamond" w:hAnsi="Garamond" w:cs="Garamond"/>
        </w:rPr>
        <w:t xml:space="preserve">, permite la materialización de la </w:t>
      </w:r>
      <w:r>
        <w:rPr>
          <w:rFonts w:ascii="Garamond" w:eastAsia="Garamond" w:hAnsi="Garamond" w:cs="Garamond"/>
          <w:u w:val="single"/>
        </w:rPr>
        <w:t>esfera formal del derecho a la igualdad</w:t>
      </w:r>
      <w:r>
        <w:rPr>
          <w:rFonts w:ascii="Garamond" w:eastAsia="Garamond" w:hAnsi="Garamond" w:cs="Garamond"/>
        </w:rPr>
        <w:t xml:space="preserve">. Asimismo, el derecho a la libertad de asociación </w:t>
      </w:r>
      <w:r>
        <w:rPr>
          <w:rFonts w:ascii="Garamond" w:eastAsia="Garamond" w:hAnsi="Garamond" w:cs="Garamond"/>
          <w:b/>
          <w:bCs/>
        </w:rPr>
        <w:t>permite la posibilidad de que grupos históricamente marginados se articulen para demandar sus exigencias, incidir en la toma de decisiones que les afectan y promover las transformaciones normativas, institucionales y culturales que consideren necesarias para lograr la eliminación de prácticas discriminatorias</w:t>
      </w:r>
      <w:r>
        <w:rPr>
          <w:rFonts w:ascii="Garamond" w:eastAsia="Garamond" w:hAnsi="Garamond" w:cs="Garamond"/>
        </w:rPr>
        <w:t xml:space="preserve">, logrando así la efectividad de la </w:t>
      </w:r>
      <w:r>
        <w:rPr>
          <w:rFonts w:ascii="Garamond" w:eastAsia="Garamond" w:hAnsi="Garamond" w:cs="Garamond"/>
          <w:u w:val="single"/>
        </w:rPr>
        <w:t>esfera sustancial del derecho a la igualdad</w:t>
      </w:r>
      <w:r>
        <w:rPr>
          <w:rFonts w:ascii="Garamond" w:eastAsia="Garamond" w:hAnsi="Garamond" w:cs="Garamond"/>
          <w:u w:val="single"/>
          <w:vertAlign w:val="superscript"/>
        </w:rPr>
        <w:footnoteReference w:id="3"/>
      </w:r>
      <w:r>
        <w:rPr>
          <w:rFonts w:ascii="Garamond" w:eastAsia="Garamond" w:hAnsi="Garamond" w:cs="Garamond"/>
          <w:u w:val="single"/>
        </w:rPr>
        <w:t xml:space="preserve">. </w:t>
      </w:r>
    </w:p>
    <w:p w14:paraId="503C2833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2EDF1055" w14:textId="66080F30" w:rsidR="00DF7CB0" w:rsidRDefault="00114957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Partiendo de esta vocación reivindicatoria que tiene el derecho a la libertad de asociación, su ejercicio sin restricciones arbitrarias es una condición habilitante para </w:t>
      </w:r>
      <w:r>
        <w:rPr>
          <w:rFonts w:ascii="Garamond" w:eastAsia="Garamond" w:hAnsi="Garamond" w:cs="Garamond"/>
          <w:b/>
          <w:bCs/>
          <w:u w:val="single"/>
        </w:rPr>
        <w:t>el derecho a defender derechos humanos.</w:t>
      </w:r>
      <w:r>
        <w:rPr>
          <w:rFonts w:ascii="Garamond" w:eastAsia="Garamond" w:hAnsi="Garamond" w:cs="Garamond"/>
          <w:b/>
          <w:bCs/>
        </w:rPr>
        <w:t xml:space="preserve"> </w:t>
      </w:r>
      <w:r>
        <w:rPr>
          <w:rFonts w:ascii="Garamond" w:eastAsia="Garamond" w:hAnsi="Garamond" w:cs="Garamond"/>
        </w:rPr>
        <w:t>En el Sistema Universal de protección de Derechos Humanos</w:t>
      </w:r>
      <w:r>
        <w:rPr>
          <w:rFonts w:ascii="Garamond" w:eastAsia="Garamond" w:hAnsi="Garamond" w:cs="Garamond"/>
          <w:vertAlign w:val="superscript"/>
        </w:rPr>
        <w:footnoteReference w:id="4"/>
      </w:r>
      <w:r>
        <w:rPr>
          <w:rFonts w:ascii="Garamond" w:eastAsia="Garamond" w:hAnsi="Garamond" w:cs="Garamond"/>
        </w:rPr>
        <w:t xml:space="preserve"> se ha reconocido que toda persona tiene derecho, individual</w:t>
      </w:r>
      <w:r>
        <w:rPr>
          <w:rFonts w:ascii="Garamond" w:eastAsia="Garamond" w:hAnsi="Garamond" w:cs="Garamond"/>
          <w:b/>
          <w:bCs/>
        </w:rPr>
        <w:t xml:space="preserve"> o colectivamente,</w:t>
      </w:r>
      <w:r>
        <w:rPr>
          <w:rFonts w:ascii="Garamond" w:eastAsia="Garamond" w:hAnsi="Garamond" w:cs="Garamond"/>
        </w:rPr>
        <w:t xml:space="preserve"> a promover y procurar la protección y realización de los derechos humanos y las libertades fundamentales</w:t>
      </w:r>
      <w:r>
        <w:rPr>
          <w:rFonts w:ascii="Garamond" w:eastAsia="Garamond" w:hAnsi="Garamond" w:cs="Garamond"/>
        </w:rPr>
        <w:t xml:space="preserve">. Este derecho, siguiendo lo desarrollado por el Sistema Interamericano, debe incorporar la posibilidad efectiva de ejercer libremente, sin limitaciones y sin riesgos de cualquier tipo, distintas actividades y labores dirigidas al impulso, vigilancia, promoción, divulgación, enseñanza, defensa, reclamo o protección de los derechos humanos y las libertades fundamentales universalmente reconocidas. Asimismo, la Corte IDH ha declarado que este es un derecho </w:t>
      </w:r>
      <w:r>
        <w:rPr>
          <w:rFonts w:ascii="Garamond" w:eastAsia="Garamond" w:hAnsi="Garamond" w:cs="Garamond"/>
        </w:rPr>
        <w:lastRenderedPageBreak/>
        <w:t>autónomo pese a su estrecha relación con derechos com</w:t>
      </w:r>
      <w:r>
        <w:rPr>
          <w:rFonts w:ascii="Garamond" w:eastAsia="Garamond" w:hAnsi="Garamond" w:cs="Garamond"/>
        </w:rPr>
        <w:t xml:space="preserve">o la vida, la integridad personal, la libertad de reunión </w:t>
      </w:r>
      <w:r>
        <w:rPr>
          <w:rFonts w:ascii="Garamond" w:eastAsia="Garamond" w:hAnsi="Garamond" w:cs="Garamond"/>
          <w:b/>
          <w:bCs/>
        </w:rPr>
        <w:t>y claramente, la libertad de asociación como uno de sus vehículos de realización</w:t>
      </w:r>
      <w:r>
        <w:rPr>
          <w:rFonts w:ascii="Garamond" w:eastAsia="Garamond" w:hAnsi="Garamond" w:cs="Garamond"/>
          <w:b/>
          <w:bCs/>
          <w:vertAlign w:val="superscript"/>
        </w:rPr>
        <w:footnoteReference w:id="5"/>
      </w:r>
      <w:r>
        <w:rPr>
          <w:rFonts w:ascii="Garamond" w:eastAsia="Garamond" w:hAnsi="Garamond" w:cs="Garamond"/>
          <w:b/>
          <w:bCs/>
        </w:rPr>
        <w:t xml:space="preserve">. </w:t>
      </w:r>
    </w:p>
    <w:p w14:paraId="3E82649F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2B5AF623" w14:textId="1381FB30" w:rsidR="00DF7CB0" w:rsidRDefault="00114957">
      <w:p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</w:rPr>
        <w:t xml:space="preserve">De la obligación de respeto y garantía del derecho a defender derechos humanos se le impone a los Estados la obligación de </w:t>
      </w:r>
      <w:r>
        <w:rPr>
          <w:rFonts w:ascii="Garamond" w:eastAsia="Garamond" w:hAnsi="Garamond" w:cs="Garamond"/>
        </w:rPr>
        <w:t>abstenerse de imponer a las personas defensoras obstáculos que dificulten la efectiva realización de sus actividades, estigmatizarlas</w:t>
      </w:r>
      <w:r>
        <w:rPr>
          <w:rFonts w:ascii="Garamond" w:eastAsia="Garamond" w:hAnsi="Garamond" w:cs="Garamond"/>
        </w:rPr>
        <w:t xml:space="preserve"> o cuestionar la legitimidad de su labor</w:t>
      </w:r>
      <w:r>
        <w:rPr>
          <w:rFonts w:ascii="Garamond" w:eastAsia="Garamond" w:hAnsi="Garamond" w:cs="Garamond"/>
          <w:vertAlign w:val="superscript"/>
        </w:rPr>
        <w:footnoteReference w:id="6"/>
      </w:r>
      <w:r>
        <w:rPr>
          <w:rFonts w:ascii="Garamond" w:eastAsia="Garamond" w:hAnsi="Garamond" w:cs="Garamond"/>
        </w:rPr>
        <w:t>. En ese sentido, la realización plena del derecho a la</w:t>
      </w:r>
      <w:r>
        <w:rPr>
          <w:rFonts w:ascii="Garamond" w:eastAsia="Garamond" w:hAnsi="Garamond" w:cs="Garamond"/>
          <w:b/>
          <w:bCs/>
        </w:rPr>
        <w:t xml:space="preserve"> libertad de asociación sin restricciones arbitrarias es medio necesario a través del cual las personas </w:t>
      </w:r>
      <w:r>
        <w:rPr>
          <w:rFonts w:ascii="Garamond" w:eastAsia="Garamond" w:hAnsi="Garamond" w:cs="Garamond"/>
          <w:b/>
          <w:bCs/>
        </w:rPr>
        <w:t xml:space="preserve">puedan ejercer su derecho a </w:t>
      </w:r>
      <w:r w:rsidR="001D7975">
        <w:rPr>
          <w:rFonts w:ascii="Garamond" w:eastAsia="Garamond" w:hAnsi="Garamond" w:cs="Garamond"/>
          <w:b/>
          <w:bCs/>
        </w:rPr>
        <w:t>defender</w:t>
      </w:r>
      <w:r>
        <w:rPr>
          <w:rFonts w:ascii="Garamond" w:eastAsia="Garamond" w:hAnsi="Garamond" w:cs="Garamond"/>
          <w:b/>
          <w:bCs/>
        </w:rPr>
        <w:t xml:space="preserve"> derechos humanos. </w:t>
      </w:r>
    </w:p>
    <w:p w14:paraId="5BA17667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5C483784" w14:textId="77777777" w:rsidR="00DF7CB0" w:rsidRDefault="00114957">
      <w:pPr>
        <w:numPr>
          <w:ilvl w:val="0"/>
          <w:numId w:val="1"/>
        </w:num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>Párrafo 3</w:t>
      </w:r>
    </w:p>
    <w:p w14:paraId="5986A495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1D64DBF8" w14:textId="77777777" w:rsidR="00DF7CB0" w:rsidRDefault="00114957">
      <w:p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>Las organizaciones que brindan asistencia jurídica y trabajan en el litigio de alto impacto desempeñan un papel fundamental en la consolidación de la democracia y el Estado de Derecho</w:t>
      </w:r>
      <w:r>
        <w:rPr>
          <w:rFonts w:ascii="Garamond" w:eastAsia="Garamond" w:hAnsi="Garamond" w:cs="Garamond"/>
          <w:b/>
          <w:bCs/>
          <w:vertAlign w:val="superscript"/>
        </w:rPr>
        <w:footnoteReference w:id="7"/>
      </w:r>
      <w:r>
        <w:rPr>
          <w:rFonts w:ascii="Garamond" w:eastAsia="Garamond" w:hAnsi="Garamond" w:cs="Garamond"/>
          <w:b/>
          <w:bCs/>
        </w:rPr>
        <w:t>.</w:t>
      </w:r>
      <w:r>
        <w:rPr>
          <w:rFonts w:ascii="Garamond" w:eastAsia="Garamond" w:hAnsi="Garamond" w:cs="Garamond"/>
        </w:rPr>
        <w:t xml:space="preserve"> A través de sus acciones ante los sistemas de justicia nacionales e internacionales, del acompañamiento a víctimas de violaciones de derechos humanos y de su labor de incidencia para la promoción de transformaciones normativas y culturales, contribuyen de manera decisiva al fortalecimiento del tejido social, a la ampliación de los espacios de participación democrática y la </w:t>
      </w:r>
      <w:r>
        <w:rPr>
          <w:rFonts w:ascii="Garamond" w:eastAsia="Garamond" w:hAnsi="Garamond" w:cs="Garamond"/>
          <w:b/>
          <w:bCs/>
        </w:rPr>
        <w:t xml:space="preserve">vigilancia efectiva del ejercicio del poder público y del cumplimiento de las obligaciones estatales de respeto, protección y garantía de los derechos humanos. </w:t>
      </w:r>
    </w:p>
    <w:p w14:paraId="41578BE4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569E78A7" w14:textId="77777777" w:rsidR="00DF7CB0" w:rsidRDefault="00114957">
      <w:pPr>
        <w:numPr>
          <w:ilvl w:val="0"/>
          <w:numId w:val="1"/>
        </w:num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 xml:space="preserve">Párrafo 10 </w:t>
      </w:r>
    </w:p>
    <w:p w14:paraId="18877BCE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20A55F36" w14:textId="77777777" w:rsidR="00DF7CB0" w:rsidRDefault="00114957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>La ausencia de consenso social o político respecto al reconocimiento de ciertos derechos a un grupo determinado no constituye una justificación válida para restringir el ejercicio de su libertad de asociación</w:t>
      </w:r>
      <w:r>
        <w:rPr>
          <w:rFonts w:ascii="Garamond" w:eastAsia="Garamond" w:hAnsi="Garamond" w:cs="Garamond"/>
          <w:b/>
          <w:bCs/>
          <w:vertAlign w:val="superscript"/>
        </w:rPr>
        <w:footnoteReference w:id="8"/>
      </w:r>
      <w:r>
        <w:rPr>
          <w:rFonts w:ascii="Garamond" w:eastAsia="Garamond" w:hAnsi="Garamond" w:cs="Garamond"/>
          <w:b/>
          <w:bCs/>
        </w:rPr>
        <w:t xml:space="preserve">. </w:t>
      </w:r>
      <w:r>
        <w:rPr>
          <w:rFonts w:ascii="Garamond" w:eastAsia="Garamond" w:hAnsi="Garamond" w:cs="Garamond"/>
        </w:rPr>
        <w:t xml:space="preserve">Condicionar el ejercicio de la libertad de asociación a la existencia de la aprobación popular vaciaría de contenido su propósito democrático y limitaría la capacidad de los grupos históricamente discriminados de participar en el debate público, de exigir el reconocimiento de sus derechos e incidir en las decisiones que afectan sus vidas. Es así </w:t>
      </w:r>
      <w:proofErr w:type="gramStart"/>
      <w:r>
        <w:rPr>
          <w:rFonts w:ascii="Garamond" w:eastAsia="Garamond" w:hAnsi="Garamond" w:cs="Garamond"/>
        </w:rPr>
        <w:t>que</w:t>
      </w:r>
      <w:proofErr w:type="gram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b/>
          <w:bCs/>
        </w:rPr>
        <w:t>la garantía plena de la libertad de asociación tiene especial impacto en aquellas expresiones organizativas que buscan desafiar situaciones de exclusión social, desigualdad o discriminación</w:t>
      </w:r>
      <w:r>
        <w:rPr>
          <w:rFonts w:ascii="Garamond" w:eastAsia="Garamond" w:hAnsi="Garamond" w:cs="Garamond"/>
        </w:rPr>
        <w:t>. Restringir su capacidad de organización, y en consecuencia limitar su participación en el ámbito público, no sólo profundiza las condiciones de marginación que enfrentan, sino que además afecta al debate democrático al privarlo de las voces, experiencias y perspectivas más diversas.</w:t>
      </w:r>
    </w:p>
    <w:p w14:paraId="03425823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233BEF10" w14:textId="77777777" w:rsidR="00DF7CB0" w:rsidRDefault="00114957">
      <w:pPr>
        <w:numPr>
          <w:ilvl w:val="0"/>
          <w:numId w:val="1"/>
        </w:num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>Párrafo 11</w:t>
      </w:r>
    </w:p>
    <w:p w14:paraId="4D4F0311" w14:textId="235D4080" w:rsidR="00DF7CB0" w:rsidRDefault="00114957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La creciente digitalización de la acción colectiva exige reconocer que las amenazas a la libertad de asociación ya no provienen únicamente de actores estatales </w:t>
      </w:r>
      <w:r w:rsidR="000D5E33">
        <w:rPr>
          <w:rFonts w:ascii="Garamond" w:eastAsia="Garamond" w:hAnsi="Garamond" w:cs="Garamond"/>
          <w:b/>
          <w:bCs/>
        </w:rPr>
        <w:t>y restricciones</w:t>
      </w:r>
      <w:r>
        <w:rPr>
          <w:rFonts w:ascii="Garamond" w:eastAsia="Garamond" w:hAnsi="Garamond" w:cs="Garamond"/>
          <w:b/>
          <w:bCs/>
        </w:rPr>
        <w:t xml:space="preserve"> formales.</w:t>
      </w:r>
      <w:r>
        <w:rPr>
          <w:rFonts w:ascii="Garamond" w:eastAsia="Garamond" w:hAnsi="Garamond" w:cs="Garamond"/>
        </w:rPr>
        <w:t xml:space="preserve"> En la actualidad, las campañas coordinadas de acoso digital, </w:t>
      </w:r>
      <w:proofErr w:type="spellStart"/>
      <w:r>
        <w:rPr>
          <w:rFonts w:ascii="Garamond" w:eastAsia="Garamond" w:hAnsi="Garamond" w:cs="Garamond"/>
        </w:rPr>
        <w:t>doxxing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proofErr w:type="gramStart"/>
      <w:r>
        <w:rPr>
          <w:rFonts w:ascii="Garamond" w:eastAsia="Garamond" w:hAnsi="Garamond" w:cs="Garamond"/>
        </w:rPr>
        <w:t>fake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news</w:t>
      </w:r>
      <w:proofErr w:type="spellEnd"/>
      <w:proofErr w:type="gramEnd"/>
      <w:r>
        <w:rPr>
          <w:rFonts w:ascii="Garamond" w:eastAsia="Garamond" w:hAnsi="Garamond" w:cs="Garamond"/>
        </w:rPr>
        <w:t xml:space="preserve"> y discursos discriminatorios dirigidos contra integrantes de asociaciones y organizaciones de la sociedad civil pueden producir efectos igualmente restrictivos sobre el ejercicio de la libertad de asociación</w:t>
      </w:r>
      <w:r>
        <w:rPr>
          <w:rFonts w:ascii="Garamond" w:eastAsia="Garamond" w:hAnsi="Garamond" w:cs="Garamond"/>
          <w:vertAlign w:val="superscript"/>
        </w:rPr>
        <w:footnoteReference w:id="9"/>
      </w:r>
      <w:r>
        <w:rPr>
          <w:rFonts w:ascii="Garamond" w:eastAsia="Garamond" w:hAnsi="Garamond" w:cs="Garamond"/>
        </w:rPr>
        <w:t xml:space="preserve">.  </w:t>
      </w:r>
    </w:p>
    <w:p w14:paraId="6B35943E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0184EC0A" w14:textId="7C396E11" w:rsidR="00DF7CB0" w:rsidRDefault="00114957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lastRenderedPageBreak/>
        <w:t>En el caso de las asociaciones u organizaciones de personas LGBTIQ+ estos ataques las afectan de manera diferenciada. La violencia digital en su contra se fundamenta en prejuicios</w:t>
      </w:r>
      <w:r>
        <w:rPr>
          <w:rFonts w:ascii="Garamond" w:eastAsia="Garamond" w:hAnsi="Garamond" w:cs="Garamond"/>
        </w:rPr>
        <w:t xml:space="preserve"> que buscan deslegitimar, invisibilizar, expulsar o eliminar </w:t>
      </w:r>
      <w:r w:rsidR="00E12781">
        <w:rPr>
          <w:rFonts w:ascii="Garamond" w:eastAsia="Garamond" w:hAnsi="Garamond" w:cs="Garamond"/>
        </w:rPr>
        <w:t>sus</w:t>
      </w:r>
      <w:r>
        <w:rPr>
          <w:rFonts w:ascii="Garamond" w:eastAsia="Garamond" w:hAnsi="Garamond" w:cs="Garamond"/>
        </w:rPr>
        <w:t xml:space="preserve"> expresiones colectivas</w:t>
      </w:r>
      <w:r>
        <w:rPr>
          <w:rFonts w:ascii="Garamond" w:eastAsia="Garamond" w:hAnsi="Garamond" w:cs="Garamond"/>
        </w:rPr>
        <w:t>, y lo que ellas representan dentro de los espacios de deliberación pública, incluidos los entornos digitales</w:t>
      </w:r>
      <w:r>
        <w:rPr>
          <w:rFonts w:ascii="Garamond" w:eastAsia="Garamond" w:hAnsi="Garamond" w:cs="Garamond"/>
          <w:vertAlign w:val="superscript"/>
        </w:rPr>
        <w:footnoteReference w:id="10"/>
      </w:r>
      <w:r>
        <w:rPr>
          <w:rFonts w:ascii="Garamond" w:eastAsia="Garamond" w:hAnsi="Garamond" w:cs="Garamond"/>
        </w:rPr>
        <w:t xml:space="preserve">. Estas prácticas enfocadas en atacar a la asociación como colectivo y de forma individual a quienes la integran, aumentan los costos personales de la acción colectiva como también dificultan la construcción y difusión de narrativas favorables a los derechos LGBTIQ+ en los entornos digitales, al desplazar el debate </w:t>
      </w:r>
      <w:r>
        <w:rPr>
          <w:rFonts w:ascii="Garamond" w:eastAsia="Garamond" w:hAnsi="Garamond" w:cs="Garamond"/>
        </w:rPr>
        <w:t xml:space="preserve">hacia ataques personales, campañas de desprestigio y controversias </w:t>
      </w:r>
      <w:r>
        <w:rPr>
          <w:rFonts w:ascii="Garamond" w:eastAsia="Garamond" w:hAnsi="Garamond" w:cs="Garamond"/>
        </w:rPr>
        <w:t xml:space="preserve">que reducen sus reivindicaciones </w:t>
      </w:r>
      <w:r>
        <w:rPr>
          <w:rFonts w:ascii="Garamond" w:eastAsia="Garamond" w:hAnsi="Garamond" w:cs="Garamond"/>
        </w:rPr>
        <w:t xml:space="preserve">a </w:t>
      </w:r>
      <w:r>
        <w:rPr>
          <w:rFonts w:ascii="Garamond" w:eastAsia="Garamond" w:hAnsi="Garamond" w:cs="Garamond"/>
        </w:rPr>
        <w:t xml:space="preserve">demandas fútiles o </w:t>
      </w:r>
      <w:r>
        <w:rPr>
          <w:rFonts w:ascii="Garamond" w:eastAsia="Garamond" w:hAnsi="Garamond" w:cs="Garamond"/>
          <w:i/>
          <w:iCs/>
        </w:rPr>
        <w:t>perversiones</w:t>
      </w:r>
      <w:r>
        <w:rPr>
          <w:rFonts w:ascii="Garamond" w:eastAsia="Garamond" w:hAnsi="Garamond" w:cs="Garamond"/>
          <w:i/>
          <w:iCs/>
          <w:vertAlign w:val="superscript"/>
        </w:rPr>
        <w:footnoteReference w:id="11"/>
      </w:r>
      <w:r>
        <w:rPr>
          <w:rFonts w:ascii="Garamond" w:eastAsia="Garamond" w:hAnsi="Garamond" w:cs="Garamond"/>
        </w:rPr>
        <w:t xml:space="preserve">. </w:t>
      </w:r>
    </w:p>
    <w:p w14:paraId="3590D2D1" w14:textId="14FFA188" w:rsidR="00DF7CB0" w:rsidRDefault="00114957">
      <w:pPr>
        <w:spacing w:before="220" w:after="2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En este contexto, resulta particularmente importante que el cumplimiento de las obligaciones estatales de garantía de la libertad de asociación en entornos digitales no se limite a la abstención de interferencias directas. </w:t>
      </w:r>
      <w:r>
        <w:rPr>
          <w:rFonts w:ascii="Garamond" w:eastAsia="Garamond" w:hAnsi="Garamond" w:cs="Garamond"/>
        </w:rPr>
        <w:t>Los Estados deben adoptar medidas razonables con enfoque de género y diversidad sexual para prevenir, investigar, sancionar y reparar las formas de violencia digital</w:t>
      </w:r>
      <w:r>
        <w:rPr>
          <w:rFonts w:ascii="Garamond" w:eastAsia="Garamond" w:hAnsi="Garamond" w:cs="Garamond"/>
        </w:rPr>
        <w:t xml:space="preserve">. Entre dichas medidas podrían incluirse el establecimiento de marcos regulatorios integrales y coactivos para prevenir y sancionar la discriminación en entornos digitales; la adopción de mecanismos de supervisión que promuevan la transparencia, la rendición de cuentas y la debida diligencia de las plataformas digitales en materia de moderación de contenidos y derechos humanos; y el desarrollo de mecanismos de protección y reparación para asociaciones y personas defensoras </w:t>
      </w:r>
      <w:r>
        <w:rPr>
          <w:rFonts w:ascii="Garamond" w:eastAsia="Garamond" w:hAnsi="Garamond" w:cs="Garamond"/>
        </w:rPr>
        <w:t>que sean objeto de ataques digitales</w:t>
      </w:r>
      <w:r>
        <w:rPr>
          <w:rFonts w:ascii="Garamond" w:eastAsia="Garamond" w:hAnsi="Garamond" w:cs="Garamond"/>
          <w:vertAlign w:val="superscript"/>
        </w:rPr>
        <w:footnoteReference w:id="12"/>
      </w:r>
      <w:r>
        <w:rPr>
          <w:rFonts w:ascii="Garamond" w:eastAsia="Garamond" w:hAnsi="Garamond" w:cs="Garamond"/>
        </w:rPr>
        <w:t xml:space="preserve">. </w:t>
      </w:r>
    </w:p>
    <w:p w14:paraId="0FF47312" w14:textId="77777777" w:rsidR="00DF7CB0" w:rsidRDefault="00114957">
      <w:pPr>
        <w:numPr>
          <w:ilvl w:val="0"/>
          <w:numId w:val="1"/>
        </w:numPr>
        <w:spacing w:before="220" w:after="220"/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>Párrafos 13, 33 y 34</w:t>
      </w:r>
    </w:p>
    <w:p w14:paraId="2FEF3688" w14:textId="505EAFC0" w:rsidR="00DF7CB0" w:rsidRDefault="00114957">
      <w:pPr>
        <w:spacing w:before="220" w:after="220"/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 xml:space="preserve">El reconocimiento legal de la identidad de género constituye una condición indispensable para el goce efectivo del derecho a la libertad de asociación de las personas trans y de género diverso. </w:t>
      </w:r>
      <w:r>
        <w:rPr>
          <w:rFonts w:ascii="Garamond" w:eastAsia="Garamond" w:hAnsi="Garamond" w:cs="Garamond"/>
        </w:rPr>
        <w:t xml:space="preserve"> Para </w:t>
      </w:r>
      <w:r>
        <w:rPr>
          <w:rFonts w:ascii="Garamond" w:eastAsia="Garamond" w:hAnsi="Garamond" w:cs="Garamond"/>
        </w:rPr>
        <w:t>el pleno disfrute de este derecho, los Estados tienen la obligación de diseñar mecanismos administrativos basados en la autodeterminación, que sean expeditos, confidenciales, accesibles y tendientes a la gratuidad, y que permitan la adecuación de los documentos de identidad y demás registros oficiales de las personas trans</w:t>
      </w:r>
      <w:r>
        <w:rPr>
          <w:rFonts w:ascii="Garamond" w:eastAsia="Garamond" w:hAnsi="Garamond" w:cs="Garamond"/>
          <w:vertAlign w:val="superscript"/>
        </w:rPr>
        <w:footnoteReference w:id="13"/>
      </w:r>
      <w:r>
        <w:rPr>
          <w:rFonts w:ascii="Garamond" w:eastAsia="Garamond" w:hAnsi="Garamond" w:cs="Garamond"/>
        </w:rPr>
        <w:t xml:space="preserve">. </w:t>
      </w:r>
      <w:r>
        <w:rPr>
          <w:rFonts w:ascii="Garamond" w:eastAsia="Garamond" w:hAnsi="Garamond" w:cs="Garamond"/>
          <w:b/>
          <w:bCs/>
        </w:rPr>
        <w:t xml:space="preserve">En aquellos Estados en los que no existen estos procedimientos o que su acceso se ve obstaculizado por barreras burocráticas, económicas o </w:t>
      </w:r>
      <w:proofErr w:type="spellStart"/>
      <w:r>
        <w:rPr>
          <w:rFonts w:ascii="Garamond" w:eastAsia="Garamond" w:hAnsi="Garamond" w:cs="Garamond"/>
          <w:b/>
          <w:bCs/>
        </w:rPr>
        <w:t>patologizantes</w:t>
      </w:r>
      <w:proofErr w:type="spellEnd"/>
      <w:r>
        <w:rPr>
          <w:rFonts w:ascii="Garamond" w:eastAsia="Garamond" w:hAnsi="Garamond" w:cs="Garamond"/>
          <w:b/>
          <w:bCs/>
        </w:rPr>
        <w:t>, el ejercicio de la personalidad jurídica de las personas trans se encuentra limitado y por ende, también lo está su capacidad de constituir formalmente asociaciones u organizaciones,</w:t>
      </w:r>
      <w:r>
        <w:rPr>
          <w:rFonts w:ascii="Garamond" w:eastAsia="Garamond" w:hAnsi="Garamond" w:cs="Garamond"/>
        </w:rPr>
        <w:t xml:space="preserve"> ejercer cargos de representación, realizar trámites administrativos, acceder a servicios financieros o a los registros públicos necesarios para el desarrollo de sus actividades.</w:t>
      </w:r>
      <w:r>
        <w:rPr>
          <w:rFonts w:ascii="Garamond" w:eastAsia="Garamond" w:hAnsi="Garamond" w:cs="Garamond"/>
          <w:b/>
          <w:bCs/>
        </w:rPr>
        <w:t xml:space="preserve"> En consecuencia, estas barreras se traducen en desincentivos importantes para la organización colectiva de personas trans. </w:t>
      </w:r>
    </w:p>
    <w:p w14:paraId="070BD3B4" w14:textId="25B9136E" w:rsidR="00DF7CB0" w:rsidRDefault="00114957">
      <w:pPr>
        <w:spacing w:before="220" w:after="2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Aunque el derecho a la asociación se puede ejercer de facto sin registros oficiales correspondientes, el derecho de igualdad ante la ley y el principio de no discriminación determinan que las asociaciones de personas trans deben tener la posibilidad ejercerlo en las mismas condiciones que el resto de la ciudadanía. </w:t>
      </w:r>
      <w:r w:rsidR="00AF0288">
        <w:rPr>
          <w:rFonts w:ascii="Garamond" w:eastAsia="Garamond" w:hAnsi="Garamond" w:cs="Garamond"/>
        </w:rPr>
        <w:t xml:space="preserve">Sobre </w:t>
      </w:r>
      <w:proofErr w:type="gramStart"/>
      <w:r w:rsidR="00AF0288">
        <w:rPr>
          <w:rFonts w:ascii="Garamond" w:eastAsia="Garamond" w:hAnsi="Garamond" w:cs="Garamond"/>
        </w:rPr>
        <w:t>todo</w:t>
      </w:r>
      <w:proofErr w:type="gramEnd"/>
      <w:r>
        <w:rPr>
          <w:rFonts w:ascii="Garamond" w:eastAsia="Garamond" w:hAnsi="Garamond" w:cs="Garamond"/>
        </w:rPr>
        <w:t xml:space="preserve"> cuando el reconocimiento formal de una asociación u organización no es una cuestión meramente procedimental: </w:t>
      </w:r>
      <w:r>
        <w:rPr>
          <w:rFonts w:ascii="Garamond" w:eastAsia="Garamond" w:hAnsi="Garamond" w:cs="Garamond"/>
          <w:b/>
          <w:bCs/>
        </w:rPr>
        <w:t xml:space="preserve">su formalización facilita el acceso a financiación pública y privada; a </w:t>
      </w:r>
      <w:r>
        <w:rPr>
          <w:rFonts w:ascii="Garamond" w:eastAsia="Garamond" w:hAnsi="Garamond" w:cs="Garamond"/>
          <w:b/>
          <w:bCs/>
        </w:rPr>
        <w:lastRenderedPageBreak/>
        <w:t xml:space="preserve">beneficios tributarios; a mecanismos de cooperación internacional; e incluso abre la posibilidad de comparecer ante autoridades administrativas y judiciales en nombre de la asociación para defender sus intereses. </w:t>
      </w:r>
      <w:r>
        <w:rPr>
          <w:rFonts w:ascii="Garamond" w:eastAsia="Garamond" w:hAnsi="Garamond" w:cs="Garamond"/>
        </w:rPr>
        <w:t xml:space="preserve">En el caso de las asociaciones de personas trans esto adquiere especial relevancia, pues este tipo de beneficios facilitan su participación en la vida democrática.  </w:t>
      </w:r>
    </w:p>
    <w:p w14:paraId="6BC56120" w14:textId="0BB2B5E6" w:rsidR="00DF7CB0" w:rsidRDefault="00114957">
      <w:pPr>
        <w:numPr>
          <w:ilvl w:val="0"/>
          <w:numId w:val="1"/>
        </w:num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 xml:space="preserve">Párrafo </w:t>
      </w:r>
      <w:r w:rsidR="000D5E33">
        <w:rPr>
          <w:rFonts w:ascii="Garamond" w:eastAsia="Garamond" w:hAnsi="Garamond" w:cs="Garamond"/>
          <w:b/>
          <w:bCs/>
        </w:rPr>
        <w:t>14:</w:t>
      </w:r>
      <w:r>
        <w:rPr>
          <w:rFonts w:ascii="Garamond" w:eastAsia="Garamond" w:hAnsi="Garamond" w:cs="Garamond"/>
          <w:b/>
          <w:bCs/>
        </w:rPr>
        <w:t xml:space="preserve"> </w:t>
      </w:r>
    </w:p>
    <w:p w14:paraId="0E2C066F" w14:textId="77777777" w:rsidR="00DF7CB0" w:rsidRDefault="00DF7CB0">
      <w:pPr>
        <w:jc w:val="both"/>
        <w:rPr>
          <w:rFonts w:ascii="Garamond" w:eastAsia="Garamond" w:hAnsi="Garamond" w:cs="Garamond"/>
          <w:b/>
          <w:bCs/>
        </w:rPr>
      </w:pPr>
    </w:p>
    <w:p w14:paraId="3F676B25" w14:textId="28E7D986" w:rsidR="00DF7CB0" w:rsidRDefault="00114957">
      <w:p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>El derecho a la libertad de asociación debe garantizar que las actividades de asesoramiento jurídico y de litigio en contra de los Estados se lleven a cabo libremente y sin represalias.</w:t>
      </w:r>
      <w:r w:rsidR="000D5E33">
        <w:rPr>
          <w:rFonts w:ascii="Garamond" w:eastAsia="Garamond" w:hAnsi="Garamond" w:cs="Garamond"/>
          <w:b/>
          <w:bCs/>
        </w:rPr>
        <w:t xml:space="preserve"> </w:t>
      </w:r>
      <w:r>
        <w:rPr>
          <w:rFonts w:ascii="Garamond" w:eastAsia="Garamond" w:hAnsi="Garamond" w:cs="Garamond"/>
        </w:rPr>
        <w:t>Esta garantía es particularmente importante para las organizaciones dedicadas a la asistencia jurídica y el litigio estratégico para la defensa de derechos humanos, pues la naturaleza misma de su existencia es la denuncia de actuaciones irregulares por parte de actores estatales a través de procesos judiciales o administrativos dirigidos a exigir su responsabilidad por violaciones a derechos humanos</w:t>
      </w:r>
      <w:r>
        <w:rPr>
          <w:rFonts w:ascii="Garamond" w:eastAsia="Garamond" w:hAnsi="Garamond" w:cs="Garamond"/>
          <w:b/>
          <w:bCs/>
        </w:rPr>
        <w:t>. El ejercicio de estas actividades no debe limitarse directa o indirectamente, como por ejemplo a través de la sanción de la utilización de recursos de cooperación internacional para financiar, asesorar o asumir la representación en cualquier tipo de litigio contra el Estado</w:t>
      </w:r>
      <w:r>
        <w:rPr>
          <w:rFonts w:ascii="Garamond" w:eastAsia="Garamond" w:hAnsi="Garamond" w:cs="Garamond"/>
          <w:b/>
          <w:bCs/>
          <w:vertAlign w:val="superscript"/>
        </w:rPr>
        <w:footnoteReference w:id="14"/>
      </w:r>
      <w:r>
        <w:rPr>
          <w:rFonts w:ascii="Garamond" w:eastAsia="Garamond" w:hAnsi="Garamond" w:cs="Garamond"/>
          <w:b/>
          <w:bCs/>
        </w:rPr>
        <w:t xml:space="preserve">. </w:t>
      </w:r>
    </w:p>
    <w:p w14:paraId="7D86342B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208C4BA3" w14:textId="77777777" w:rsidR="00DF7CB0" w:rsidRDefault="00114957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>La imposición de cargas financieras desproporcionadas, la apertura de investigaciones judiciales o disciplinarias como forma de hostigamiento o la suspensión o cancelación del registro como sanción por litigar en contra del Estado, tiene un efecto inhibidor sobre el ejercicio de la libertad de asociación,</w:t>
      </w:r>
      <w:r>
        <w:rPr>
          <w:rFonts w:ascii="Garamond" w:eastAsia="Garamond" w:hAnsi="Garamond" w:cs="Garamond"/>
        </w:rPr>
        <w:t xml:space="preserve"> del derecho a defender derechos, e indirectamente en el acceso a la justicia de las víctimas de violaciones de derechos humanos perpetradas por el Estado. En consecuencia, erosionan el espacio cívico y debilitan las garantías necesarias para la existencia de sociedades democráticas</w:t>
      </w:r>
      <w:r>
        <w:rPr>
          <w:rFonts w:ascii="Garamond" w:eastAsia="Garamond" w:hAnsi="Garamond" w:cs="Garamond"/>
          <w:vertAlign w:val="superscript"/>
        </w:rPr>
        <w:footnoteReference w:id="15"/>
      </w:r>
      <w:r>
        <w:rPr>
          <w:rFonts w:ascii="Garamond" w:eastAsia="Garamond" w:hAnsi="Garamond" w:cs="Garamond"/>
        </w:rPr>
        <w:t xml:space="preserve">. </w:t>
      </w:r>
    </w:p>
    <w:p w14:paraId="070EB4FF" w14:textId="77777777" w:rsidR="000D5E33" w:rsidRDefault="000D5E33">
      <w:pPr>
        <w:jc w:val="both"/>
        <w:rPr>
          <w:rFonts w:ascii="Garamond" w:eastAsia="Garamond" w:hAnsi="Garamond" w:cs="Garamond"/>
        </w:rPr>
      </w:pPr>
    </w:p>
    <w:p w14:paraId="413E62FD" w14:textId="77777777" w:rsidR="00DF7CB0" w:rsidRDefault="00DF7CB0">
      <w:pPr>
        <w:jc w:val="both"/>
        <w:rPr>
          <w:rFonts w:ascii="Garamond" w:eastAsia="Garamond" w:hAnsi="Garamond" w:cs="Garamond"/>
        </w:rPr>
      </w:pPr>
    </w:p>
    <w:p w14:paraId="11685549" w14:textId="77777777" w:rsidR="00DF7CB0" w:rsidRDefault="00114957">
      <w:pPr>
        <w:numPr>
          <w:ilvl w:val="0"/>
          <w:numId w:val="1"/>
        </w:num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 xml:space="preserve">Párrafo 15: </w:t>
      </w:r>
    </w:p>
    <w:p w14:paraId="6A9C8F09" w14:textId="77777777" w:rsidR="00DF7CB0" w:rsidRDefault="00DF7CB0">
      <w:pPr>
        <w:ind w:left="720"/>
        <w:jc w:val="both"/>
        <w:rPr>
          <w:rFonts w:ascii="Garamond" w:eastAsia="Garamond" w:hAnsi="Garamond" w:cs="Garamond"/>
          <w:b/>
          <w:bCs/>
        </w:rPr>
      </w:pPr>
    </w:p>
    <w:p w14:paraId="13282AFB" w14:textId="77777777" w:rsidR="00DF7CB0" w:rsidRDefault="00114957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Los requisitos que los Estados establezcan para el reconocimiento y mantenimiento de la personería jurídica de las asociaciones u organizaciones no pueden convertirse en mecanismos de control indebido sobre sus actividades internas. </w:t>
      </w:r>
      <w:r>
        <w:rPr>
          <w:rFonts w:ascii="Garamond" w:eastAsia="Garamond" w:hAnsi="Garamond" w:cs="Garamond"/>
        </w:rPr>
        <w:t>Si bien las autoridades pueden exigir la información necesaria para fines registrales, de transparencia o rendición de cuentas, resulta incompatible con la libertad de asociación imponer obligaciones desproporcionadas a las asociaciones que tengan por objeto monitorear, dirigir o condicionar el trabajo sustantivo de las organizaciones mediante la presentación periódica de informes detallados sobre sus actividades, estrategias de incidencia o líneas de acción</w:t>
      </w:r>
      <w:r>
        <w:rPr>
          <w:rFonts w:ascii="Garamond" w:eastAsia="Garamond" w:hAnsi="Garamond" w:cs="Garamond"/>
          <w:vertAlign w:val="superscript"/>
        </w:rPr>
        <w:footnoteReference w:id="16"/>
      </w:r>
      <w:r>
        <w:rPr>
          <w:rFonts w:ascii="Garamond" w:eastAsia="Garamond" w:hAnsi="Garamond" w:cs="Garamond"/>
        </w:rPr>
        <w:t xml:space="preserve">. </w:t>
      </w:r>
    </w:p>
    <w:p w14:paraId="6E0A121C" w14:textId="1365B2C9" w:rsidR="000D5E33" w:rsidRDefault="00114957">
      <w:pPr>
        <w:spacing w:before="220" w:after="2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lastRenderedPageBreak/>
        <w:t xml:space="preserve">Del mismo modo, </w:t>
      </w:r>
      <w:r>
        <w:rPr>
          <w:rFonts w:ascii="Garamond" w:eastAsia="Garamond" w:hAnsi="Garamond" w:cs="Garamond"/>
          <w:b/>
          <w:bCs/>
        </w:rPr>
        <w:t xml:space="preserve">son contrarias a la libertad asociativa aquellas medidas que someten a una vigilancia excesiva los recursos que reciben las organizaciones, </w:t>
      </w:r>
      <w:r>
        <w:rPr>
          <w:rFonts w:ascii="Garamond" w:eastAsia="Garamond" w:hAnsi="Garamond" w:cs="Garamond"/>
        </w:rPr>
        <w:t>particularmente cuando implican controles desproporcionados sobre el origen, destino y ejecución de fondos nacionales o internacionales, o la imposición de cargas tributarias que dificulten injustificadamente el acceso y uso de dichos recursos. Este tipo de mecanismos produce un efecto inhibidor sobre la labor de las asociaciones y otorga a las autoridades herramientas de vigilancia y censura incompatibles con el ejercicio libre e independiente del derecho de asociación</w:t>
      </w:r>
      <w:r>
        <w:rPr>
          <w:rFonts w:ascii="Garamond" w:eastAsia="Garamond" w:hAnsi="Garamond" w:cs="Garamond"/>
          <w:vertAlign w:val="superscript"/>
        </w:rPr>
        <w:footnoteReference w:id="17"/>
      </w:r>
      <w:r>
        <w:rPr>
          <w:rFonts w:ascii="Garamond" w:eastAsia="Garamond" w:hAnsi="Garamond" w:cs="Garamond"/>
        </w:rPr>
        <w:t>.</w:t>
      </w:r>
    </w:p>
    <w:p w14:paraId="7F4207BF" w14:textId="77777777" w:rsidR="00DF7CB0" w:rsidRDefault="00114957">
      <w:pPr>
        <w:numPr>
          <w:ilvl w:val="0"/>
          <w:numId w:val="1"/>
        </w:numPr>
        <w:spacing w:before="220" w:after="220"/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>Párrafo 32</w:t>
      </w:r>
    </w:p>
    <w:p w14:paraId="7536421D" w14:textId="5B266D79" w:rsidR="000D5E33" w:rsidRDefault="00114957">
      <w:pPr>
        <w:spacing w:before="220" w:after="2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>Los Estados deben adoptar medidas efectivas para garantizar el ejercicio de la libertad de asociación y proteger a quienes son perseguidos por ejercerla, incluso si el hostigamiento no ocurrió en su territorio</w:t>
      </w:r>
      <w:r>
        <w:rPr>
          <w:rFonts w:ascii="Garamond" w:eastAsia="Garamond" w:hAnsi="Garamond" w:cs="Garamond"/>
        </w:rPr>
        <w:t xml:space="preserve">. Cuando integrantes de asociaciones, organizaciones de la sociedad civil, medios de comunicación o sindicatos se ven obligadas a huir de su país debido a actos de persecución, ataques a la integridad personal, o amenazas vinculadas con su actividad asociativa, </w:t>
      </w:r>
      <w:r>
        <w:rPr>
          <w:rFonts w:ascii="Garamond" w:eastAsia="Garamond" w:hAnsi="Garamond" w:cs="Garamond"/>
          <w:u w:val="single"/>
        </w:rPr>
        <w:t>los demás Estados deben garantizar mecanismos efectivos de protección internacional, incluyendo el acceso al asilo o al refugio cuando se cumplan los requisitos establecidos por el derecho internacional</w:t>
      </w:r>
      <w:r>
        <w:rPr>
          <w:rFonts w:ascii="Garamond" w:eastAsia="Garamond" w:hAnsi="Garamond" w:cs="Garamond"/>
          <w:u w:val="single"/>
          <w:vertAlign w:val="superscript"/>
        </w:rPr>
        <w:footnoteReference w:id="18"/>
      </w:r>
      <w:r>
        <w:rPr>
          <w:rFonts w:ascii="Garamond" w:eastAsia="Garamond" w:hAnsi="Garamond" w:cs="Garamond"/>
          <w:u w:val="single"/>
        </w:rPr>
        <w:t>.</w:t>
      </w:r>
      <w:r>
        <w:rPr>
          <w:rFonts w:ascii="Garamond" w:eastAsia="Garamond" w:hAnsi="Garamond" w:cs="Garamond"/>
        </w:rPr>
        <w:t xml:space="preserve"> Asimismo, resulta necesario fortalecer la cooperación entre Estados para prevenir situaciones de riesgo debido al ejercicio de la libertad de asociación, como facilitar la reubicación y protección de personas perseguidas o prohibir la deportación de personas asociadas a contextos en los que su vida, integridad o libertad puedan verse comprometidas por el ejercicio de este derecho</w:t>
      </w:r>
      <w:r>
        <w:rPr>
          <w:rFonts w:ascii="Garamond" w:eastAsia="Garamond" w:hAnsi="Garamond" w:cs="Garamond"/>
          <w:vertAlign w:val="superscript"/>
        </w:rPr>
        <w:footnoteReference w:id="19"/>
      </w:r>
      <w:r>
        <w:rPr>
          <w:rFonts w:ascii="Garamond" w:eastAsia="Garamond" w:hAnsi="Garamond" w:cs="Garamond"/>
        </w:rPr>
        <w:t>.</w:t>
      </w:r>
    </w:p>
    <w:p w14:paraId="0BC75E9F" w14:textId="77777777" w:rsidR="00DF7CB0" w:rsidRDefault="00114957">
      <w:pPr>
        <w:numPr>
          <w:ilvl w:val="0"/>
          <w:numId w:val="1"/>
        </w:numPr>
        <w:spacing w:before="220" w:after="220"/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 xml:space="preserve">Párrafo 39 </w:t>
      </w:r>
    </w:p>
    <w:p w14:paraId="7A85A9B6" w14:textId="77777777" w:rsidR="00DF7CB0" w:rsidRDefault="00114957">
      <w:pPr>
        <w:spacing w:before="220" w:after="2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Las asociaciones también deben ser reconocidas como sujetos de reparación cuando las afectaciones sufridas por sus integrantes producen un menoscabo directo en la existencia, funcionamiento o propósito colectivo de la organización. </w:t>
      </w:r>
      <w:r>
        <w:rPr>
          <w:rFonts w:ascii="Garamond" w:eastAsia="Garamond" w:hAnsi="Garamond" w:cs="Garamond"/>
        </w:rPr>
        <w:t>En numerosos contextos, la persecución dirigida contra integrantes de una asociación, incluyendo amenazas, desapariciones, asesinatos, detenciones arbitrarias, desplazamientos forzados y exilios, tiene como propósito debilitar o desarticular la acción colectiva de la organización. Estos hechos generan daños que trascienden la esfera individual de las víctimas, pues limitan la capacidad de la asociación para ejecutar sus proyectos y cumplir con los fines para los cuales fue constituida; y producen una ruptur</w:t>
      </w:r>
      <w:r>
        <w:rPr>
          <w:rFonts w:ascii="Garamond" w:eastAsia="Garamond" w:hAnsi="Garamond" w:cs="Garamond"/>
        </w:rPr>
        <w:t>a del tejido social y de las relaciones de confianza y solidaridad que sostienen la vida asociativa. Por ello, los mecanismos de reparación deben reconocer no solo los daños individuales ocasionados a las personas directamente afectadas sino también los daños colectivos sufridos por la persecución a la asociación</w:t>
      </w:r>
      <w:r>
        <w:rPr>
          <w:rFonts w:ascii="Garamond" w:eastAsia="Garamond" w:hAnsi="Garamond" w:cs="Garamond"/>
          <w:vertAlign w:val="superscript"/>
        </w:rPr>
        <w:footnoteReference w:id="20"/>
      </w:r>
      <w:r>
        <w:rPr>
          <w:rFonts w:ascii="Garamond" w:eastAsia="Garamond" w:hAnsi="Garamond" w:cs="Garamond"/>
        </w:rPr>
        <w:t xml:space="preserve">. </w:t>
      </w:r>
    </w:p>
    <w:p w14:paraId="74CCB4E8" w14:textId="77777777" w:rsidR="00DF7CB0" w:rsidRDefault="00114957">
      <w:pPr>
        <w:numPr>
          <w:ilvl w:val="0"/>
          <w:numId w:val="1"/>
        </w:numPr>
        <w:spacing w:before="220" w:after="220"/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 xml:space="preserve">Párrafo 46 </w:t>
      </w:r>
    </w:p>
    <w:p w14:paraId="6C4529FB" w14:textId="207A868D" w:rsidR="00DF7CB0" w:rsidRDefault="00114957">
      <w:pPr>
        <w:spacing w:before="220" w:after="2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lastRenderedPageBreak/>
        <w:t xml:space="preserve">La protección del orden público no puede ser invocada para restringir el pleno ejercicio del derecho de asociación de las personas LGBTIQ+ ni de las organizaciones </w:t>
      </w:r>
      <w:r w:rsidR="00D90D3A">
        <w:rPr>
          <w:rFonts w:ascii="Garamond" w:eastAsia="Garamond" w:hAnsi="Garamond" w:cs="Garamond"/>
          <w:b/>
          <w:bCs/>
        </w:rPr>
        <w:t>que defienden</w:t>
      </w:r>
      <w:r>
        <w:rPr>
          <w:rFonts w:ascii="Garamond" w:eastAsia="Garamond" w:hAnsi="Garamond" w:cs="Garamond"/>
          <w:b/>
          <w:bCs/>
        </w:rPr>
        <w:t xml:space="preserve"> sus derechos. </w:t>
      </w:r>
      <w:r>
        <w:rPr>
          <w:rFonts w:ascii="Garamond" w:eastAsia="Garamond" w:hAnsi="Garamond" w:cs="Garamond"/>
        </w:rPr>
        <w:t xml:space="preserve">De acuerdo con el Experto Independiente sobre la protección contra la violencia y la discriminación por motivos de orientación sexual e identidad de género de </w:t>
      </w:r>
      <w:proofErr w:type="gramStart"/>
      <w:r>
        <w:rPr>
          <w:rFonts w:ascii="Garamond" w:eastAsia="Garamond" w:hAnsi="Garamond" w:cs="Garamond"/>
        </w:rPr>
        <w:t>ONU</w:t>
      </w:r>
      <w:proofErr w:type="gramEnd"/>
      <w:r>
        <w:rPr>
          <w:rFonts w:ascii="Garamond" w:eastAsia="Garamond" w:hAnsi="Garamond" w:cs="Garamond"/>
        </w:rPr>
        <w:t>, las reivindicaciones de estas colectividades no las convierte en una amenaza para el funcionamiento de la sociedad</w:t>
      </w:r>
      <w:r>
        <w:rPr>
          <w:rFonts w:ascii="Garamond" w:eastAsia="Garamond" w:hAnsi="Garamond" w:cs="Garamond"/>
          <w:vertAlign w:val="superscript"/>
        </w:rPr>
        <w:footnoteReference w:id="21"/>
      </w:r>
      <w:r>
        <w:rPr>
          <w:rFonts w:ascii="Garamond" w:eastAsia="Garamond" w:hAnsi="Garamond" w:cs="Garamond"/>
        </w:rPr>
        <w:t>, todo lo contrario. Siempre que sus actividades se desarrollen por medios pacíficos y dentro del marco del Estado de derecho, estas constituyen expresiones legítimas del pluralismo, la igualdad y el respeto por los derechos humanos, valores universalmente promovidos. Suponer lo contrario implica vaciar de contenido el derecho de asociación y convertir esta causal de restricción en un mecanismo para legitimar la exclusión de grupos históricamente discriminados.</w:t>
      </w:r>
    </w:p>
    <w:p w14:paraId="34686C35" w14:textId="77777777" w:rsidR="00DF7CB0" w:rsidRDefault="00114957">
      <w:pPr>
        <w:numPr>
          <w:ilvl w:val="0"/>
          <w:numId w:val="1"/>
        </w:numPr>
        <w:spacing w:before="220" w:after="220"/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>Párrafo 47</w:t>
      </w:r>
    </w:p>
    <w:p w14:paraId="250C07FE" w14:textId="77777777" w:rsidR="00DF7CB0" w:rsidRDefault="00114957">
      <w:pPr>
        <w:spacing w:before="220" w:after="2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Las limitaciones a la libertad de asociación que se impongan a las personas LGBTIQ+ o a las organizaciones que defienden sus derechos al considerarlas una amenaza a la salud pública son incompatibles con el Pacto. Las orientaciones sexuales, las expresiones e identidades de género diversas y las variaciones de las características sexuales no constituyen enfermedades, trastornos ni condiciones que representen una amenaza para la salud de la población</w:t>
      </w:r>
      <w:r>
        <w:rPr>
          <w:rFonts w:ascii="Garamond" w:eastAsia="Garamond" w:hAnsi="Garamond" w:cs="Garamond"/>
          <w:vertAlign w:val="superscript"/>
        </w:rPr>
        <w:footnoteReference w:id="22"/>
      </w:r>
      <w:r>
        <w:rPr>
          <w:rFonts w:ascii="Garamond" w:eastAsia="Garamond" w:hAnsi="Garamond" w:cs="Garamond"/>
        </w:rPr>
        <w:t>. En consecuencia,</w:t>
      </w:r>
      <w:r>
        <w:rPr>
          <w:rFonts w:ascii="Garamond" w:eastAsia="Garamond" w:hAnsi="Garamond" w:cs="Garamond"/>
          <w:b/>
          <w:bCs/>
        </w:rPr>
        <w:t xml:space="preserve"> las asociaciones que promueven el reconocimiento y la garantía de los derechos de las personas LGBTIQ+ no pueden ser calificadas como agentes propagadores de riesgos para la salud pública</w:t>
      </w:r>
      <w:r>
        <w:rPr>
          <w:rFonts w:ascii="Garamond" w:eastAsia="Garamond" w:hAnsi="Garamond" w:cs="Garamond"/>
        </w:rPr>
        <w:t xml:space="preserve">. Por el contrario, muchas de estas asociaciones promueven el acceso efectivo y el disfrute pleno de los servicios de salud para las personas LGBTI+ en condiciones de igualdad y dignidad. </w:t>
      </w:r>
      <w:r>
        <w:rPr>
          <w:rFonts w:ascii="Garamond" w:eastAsia="Garamond" w:hAnsi="Garamond" w:cs="Garamond"/>
          <w:b/>
          <w:bCs/>
        </w:rPr>
        <w:t>Este tipo de narrativas discriminatorias perpetúan paradigmas de patologización que carecen de sustento científico y resultan incompatibles con los estándares del derecho internacional de los derechos humanos</w:t>
      </w:r>
      <w:r>
        <w:rPr>
          <w:rFonts w:ascii="Garamond" w:eastAsia="Garamond" w:hAnsi="Garamond" w:cs="Garamond"/>
        </w:rPr>
        <w:t xml:space="preserve"> y </w:t>
      </w:r>
      <w:r>
        <w:rPr>
          <w:rFonts w:ascii="Garamond" w:eastAsia="Garamond" w:hAnsi="Garamond" w:cs="Garamond"/>
          <w:b/>
          <w:bCs/>
        </w:rPr>
        <w:t xml:space="preserve">con el derecho a la igualdad reconocido </w:t>
      </w:r>
      <w:r>
        <w:rPr>
          <w:rFonts w:ascii="Garamond" w:eastAsia="Garamond" w:hAnsi="Garamond" w:cs="Garamond"/>
        </w:rPr>
        <w:t>por el Pacto Internacional de Derechos Civiles y Políticos</w:t>
      </w:r>
      <w:r>
        <w:rPr>
          <w:rFonts w:ascii="Garamond" w:eastAsia="Garamond" w:hAnsi="Garamond" w:cs="Garamond"/>
          <w:vertAlign w:val="superscript"/>
        </w:rPr>
        <w:footnoteReference w:id="23"/>
      </w:r>
      <w:r>
        <w:rPr>
          <w:rFonts w:ascii="Garamond" w:eastAsia="Garamond" w:hAnsi="Garamond" w:cs="Garamond"/>
        </w:rPr>
        <w:t xml:space="preserve">. </w:t>
      </w:r>
    </w:p>
    <w:p w14:paraId="599B73D6" w14:textId="77777777" w:rsidR="00DF7CB0" w:rsidRDefault="00114957">
      <w:pPr>
        <w:numPr>
          <w:ilvl w:val="0"/>
          <w:numId w:val="1"/>
        </w:num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>Párrafo 48</w:t>
      </w:r>
    </w:p>
    <w:p w14:paraId="3BB7CD68" w14:textId="77777777" w:rsidR="00DF7CB0" w:rsidRDefault="00114957">
      <w:pPr>
        <w:spacing w:before="220" w:after="2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>La moral pública no es una justificación válida para restringir el derecho de asociación de las personas LGBTIQ+. Este tipo de justificaciones se utiliza para imponer concepciones morales discriminatorias sobre la diversidad sexual y de género.</w:t>
      </w:r>
      <w:r>
        <w:rPr>
          <w:rFonts w:ascii="Garamond" w:eastAsia="Garamond" w:hAnsi="Garamond" w:cs="Garamond"/>
        </w:rPr>
        <w:t xml:space="preserve"> La vaga formulación de las leyes de moralidad pública y de protección de las buenas costumbres, así como el amplio margen de discrecionalidad que suele caracterizarlas, han facilitado históricamente la proliferación de prejuicios contra las diversidades sexuales y de género, tanto en las normas como en su aplicación e interpretación por parte de las autoridades estatales.</w:t>
      </w:r>
      <w:r>
        <w:rPr>
          <w:rFonts w:ascii="Garamond" w:eastAsia="Garamond" w:hAnsi="Garamond" w:cs="Garamond"/>
          <w:u w:val="single"/>
        </w:rPr>
        <w:t xml:space="preserve"> Permitir que estas valoraciones fundamenten restricciones a la libertad de asociación equivaldría a convertir la discriminación contra una minoría históricamente marginada en un criterio legítimo para limitar el ejercicio de un derecho humano.</w:t>
      </w:r>
      <w:r>
        <w:rPr>
          <w:rFonts w:ascii="Garamond" w:eastAsia="Garamond" w:hAnsi="Garamond" w:cs="Garamond"/>
        </w:rPr>
        <w:t xml:space="preserve"> Condicionar el ejercicio de la libertad de asociación solo a aquellos grupos que se alinean con valores sociales hegemónicos vaciaría de contenido su función democrática y limitaría la participación de grupos históricamente discriminados</w:t>
      </w:r>
      <w:r>
        <w:rPr>
          <w:rFonts w:ascii="Garamond" w:eastAsia="Garamond" w:hAnsi="Garamond" w:cs="Garamond"/>
          <w:vertAlign w:val="superscript"/>
        </w:rPr>
        <w:footnoteReference w:id="24"/>
      </w:r>
      <w:r>
        <w:rPr>
          <w:rFonts w:ascii="Garamond" w:eastAsia="Garamond" w:hAnsi="Garamond" w:cs="Garamond"/>
        </w:rPr>
        <w:t>.</w:t>
      </w:r>
    </w:p>
    <w:p w14:paraId="348AD9B8" w14:textId="77777777" w:rsidR="00DF7CB0" w:rsidRDefault="00DF7CB0">
      <w:pPr>
        <w:rPr>
          <w:b/>
          <w:bCs/>
        </w:rPr>
      </w:pPr>
    </w:p>
    <w:sectPr w:rsidR="00DF7CB0" w:rsidSect="004A56FD">
      <w:headerReference w:type="default" r:id="rId7"/>
      <w:footerReference w:type="default" r:id="rId8"/>
      <w:pgSz w:w="11909" w:h="16834"/>
      <w:pgMar w:top="1440" w:right="1440" w:bottom="113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E3733" w14:textId="77777777" w:rsidR="00114957" w:rsidRDefault="00114957">
      <w:pPr>
        <w:spacing w:line="240" w:lineRule="auto"/>
      </w:pPr>
      <w:r>
        <w:separator/>
      </w:r>
    </w:p>
  </w:endnote>
  <w:endnote w:type="continuationSeparator" w:id="0">
    <w:p w14:paraId="74F1C2C8" w14:textId="77777777" w:rsidR="00114957" w:rsidRDefault="001149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AA88918F-C416-44CA-887C-30CB359428F8}"/>
    <w:embedBold r:id="rId2" w:fontKey="{258CDCFF-2931-4DE6-96EF-577074771852}"/>
    <w:embedItalic r:id="rId3" w:fontKey="{ABE61CEC-99F2-4E5D-8396-574D0053C5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2B2CFDA-9992-4A1E-96FF-D7196DED95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E4226FF-BD8B-447E-9AA8-4B06233602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40079" w14:textId="77777777" w:rsidR="00DF7CB0" w:rsidRDefault="00DF7C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1B20C" w14:textId="77777777" w:rsidR="00114957" w:rsidRDefault="00114957">
      <w:pPr>
        <w:spacing w:line="240" w:lineRule="auto"/>
      </w:pPr>
      <w:r>
        <w:separator/>
      </w:r>
    </w:p>
  </w:footnote>
  <w:footnote w:type="continuationSeparator" w:id="0">
    <w:p w14:paraId="5598B8F3" w14:textId="77777777" w:rsidR="00114957" w:rsidRDefault="00114957">
      <w:pPr>
        <w:spacing w:line="240" w:lineRule="auto"/>
      </w:pPr>
      <w:r>
        <w:continuationSeparator/>
      </w:r>
    </w:p>
  </w:footnote>
  <w:footnote w:id="1">
    <w:p w14:paraId="00182060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</w:t>
      </w:r>
      <w:r w:rsidRPr="000D5E33">
        <w:rPr>
          <w:rFonts w:ascii="Garamond" w:hAnsi="Garamond"/>
          <w:sz w:val="18"/>
          <w:szCs w:val="18"/>
        </w:rPr>
        <w:t>La Red de Litigantes LGBTI+ de las Américas surge en el año 2019 como una red internacional e independiente, conformada por personas expertas y organizaciones que trabajan en la defensa de derechos de las personas LGBTI+ en el continente americano, a través del litigio estratégico, acciones de incidencia y estrategias de comunicaciones. Forman parte de la Red organizaciones y personas que participaron ante la Corte Interamericana en el litigio de casos emblemáticos como los de Atala Riffo e hijas vs. Chile,</w:t>
      </w:r>
      <w:r w:rsidRPr="000D5E33">
        <w:rPr>
          <w:rFonts w:ascii="Garamond" w:hAnsi="Garamond"/>
          <w:sz w:val="18"/>
          <w:szCs w:val="18"/>
        </w:rPr>
        <w:t xml:space="preserve"> Alberto Duque vs Colombia, Azul Rojas Marín y otra vs. Perú y Vicky Hernández y otras vs. Honduras.  Ver más en: </w:t>
      </w:r>
      <w:hyperlink r:id="rId1">
        <w:r w:rsidRPr="000D5E33">
          <w:rPr>
            <w:rFonts w:ascii="Garamond" w:hAnsi="Garamond"/>
            <w:color w:val="1155CC"/>
            <w:sz w:val="18"/>
            <w:szCs w:val="18"/>
            <w:u w:val="single"/>
          </w:rPr>
          <w:t>New Home - Red de Litigantes (litiganteslgbt.org)</w:t>
        </w:r>
      </w:hyperlink>
    </w:p>
  </w:footnote>
  <w:footnote w:id="2">
    <w:p w14:paraId="389EC423" w14:textId="7FC9EE23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El artículo 2.1 del Pacto Internacional de Derechos Civiles y Políticos establece la obligación a los Estados de respetar y garantizar a todos los individuos que se encuentren en su territorio y estén sujetos a su jurisdicción los derechos reconocidos en el Pacto, sin distinción alguna de raza, color, sexo, idioma, religión, opinión política o de otra índole, origen nacional o social, posición económica, nacimiento o cualquier otra condición social. Así lo ha reconocido también la Convención Americana sobr</w:t>
      </w:r>
      <w:r w:rsidRPr="000D5E33">
        <w:rPr>
          <w:rFonts w:ascii="Garamond" w:hAnsi="Garamond"/>
          <w:sz w:val="18"/>
          <w:szCs w:val="18"/>
        </w:rPr>
        <w:t>e Derechos Humanos en su artículo 1.1. La Corte</w:t>
      </w:r>
      <w:r w:rsidR="000D5E33">
        <w:rPr>
          <w:rFonts w:ascii="Garamond" w:hAnsi="Garamond"/>
          <w:sz w:val="18"/>
          <w:szCs w:val="18"/>
        </w:rPr>
        <w:t xml:space="preserve"> </w:t>
      </w:r>
      <w:r w:rsidRPr="000D5E33">
        <w:rPr>
          <w:rFonts w:ascii="Garamond" w:hAnsi="Garamond"/>
          <w:sz w:val="18"/>
          <w:szCs w:val="18"/>
        </w:rPr>
        <w:t xml:space="preserve">IDH ha señalado en su jurisprudencia que cualquier restricción que se fundamente en esta lista no taxativa de categorías, debe sospecharse que se basa en un motivo discriminatorio y le corresponde al Estado demostrar que la distinción de trato es válida y objetivamente razonada. </w:t>
      </w:r>
    </w:p>
  </w:footnote>
  <w:footnote w:id="3">
    <w:p w14:paraId="3DD75493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Organización de las Naciones Unidas. Informe del Relator Especial sobre los derechos a la libertad de reunión pacífica y de asociación, A/71/385, 14 de septiembre de 2016, párr. 11.</w:t>
      </w:r>
    </w:p>
  </w:footnote>
  <w:footnote w:id="4">
    <w:p w14:paraId="08D45510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Asamblea General. Declaración de las Naciones Unidas sobre el derecho y el deber de los individuos, los grupos y las instituciones de promover y proteger los derechos humanos y las libertades fundamentales universalmente reconocidos. 1998. Artículo 1. </w:t>
      </w:r>
    </w:p>
  </w:footnote>
  <w:footnote w:id="5">
    <w:p w14:paraId="54CFE921" w14:textId="4DCE6688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Corte IDH, Caso Miembros de la Corporación Colectivo de Abogados José Alvear Restrepo (CAJAR) vs. Colombia. Excepciones Preliminares, Fondo, Reparaciones y Costas. Sentencia de 18 de octubre de 2023. Serie C, </w:t>
      </w:r>
      <w:r w:rsidR="000D5E33" w:rsidRPr="000D5E33">
        <w:rPr>
          <w:rFonts w:ascii="Garamond" w:hAnsi="Garamond"/>
          <w:sz w:val="18"/>
          <w:szCs w:val="18"/>
        </w:rPr>
        <w:t>párr.</w:t>
      </w:r>
      <w:r w:rsidRPr="000D5E33">
        <w:rPr>
          <w:rFonts w:ascii="Garamond" w:hAnsi="Garamond"/>
          <w:sz w:val="18"/>
          <w:szCs w:val="18"/>
        </w:rPr>
        <w:t xml:space="preserve"> 975-979</w:t>
      </w:r>
    </w:p>
  </w:footnote>
  <w:footnote w:id="6">
    <w:p w14:paraId="472F782C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Corte IDH. Caso Nogueira de Carvalho y otro Vs. Brasil.  párr. 77, y Caso Baraona Bray Vs. Chile. párr. 79. </w:t>
      </w:r>
    </w:p>
  </w:footnote>
  <w:footnote w:id="7">
    <w:p w14:paraId="0321FA04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sz w:val="18"/>
          <w:szCs w:val="18"/>
        </w:rPr>
        <w:t>Op</w:t>
      </w:r>
      <w:proofErr w:type="spellEnd"/>
      <w:r w:rsidRPr="000D5E33">
        <w:rPr>
          <w:rFonts w:ascii="Garamond" w:hAnsi="Garamond"/>
          <w:sz w:val="18"/>
          <w:szCs w:val="18"/>
        </w:rPr>
        <w:t xml:space="preserve">. Cit. Corte IDH. Caso Miembros de la Corporación Colectivo de Abogados José Alvear Restrepo (CAJAR) vs. Colombia, párr. 469., Caso Acosta y otros Vs. Nicaragua. Excepciones Preliminares, Fondo, Reparaciones y Costas. Sentencia de 25 de marzo de 2017. Serie C No. 334, párr. 139. </w:t>
      </w:r>
    </w:p>
  </w:footnote>
  <w:footnote w:id="8">
    <w:p w14:paraId="4981309D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Corte IDH, </w:t>
      </w:r>
      <w:r w:rsidRPr="000D5E33">
        <w:rPr>
          <w:rFonts w:ascii="Garamond" w:hAnsi="Garamond"/>
          <w:i/>
          <w:iCs/>
          <w:sz w:val="18"/>
          <w:szCs w:val="18"/>
        </w:rPr>
        <w:t>Identidad de género, e igualdad y no discriminación a parejas del mismo sexo</w:t>
      </w:r>
      <w:r w:rsidRPr="000D5E33">
        <w:rPr>
          <w:rFonts w:ascii="Garamond" w:hAnsi="Garamond"/>
          <w:sz w:val="18"/>
          <w:szCs w:val="18"/>
        </w:rPr>
        <w:t>, Opinión Consultiva OC-24/17 de 24 de noviembre de 2017, Serie A No. 24, párr. 83, 219</w:t>
      </w:r>
    </w:p>
  </w:footnote>
  <w:footnote w:id="9">
    <w:p w14:paraId="7C32C39C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Cfr. Secretaría General Iberoamericana, PNUD e IIPEVCM, </w:t>
      </w:r>
      <w:r w:rsidRPr="000D5E33">
        <w:rPr>
          <w:rFonts w:ascii="Garamond" w:hAnsi="Garamond"/>
          <w:i/>
          <w:iCs/>
          <w:sz w:val="18"/>
          <w:szCs w:val="18"/>
        </w:rPr>
        <w:t>Prevenir la violencia digital contra las mujeres en Iberoamérica</w:t>
      </w:r>
      <w:r w:rsidRPr="000D5E33">
        <w:rPr>
          <w:rFonts w:ascii="Garamond" w:hAnsi="Garamond"/>
          <w:sz w:val="18"/>
          <w:szCs w:val="18"/>
        </w:rPr>
        <w:t xml:space="preserve">, Madrid, 2025. </w:t>
      </w:r>
    </w:p>
  </w:footnote>
  <w:footnote w:id="10">
    <w:p w14:paraId="428740F1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</w:t>
      </w:r>
      <w:r w:rsidRPr="000D5E33">
        <w:rPr>
          <w:rFonts w:ascii="Garamond" w:hAnsi="Garamond"/>
          <w:sz w:val="18"/>
          <w:szCs w:val="18"/>
        </w:rPr>
        <w:t xml:space="preserve">GÓMEZ, M. M. 2008. Violencia por prejuicio. En: MOTTA, C. y SÁEZ, M., editoras. La mirada de los jueces. Tomo 2. Sexualidades diversas en la jurisprudencia latinoamericana. Bogotá: Siglo del Hombre Editores, American </w:t>
      </w:r>
      <w:proofErr w:type="spellStart"/>
      <w:r w:rsidRPr="000D5E33">
        <w:rPr>
          <w:rFonts w:ascii="Garamond" w:hAnsi="Garamond"/>
          <w:sz w:val="18"/>
          <w:szCs w:val="18"/>
        </w:rPr>
        <w:t>University</w:t>
      </w:r>
      <w:proofErr w:type="spellEnd"/>
      <w:r w:rsidRPr="000D5E33">
        <w:rPr>
          <w:rFonts w:ascii="Garamond" w:hAnsi="Garamond"/>
          <w:sz w:val="18"/>
          <w:szCs w:val="18"/>
        </w:rPr>
        <w:t xml:space="preserve"> College </w:t>
      </w:r>
      <w:proofErr w:type="spellStart"/>
      <w:r w:rsidRPr="000D5E33">
        <w:rPr>
          <w:rFonts w:ascii="Garamond" w:hAnsi="Garamond"/>
          <w:sz w:val="18"/>
          <w:szCs w:val="18"/>
        </w:rPr>
        <w:t>of</w:t>
      </w:r>
      <w:proofErr w:type="spellEnd"/>
      <w:r w:rsidRPr="000D5E33">
        <w:rPr>
          <w:rFonts w:ascii="Garamond" w:hAnsi="Garamond"/>
          <w:sz w:val="18"/>
          <w:szCs w:val="18"/>
        </w:rPr>
        <w:t xml:space="preserve"> Law, Centre </w:t>
      </w:r>
      <w:proofErr w:type="spellStart"/>
      <w:r w:rsidRPr="000D5E33">
        <w:rPr>
          <w:rFonts w:ascii="Garamond" w:hAnsi="Garamond"/>
          <w:sz w:val="18"/>
          <w:szCs w:val="18"/>
        </w:rPr>
        <w:t>of</w:t>
      </w:r>
      <w:proofErr w:type="spellEnd"/>
      <w:r w:rsidRPr="000D5E33">
        <w:rPr>
          <w:rFonts w:ascii="Garamond" w:hAnsi="Garamond"/>
          <w:sz w:val="18"/>
          <w:szCs w:val="18"/>
        </w:rPr>
        <w:t xml:space="preserve"> Reproductive </w:t>
      </w:r>
      <w:proofErr w:type="spellStart"/>
      <w:r w:rsidRPr="000D5E33">
        <w:rPr>
          <w:rFonts w:ascii="Garamond" w:hAnsi="Garamond"/>
          <w:sz w:val="18"/>
          <w:szCs w:val="18"/>
        </w:rPr>
        <w:t>Rights</w:t>
      </w:r>
      <w:proofErr w:type="spellEnd"/>
      <w:r w:rsidRPr="000D5E33">
        <w:rPr>
          <w:rFonts w:ascii="Garamond" w:hAnsi="Garamond"/>
          <w:sz w:val="18"/>
          <w:szCs w:val="18"/>
        </w:rPr>
        <w:t xml:space="preserve">, pp. 91. </w:t>
      </w:r>
    </w:p>
  </w:footnote>
  <w:footnote w:id="11">
    <w:p w14:paraId="59D32E66" w14:textId="5B0B876E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Amnesty International, </w:t>
      </w:r>
      <w:r w:rsidRPr="000D5E33">
        <w:rPr>
          <w:rFonts w:ascii="Garamond" w:hAnsi="Garamond"/>
          <w:i/>
          <w:iCs/>
          <w:sz w:val="18"/>
          <w:szCs w:val="18"/>
        </w:rPr>
        <w:t>Thailand: State-</w:t>
      </w:r>
      <w:proofErr w:type="spellStart"/>
      <w:r w:rsidRPr="000D5E33">
        <w:rPr>
          <w:rFonts w:ascii="Garamond" w:hAnsi="Garamond"/>
          <w:i/>
          <w:iCs/>
          <w:sz w:val="18"/>
          <w:szCs w:val="18"/>
        </w:rPr>
        <w:t>backed</w:t>
      </w:r>
      <w:proofErr w:type="spellEnd"/>
      <w:r w:rsidRPr="000D5E33">
        <w:rPr>
          <w:rFonts w:ascii="Garamond" w:hAnsi="Garamond"/>
          <w:i/>
          <w:iCs/>
          <w:sz w:val="18"/>
          <w:szCs w:val="18"/>
        </w:rPr>
        <w:t xml:space="preserve"> digital </w:t>
      </w:r>
      <w:proofErr w:type="spellStart"/>
      <w:r w:rsidRPr="000D5E33">
        <w:rPr>
          <w:rFonts w:ascii="Garamond" w:hAnsi="Garamond"/>
          <w:i/>
          <w:iCs/>
          <w:sz w:val="18"/>
          <w:szCs w:val="18"/>
        </w:rPr>
        <w:t>violence</w:t>
      </w:r>
      <w:proofErr w:type="spellEnd"/>
      <w:r w:rsidRPr="000D5E33">
        <w:rPr>
          <w:rFonts w:ascii="Garamond" w:hAnsi="Garamond"/>
          <w:i/>
          <w:iCs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i/>
          <w:iCs/>
          <w:sz w:val="18"/>
          <w:szCs w:val="18"/>
        </w:rPr>
        <w:t>used</w:t>
      </w:r>
      <w:proofErr w:type="spellEnd"/>
      <w:r w:rsidRPr="000D5E33">
        <w:rPr>
          <w:rFonts w:ascii="Garamond" w:hAnsi="Garamond"/>
          <w:i/>
          <w:iCs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i/>
          <w:iCs/>
          <w:sz w:val="18"/>
          <w:szCs w:val="18"/>
        </w:rPr>
        <w:t>to</w:t>
      </w:r>
      <w:proofErr w:type="spellEnd"/>
      <w:r w:rsidRPr="000D5E33">
        <w:rPr>
          <w:rFonts w:ascii="Garamond" w:hAnsi="Garamond"/>
          <w:i/>
          <w:iCs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i/>
          <w:iCs/>
          <w:sz w:val="18"/>
          <w:szCs w:val="18"/>
        </w:rPr>
        <w:t>silence</w:t>
      </w:r>
      <w:proofErr w:type="spellEnd"/>
      <w:r w:rsidRPr="000D5E33">
        <w:rPr>
          <w:rFonts w:ascii="Garamond" w:hAnsi="Garamond"/>
          <w:i/>
          <w:iCs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i/>
          <w:iCs/>
          <w:sz w:val="18"/>
          <w:szCs w:val="18"/>
        </w:rPr>
        <w:t>women</w:t>
      </w:r>
      <w:proofErr w:type="spellEnd"/>
      <w:r w:rsidRPr="000D5E33">
        <w:rPr>
          <w:rFonts w:ascii="Garamond" w:hAnsi="Garamond"/>
          <w:i/>
          <w:iCs/>
          <w:sz w:val="18"/>
          <w:szCs w:val="18"/>
        </w:rPr>
        <w:t xml:space="preserve"> and LGBTI </w:t>
      </w:r>
      <w:proofErr w:type="spellStart"/>
      <w:r w:rsidRPr="000D5E33">
        <w:rPr>
          <w:rFonts w:ascii="Garamond" w:hAnsi="Garamond"/>
          <w:i/>
          <w:iCs/>
          <w:sz w:val="18"/>
          <w:szCs w:val="18"/>
        </w:rPr>
        <w:t>activists</w:t>
      </w:r>
      <w:proofErr w:type="spellEnd"/>
      <w:r w:rsidRPr="000D5E33">
        <w:rPr>
          <w:rFonts w:ascii="Garamond" w:hAnsi="Garamond"/>
          <w:sz w:val="18"/>
          <w:szCs w:val="18"/>
        </w:rPr>
        <w:t>, 16 de mayo de 2024, disponible en:</w:t>
      </w:r>
      <w:hyperlink r:id="rId2">
        <w:r w:rsidRPr="000D5E33">
          <w:rPr>
            <w:rFonts w:ascii="Garamond" w:hAnsi="Garamond"/>
            <w:sz w:val="18"/>
            <w:szCs w:val="18"/>
          </w:rPr>
          <w:t xml:space="preserve"> </w:t>
        </w:r>
      </w:hyperlink>
      <w:hyperlink r:id="rId3">
        <w:r w:rsidRPr="000D5E33">
          <w:rPr>
            <w:rFonts w:ascii="Garamond" w:hAnsi="Garamond"/>
            <w:color w:val="1155CC"/>
            <w:sz w:val="18"/>
            <w:szCs w:val="18"/>
            <w:u w:val="single"/>
          </w:rPr>
          <w:t>Amnesty International</w:t>
        </w:r>
      </w:hyperlink>
      <w:r w:rsidRPr="000D5E33">
        <w:rPr>
          <w:rFonts w:ascii="Garamond" w:hAnsi="Garamond"/>
          <w:sz w:val="18"/>
          <w:szCs w:val="18"/>
        </w:rPr>
        <w:t xml:space="preserve">,  Colombia Diversa. 2021. </w:t>
      </w:r>
      <w:r w:rsidRPr="000D5E33">
        <w:rPr>
          <w:rFonts w:ascii="Garamond" w:hAnsi="Garamond"/>
          <w:i/>
          <w:iCs/>
          <w:sz w:val="18"/>
          <w:szCs w:val="18"/>
        </w:rPr>
        <w:t>Observaciones de la Red de Litigantes LGBT de las Américas sobre desinformación y personas LGBT.</w:t>
      </w:r>
      <w:r w:rsidRPr="000D5E33">
        <w:rPr>
          <w:rFonts w:ascii="Garamond" w:hAnsi="Garamond"/>
          <w:sz w:val="18"/>
          <w:szCs w:val="18"/>
        </w:rPr>
        <w:t xml:space="preserve"> Relatora Especial sobre la Promoción y </w:t>
      </w:r>
      <w:r w:rsidR="000D5E33" w:rsidRPr="000D5E33">
        <w:rPr>
          <w:rFonts w:ascii="Garamond" w:hAnsi="Garamond"/>
          <w:sz w:val="18"/>
          <w:szCs w:val="18"/>
        </w:rPr>
        <w:t>Protección del</w:t>
      </w:r>
      <w:r w:rsidRPr="000D5E33">
        <w:rPr>
          <w:rFonts w:ascii="Garamond" w:hAnsi="Garamond"/>
          <w:sz w:val="18"/>
          <w:szCs w:val="18"/>
        </w:rPr>
        <w:t xml:space="preserve"> derecho a la libertad de opinión y de expresión. Naciones Unidas. Disponible en: </w:t>
      </w:r>
      <w:hyperlink r:id="rId4">
        <w:proofErr w:type="gramStart"/>
        <w:r w:rsidRPr="000D5E33">
          <w:rPr>
            <w:rFonts w:ascii="Garamond" w:hAnsi="Garamond"/>
            <w:color w:val="0000EE"/>
            <w:sz w:val="18"/>
            <w:szCs w:val="18"/>
            <w:u w:val="single"/>
          </w:rPr>
          <w:t>Fake News</w:t>
        </w:r>
        <w:proofErr w:type="gramEnd"/>
        <w:r w:rsidRPr="000D5E33">
          <w:rPr>
            <w:rFonts w:ascii="Garamond" w:hAnsi="Garamond"/>
            <w:color w:val="0000EE"/>
            <w:sz w:val="18"/>
            <w:szCs w:val="18"/>
            <w:u w:val="single"/>
          </w:rPr>
          <w:t xml:space="preserve"> LGBT y Libertad de Expresión </w:t>
        </w:r>
      </w:hyperlink>
      <w:r w:rsidRPr="000D5E33">
        <w:rPr>
          <w:rFonts w:ascii="Garamond" w:hAnsi="Garamond"/>
          <w:sz w:val="18"/>
          <w:szCs w:val="18"/>
        </w:rPr>
        <w:t xml:space="preserve"> Red de Litigantes LGBTI+ de las Américas, </w:t>
      </w:r>
      <w:r w:rsidRPr="000D5E33">
        <w:rPr>
          <w:rFonts w:ascii="Garamond" w:hAnsi="Garamond"/>
          <w:i/>
          <w:iCs/>
          <w:sz w:val="18"/>
          <w:szCs w:val="18"/>
        </w:rPr>
        <w:t>Contribución al informe temático sobre protección contra la violencia y la discriminación por motivos de orientación sexual o identidad de género, en relación con los derechos humanos a la libertad de expresión, asociación y reunión</w:t>
      </w:r>
      <w:r w:rsidRPr="000D5E33">
        <w:rPr>
          <w:rFonts w:ascii="Garamond" w:hAnsi="Garamond"/>
          <w:sz w:val="18"/>
          <w:szCs w:val="18"/>
        </w:rPr>
        <w:t xml:space="preserve">, enero de 2024. Disponible en: </w:t>
      </w:r>
      <w:hyperlink r:id="rId5">
        <w:r w:rsidRPr="000D5E33">
          <w:rPr>
            <w:rFonts w:ascii="Garamond" w:hAnsi="Garamond"/>
            <w:color w:val="0000EE"/>
            <w:sz w:val="18"/>
            <w:szCs w:val="18"/>
            <w:u w:val="single"/>
          </w:rPr>
          <w:t xml:space="preserve">Red de Litigantes LGBTI+ de las Américas| Call </w:t>
        </w:r>
        <w:proofErr w:type="spellStart"/>
        <w:r w:rsidRPr="000D5E33">
          <w:rPr>
            <w:rFonts w:ascii="Garamond" w:hAnsi="Garamond"/>
            <w:color w:val="0000EE"/>
            <w:sz w:val="18"/>
            <w:szCs w:val="18"/>
            <w:u w:val="single"/>
          </w:rPr>
          <w:t>for</w:t>
        </w:r>
        <w:proofErr w:type="spellEnd"/>
        <w:r w:rsidRPr="000D5E33">
          <w:rPr>
            <w:rFonts w:ascii="Garamond" w:hAnsi="Garamond"/>
            <w:color w:val="0000EE"/>
            <w:sz w:val="18"/>
            <w:szCs w:val="18"/>
            <w:u w:val="single"/>
          </w:rPr>
          <w:t xml:space="preserve"> inputs - IE SOGI HRC 56</w:t>
        </w:r>
      </w:hyperlink>
    </w:p>
  </w:footnote>
  <w:footnote w:id="12">
    <w:p w14:paraId="632A3B82" w14:textId="599E6BF5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</w:t>
      </w:r>
      <w:r w:rsidRPr="000D5E33">
        <w:rPr>
          <w:rFonts w:ascii="Garamond" w:hAnsi="Garamond"/>
          <w:sz w:val="18"/>
          <w:szCs w:val="18"/>
        </w:rPr>
        <w:t xml:space="preserve">Red de Litigantes LGBTI+ de las Américas, </w:t>
      </w:r>
      <w:r w:rsidRPr="000D5E33">
        <w:rPr>
          <w:rFonts w:ascii="Garamond" w:hAnsi="Garamond"/>
          <w:i/>
          <w:iCs/>
          <w:sz w:val="18"/>
          <w:szCs w:val="18"/>
        </w:rPr>
        <w:t xml:space="preserve">Presentación de </w:t>
      </w:r>
      <w:r w:rsidR="00616A56">
        <w:rPr>
          <w:rFonts w:ascii="Garamond" w:hAnsi="Garamond"/>
          <w:i/>
          <w:iCs/>
          <w:sz w:val="18"/>
          <w:szCs w:val="18"/>
        </w:rPr>
        <w:t xml:space="preserve">observaciones </w:t>
      </w:r>
      <w:r w:rsidRPr="000D5E33">
        <w:rPr>
          <w:rFonts w:ascii="Garamond" w:hAnsi="Garamond"/>
          <w:i/>
          <w:iCs/>
          <w:sz w:val="18"/>
          <w:szCs w:val="18"/>
        </w:rPr>
        <w:t>con motivo de la Solicitud de Opinión Consultiva sobre democracia y su protección en el Sistema Interamericano de Derechos Humanos presentada por la República de Guatemala</w:t>
      </w:r>
      <w:r w:rsidRPr="000D5E33">
        <w:rPr>
          <w:rFonts w:ascii="Garamond" w:hAnsi="Garamond"/>
          <w:sz w:val="18"/>
          <w:szCs w:val="18"/>
        </w:rPr>
        <w:t xml:space="preserve">, noviembre de 2025. Disponible en: </w:t>
      </w:r>
      <w:hyperlink r:id="rId6">
        <w:r w:rsidRPr="000D5E33">
          <w:rPr>
            <w:rFonts w:ascii="Garamond" w:hAnsi="Garamond"/>
            <w:color w:val="0000EE"/>
            <w:sz w:val="18"/>
            <w:szCs w:val="18"/>
            <w:u w:val="single"/>
          </w:rPr>
          <w:t>Observaciones Red de Litigantes LGBTI+ OC Democracia (1).pdf</w:t>
        </w:r>
      </w:hyperlink>
    </w:p>
  </w:footnote>
  <w:footnote w:id="13">
    <w:p w14:paraId="6639D838" w14:textId="43FD06A6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sz w:val="18"/>
          <w:szCs w:val="18"/>
        </w:rPr>
        <w:t>Op.Cit</w:t>
      </w:r>
      <w:proofErr w:type="spellEnd"/>
      <w:r w:rsidRPr="000D5E33">
        <w:rPr>
          <w:rFonts w:ascii="Garamond" w:hAnsi="Garamond"/>
          <w:sz w:val="18"/>
          <w:szCs w:val="18"/>
        </w:rPr>
        <w:t>. Corte</w:t>
      </w:r>
      <w:r w:rsidR="000D5E33">
        <w:rPr>
          <w:rFonts w:ascii="Garamond" w:hAnsi="Garamond"/>
          <w:sz w:val="18"/>
          <w:szCs w:val="18"/>
        </w:rPr>
        <w:t xml:space="preserve"> </w:t>
      </w:r>
      <w:r w:rsidRPr="000D5E33">
        <w:rPr>
          <w:rFonts w:ascii="Garamond" w:hAnsi="Garamond"/>
          <w:sz w:val="18"/>
          <w:szCs w:val="18"/>
        </w:rPr>
        <w:t xml:space="preserve">IDH. </w:t>
      </w:r>
      <w:r w:rsidRPr="000D5E33">
        <w:rPr>
          <w:rFonts w:ascii="Garamond" w:hAnsi="Garamond"/>
          <w:i/>
          <w:iCs/>
          <w:sz w:val="18"/>
          <w:szCs w:val="18"/>
        </w:rPr>
        <w:t>Identidad de género, e igualdad y no discriminación a parejas del mismo sexo</w:t>
      </w:r>
      <w:r w:rsidRPr="000D5E33">
        <w:rPr>
          <w:rFonts w:ascii="Garamond" w:hAnsi="Garamond"/>
          <w:sz w:val="18"/>
          <w:szCs w:val="18"/>
        </w:rPr>
        <w:t xml:space="preserve">, Opinión Consultiva OC-24/17. </w:t>
      </w:r>
      <w:r w:rsidR="000D5E33" w:rsidRPr="000D5E33">
        <w:rPr>
          <w:rFonts w:ascii="Garamond" w:hAnsi="Garamond"/>
          <w:sz w:val="18"/>
          <w:szCs w:val="18"/>
        </w:rPr>
        <w:t>Párr.</w:t>
      </w:r>
      <w:r w:rsidRPr="000D5E33">
        <w:rPr>
          <w:rFonts w:ascii="Garamond" w:hAnsi="Garamond"/>
          <w:sz w:val="18"/>
          <w:szCs w:val="18"/>
        </w:rPr>
        <w:t xml:space="preserve"> 98, 101. </w:t>
      </w:r>
    </w:p>
  </w:footnote>
  <w:footnote w:id="14">
    <w:p w14:paraId="5428CF0F" w14:textId="540E5A1E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El 12 de marzo del 2025 el Congreso Peruano aprobó la Ley </w:t>
      </w:r>
      <w:proofErr w:type="spellStart"/>
      <w:r w:rsidRPr="000D5E33">
        <w:rPr>
          <w:rFonts w:ascii="Garamond" w:hAnsi="Garamond"/>
          <w:sz w:val="18"/>
          <w:szCs w:val="18"/>
        </w:rPr>
        <w:t>N°</w:t>
      </w:r>
      <w:proofErr w:type="spellEnd"/>
      <w:r w:rsidRPr="000D5E33">
        <w:rPr>
          <w:rFonts w:ascii="Garamond" w:hAnsi="Garamond"/>
          <w:sz w:val="18"/>
          <w:szCs w:val="18"/>
        </w:rPr>
        <w:t xml:space="preserve"> 32301, la cual exige que cualquier fondo de cooperación internacional dirigido a apoyar a organizaciones de sociedad civil, deben ser previamente autorizados por la Agencia Peruana de Cooperación Internacional (APCI), organismo vinculado al ejecutivo a través del Ministerio de Relaciones Exteriores. Esta ley explícitamente señala como una infracción muy grave </w:t>
      </w:r>
      <w:r w:rsidR="000D5E33" w:rsidRPr="000D5E33">
        <w:rPr>
          <w:rFonts w:ascii="Garamond" w:hAnsi="Garamond"/>
          <w:sz w:val="18"/>
          <w:szCs w:val="18"/>
        </w:rPr>
        <w:t>el “</w:t>
      </w:r>
      <w:r w:rsidRPr="000D5E33">
        <w:rPr>
          <w:rFonts w:ascii="Garamond" w:hAnsi="Garamond"/>
          <w:sz w:val="18"/>
          <w:szCs w:val="18"/>
        </w:rPr>
        <w:t xml:space="preserve">uso indebido de utilización de fondos extranjeros para asesorar, asistir o financiar, de cualquier forma, o modalidad, acciones administrativas, judiciales o de otra naturaleza, en instancias nacionales o internacionales, contra el Estado Peruano”. La sanción por incurrir en este supuesto es la cancelación de la inscripción y del registro de la organización. Ver más en Jorge </w:t>
      </w:r>
      <w:r w:rsidRPr="000D5E33">
        <w:rPr>
          <w:rFonts w:ascii="Garamond" w:hAnsi="Garamond"/>
          <w:sz w:val="18"/>
          <w:szCs w:val="18"/>
          <w:u w:val="single"/>
        </w:rPr>
        <w:t>Luis Salas Arenas, “A</w:t>
      </w:r>
      <w:r w:rsidRPr="000D5E33">
        <w:rPr>
          <w:rFonts w:ascii="Garamond" w:hAnsi="Garamond"/>
          <w:i/>
          <w:iCs/>
          <w:sz w:val="18"/>
          <w:szCs w:val="18"/>
          <w:u w:val="single"/>
        </w:rPr>
        <w:t>utoritarismo encubierto: la modificación de la Ley APCI como un ataque al derecho de asociación en el Perú”,</w:t>
      </w:r>
      <w:r w:rsidRPr="000D5E33">
        <w:rPr>
          <w:rFonts w:ascii="Garamond" w:hAnsi="Garamond"/>
          <w:i/>
          <w:iCs/>
          <w:sz w:val="18"/>
          <w:szCs w:val="18"/>
        </w:rPr>
        <w:t xml:space="preserve"> I</w:t>
      </w:r>
      <w:r w:rsidRPr="000D5E33">
        <w:rPr>
          <w:rFonts w:ascii="Garamond" w:hAnsi="Garamond"/>
          <w:sz w:val="18"/>
          <w:szCs w:val="18"/>
        </w:rPr>
        <w:t>nstituto de Democracia y Derechos Humanos de la Pontificia Universidad Católica del Perú (IDEHPUCP),</w:t>
      </w:r>
      <w:r w:rsidRPr="000D5E33">
        <w:rPr>
          <w:rFonts w:ascii="Garamond" w:hAnsi="Garamond"/>
          <w:i/>
          <w:iCs/>
          <w:sz w:val="18"/>
          <w:szCs w:val="18"/>
        </w:rPr>
        <w:t xml:space="preserve"> </w:t>
      </w:r>
      <w:r w:rsidRPr="000D5E33">
        <w:rPr>
          <w:rFonts w:ascii="Garamond" w:hAnsi="Garamond"/>
          <w:sz w:val="18"/>
          <w:szCs w:val="18"/>
        </w:rPr>
        <w:t>18 de junio de 2024, disponible en:</w:t>
      </w:r>
      <w:hyperlink r:id="rId7">
        <w:r w:rsidRPr="000D5E33">
          <w:rPr>
            <w:rFonts w:ascii="Garamond" w:hAnsi="Garamond"/>
            <w:sz w:val="18"/>
            <w:szCs w:val="18"/>
          </w:rPr>
          <w:t xml:space="preserve"> </w:t>
        </w:r>
      </w:hyperlink>
      <w:hyperlink r:id="rId8">
        <w:r w:rsidRPr="000D5E33">
          <w:rPr>
            <w:rFonts w:ascii="Garamond" w:hAnsi="Garamond"/>
            <w:color w:val="1155CC"/>
            <w:sz w:val="18"/>
            <w:szCs w:val="18"/>
            <w:u w:val="single"/>
          </w:rPr>
          <w:t>IDEHPUCP</w:t>
        </w:r>
      </w:hyperlink>
      <w:r w:rsidRPr="000D5E33">
        <w:rPr>
          <w:rFonts w:ascii="Garamond" w:hAnsi="Garamond"/>
          <w:sz w:val="18"/>
          <w:szCs w:val="18"/>
        </w:rPr>
        <w:t xml:space="preserve">. </w:t>
      </w:r>
    </w:p>
  </w:footnote>
  <w:footnote w:id="15">
    <w:p w14:paraId="3C9C4FCF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</w:t>
      </w:r>
      <w:r w:rsidRPr="000D5E33">
        <w:rPr>
          <w:rFonts w:ascii="Garamond" w:hAnsi="Garamond"/>
          <w:sz w:val="18"/>
          <w:szCs w:val="18"/>
        </w:rPr>
        <w:t>Ibid</w:t>
      </w:r>
      <w:r w:rsidRPr="000D5E33">
        <w:rPr>
          <w:rFonts w:ascii="Garamond" w:hAnsi="Garamond"/>
          <w:sz w:val="18"/>
          <w:szCs w:val="18"/>
        </w:rPr>
        <w:t xml:space="preserve">. </w:t>
      </w:r>
    </w:p>
  </w:footnote>
  <w:footnote w:id="16">
    <w:p w14:paraId="53AE9E7A" w14:textId="4606EA62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La Ley APCI en Perú, nombrada anteriormente obliga a las asociaciones y organizaciones sociales a informar su lugar de domicilio y registrar el Plan Anual de Actividades y el Informe Anual de Actividades Realizadas, a través del cual el Gobierno puede monitorear constantemente las acciones que emprenden las </w:t>
      </w:r>
      <w:proofErr w:type="spellStart"/>
      <w:r w:rsidRPr="000D5E33">
        <w:rPr>
          <w:rFonts w:ascii="Garamond" w:hAnsi="Garamond"/>
          <w:sz w:val="18"/>
          <w:szCs w:val="18"/>
        </w:rPr>
        <w:t>ONGs</w:t>
      </w:r>
      <w:proofErr w:type="spellEnd"/>
      <w:r w:rsidRPr="000D5E33">
        <w:rPr>
          <w:rFonts w:ascii="Garamond" w:hAnsi="Garamond"/>
          <w:sz w:val="18"/>
          <w:szCs w:val="18"/>
        </w:rPr>
        <w:t>. En Paraguay como resultado de la Ley que establece el control, la transparencia y la rendición de cuentas de las organizaciones sin fines de lucro, las organizaciones deben presentar su informe de</w:t>
      </w:r>
      <w:r w:rsidRPr="000D5E33">
        <w:rPr>
          <w:rFonts w:ascii="Garamond" w:hAnsi="Garamond"/>
          <w:sz w:val="18"/>
          <w:szCs w:val="18"/>
        </w:rPr>
        <w:t xml:space="preserve"> actividades del año de cierre y su plan de actividades del año que inicia, para que así se puedan monitorear sus actividades por parte del gobierno. Ver más en: Red de Litigantes LGBTI+ de las Américas, </w:t>
      </w:r>
      <w:r w:rsidRPr="000D5E33">
        <w:rPr>
          <w:rFonts w:ascii="Garamond" w:hAnsi="Garamond"/>
          <w:i/>
          <w:iCs/>
          <w:sz w:val="18"/>
          <w:szCs w:val="18"/>
        </w:rPr>
        <w:t xml:space="preserve">Contribución al informe temático “Derecho de libertad de reunión y asociación, acción colectiva y solidaridad humana frente a amenazas existenciales: preservar los principios fundamentales”, </w:t>
      </w:r>
      <w:r w:rsidRPr="000D5E33">
        <w:rPr>
          <w:rFonts w:ascii="Garamond" w:hAnsi="Garamond"/>
          <w:sz w:val="18"/>
          <w:szCs w:val="18"/>
        </w:rPr>
        <w:t xml:space="preserve">presentada a la Relatora Especial sobre los derechos a la libertad de reunión pacífica y de asociación, junio de 2025. Disponible en: </w:t>
      </w:r>
      <w:hyperlink r:id="rId9">
        <w:r w:rsidR="001D7975">
          <w:rPr>
            <w:rFonts w:ascii="Garamond" w:hAnsi="Garamond"/>
            <w:color w:val="0000EE"/>
            <w:sz w:val="18"/>
            <w:szCs w:val="18"/>
            <w:u w:val="single"/>
          </w:rPr>
          <w:t>Contribución Red de Litigantes LGBTI+ de las Américas: Derecho de libertad de reunión y asociación.</w:t>
        </w:r>
      </w:hyperlink>
      <w:r w:rsidR="00D90D3A">
        <w:rPr>
          <w:rFonts w:ascii="Garamond" w:hAnsi="Garamond"/>
          <w:sz w:val="18"/>
          <w:szCs w:val="18"/>
        </w:rPr>
        <w:t>.</w:t>
      </w:r>
    </w:p>
  </w:footnote>
  <w:footnote w:id="17">
    <w:p w14:paraId="6D0285D6" w14:textId="170D6DBF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En El Salvador se aprobó la “Ley de Agentes Extranjeros”. Esta norma exige </w:t>
      </w:r>
      <w:r w:rsidR="00D90D3A" w:rsidRPr="000D5E33">
        <w:rPr>
          <w:rFonts w:ascii="Garamond" w:hAnsi="Garamond"/>
          <w:sz w:val="18"/>
          <w:szCs w:val="18"/>
        </w:rPr>
        <w:t>que cualquier</w:t>
      </w:r>
      <w:r w:rsidRPr="000D5E33">
        <w:rPr>
          <w:rFonts w:ascii="Garamond" w:hAnsi="Garamond"/>
          <w:sz w:val="18"/>
          <w:szCs w:val="18"/>
        </w:rPr>
        <w:t xml:space="preserve"> persona natural o jurídica que reciba fondos del exterior debe registrarse como un agente </w:t>
      </w:r>
      <w:r w:rsidR="00D90D3A" w:rsidRPr="000D5E33">
        <w:rPr>
          <w:rFonts w:ascii="Garamond" w:hAnsi="Garamond"/>
          <w:sz w:val="18"/>
          <w:szCs w:val="18"/>
        </w:rPr>
        <w:t>extranjero</w:t>
      </w:r>
      <w:r w:rsidR="00D90D3A">
        <w:rPr>
          <w:rFonts w:ascii="Garamond" w:hAnsi="Garamond"/>
          <w:sz w:val="18"/>
          <w:szCs w:val="18"/>
        </w:rPr>
        <w:t xml:space="preserve">. </w:t>
      </w:r>
      <w:r w:rsidR="00D90D3A" w:rsidRPr="000D5E33">
        <w:rPr>
          <w:rFonts w:ascii="Garamond" w:hAnsi="Garamond"/>
          <w:sz w:val="18"/>
          <w:szCs w:val="18"/>
        </w:rPr>
        <w:t>Ante</w:t>
      </w:r>
      <w:r w:rsidRPr="000D5E33">
        <w:rPr>
          <w:rFonts w:ascii="Garamond" w:hAnsi="Garamond"/>
          <w:sz w:val="18"/>
          <w:szCs w:val="18"/>
        </w:rPr>
        <w:t xml:space="preserve"> el incumplimiento de estas “obligaciones”, el Registro de Agentes Extranjeros también podrá cancelar las personerías jurídicas de las organizaciones e imponer multas de hasta $250.000 USD. De otro lado, impone un impuesto del 30% a cualquier donación o transacción, desembolso, transferencia, importación </w:t>
      </w:r>
      <w:r w:rsidR="00D90D3A" w:rsidRPr="000D5E33">
        <w:rPr>
          <w:rFonts w:ascii="Garamond" w:hAnsi="Garamond"/>
          <w:sz w:val="18"/>
          <w:szCs w:val="18"/>
        </w:rPr>
        <w:t>de bienes</w:t>
      </w:r>
      <w:r w:rsidRPr="000D5E33">
        <w:rPr>
          <w:rFonts w:ascii="Garamond" w:hAnsi="Garamond"/>
          <w:sz w:val="18"/>
          <w:szCs w:val="18"/>
        </w:rPr>
        <w:t xml:space="preserve"> materiales o especies de cualquier tipo provenientes del extranjero. Disponible: Ibid. </w:t>
      </w:r>
    </w:p>
  </w:footnote>
  <w:footnote w:id="18">
    <w:p w14:paraId="14D54294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ACNUR, </w:t>
      </w:r>
      <w:r w:rsidRPr="000D5E33">
        <w:rPr>
          <w:rFonts w:ascii="Garamond" w:hAnsi="Garamond"/>
          <w:i/>
          <w:iCs/>
          <w:sz w:val="18"/>
          <w:szCs w:val="18"/>
        </w:rPr>
        <w:t>Manual sobre procedimientos y criterios para determinar la condición de refugiado y directrices sobre protección internacional. En virtud de la Convención de 1951 y el Protocolo de 1967 sobre el Estatuto de los Refugiados</w:t>
      </w:r>
      <w:r w:rsidRPr="000D5E33">
        <w:rPr>
          <w:rFonts w:ascii="Garamond" w:hAnsi="Garamond"/>
          <w:sz w:val="18"/>
          <w:szCs w:val="18"/>
        </w:rPr>
        <w:t>, edición de 2019, párr. 9.</w:t>
      </w:r>
    </w:p>
  </w:footnote>
  <w:footnote w:id="19">
    <w:p w14:paraId="5467E787" w14:textId="49A24B4C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El principio de no devolución se ha visto gravemente violado en los Estados Unidos en casos de personas que por los riesgos derivados </w:t>
      </w:r>
      <w:r w:rsidR="003A0B24" w:rsidRPr="000D5E33">
        <w:rPr>
          <w:rFonts w:ascii="Garamond" w:hAnsi="Garamond"/>
          <w:sz w:val="18"/>
          <w:szCs w:val="18"/>
        </w:rPr>
        <w:t>su actividad asociativa en sus Estados de origen había</w:t>
      </w:r>
      <w:r w:rsidRPr="000D5E33">
        <w:rPr>
          <w:rFonts w:ascii="Garamond" w:hAnsi="Garamond"/>
          <w:sz w:val="18"/>
          <w:szCs w:val="18"/>
        </w:rPr>
        <w:t xml:space="preserve"> buscado refugio en este país. Cfr. Jaya Ramji-Nogales, “The Trump </w:t>
      </w:r>
      <w:proofErr w:type="spellStart"/>
      <w:r w:rsidRPr="000D5E33">
        <w:rPr>
          <w:rFonts w:ascii="Garamond" w:hAnsi="Garamond"/>
          <w:sz w:val="18"/>
          <w:szCs w:val="18"/>
        </w:rPr>
        <w:t>Administration's</w:t>
      </w:r>
      <w:proofErr w:type="spellEnd"/>
      <w:r w:rsidRPr="000D5E33">
        <w:rPr>
          <w:rFonts w:ascii="Garamond" w:hAnsi="Garamond"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sz w:val="18"/>
          <w:szCs w:val="18"/>
        </w:rPr>
        <w:t>Unprecedented</w:t>
      </w:r>
      <w:proofErr w:type="spellEnd"/>
      <w:r w:rsidRPr="000D5E33">
        <w:rPr>
          <w:rFonts w:ascii="Garamond" w:hAnsi="Garamond"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sz w:val="18"/>
          <w:szCs w:val="18"/>
        </w:rPr>
        <w:t>Violations</w:t>
      </w:r>
      <w:proofErr w:type="spellEnd"/>
      <w:r w:rsidRPr="000D5E33">
        <w:rPr>
          <w:rFonts w:ascii="Garamond" w:hAnsi="Garamond"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sz w:val="18"/>
          <w:szCs w:val="18"/>
        </w:rPr>
        <w:t>of</w:t>
      </w:r>
      <w:proofErr w:type="spellEnd"/>
      <w:r w:rsidRPr="000D5E33">
        <w:rPr>
          <w:rFonts w:ascii="Garamond" w:hAnsi="Garamond"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sz w:val="18"/>
          <w:szCs w:val="18"/>
        </w:rPr>
        <w:t>the</w:t>
      </w:r>
      <w:proofErr w:type="spellEnd"/>
      <w:r w:rsidRPr="000D5E33">
        <w:rPr>
          <w:rFonts w:ascii="Garamond" w:hAnsi="Garamond"/>
          <w:sz w:val="18"/>
          <w:szCs w:val="18"/>
        </w:rPr>
        <w:t xml:space="preserve"> Non-</w:t>
      </w:r>
      <w:proofErr w:type="spellStart"/>
      <w:r w:rsidRPr="000D5E33">
        <w:rPr>
          <w:rFonts w:ascii="Garamond" w:hAnsi="Garamond"/>
          <w:sz w:val="18"/>
          <w:szCs w:val="18"/>
        </w:rPr>
        <w:t>Refoulement</w:t>
      </w:r>
      <w:proofErr w:type="spellEnd"/>
      <w:r w:rsidRPr="000D5E33">
        <w:rPr>
          <w:rFonts w:ascii="Garamond" w:hAnsi="Garamond"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sz w:val="18"/>
          <w:szCs w:val="18"/>
        </w:rPr>
        <w:t>Principle</w:t>
      </w:r>
      <w:proofErr w:type="spellEnd"/>
      <w:r w:rsidRPr="000D5E33">
        <w:rPr>
          <w:rFonts w:ascii="Garamond" w:hAnsi="Garamond"/>
          <w:sz w:val="18"/>
          <w:szCs w:val="18"/>
        </w:rPr>
        <w:t xml:space="preserve">”, </w:t>
      </w:r>
      <w:r w:rsidRPr="000D5E33">
        <w:rPr>
          <w:rFonts w:ascii="Garamond" w:hAnsi="Garamond"/>
          <w:i/>
          <w:iCs/>
          <w:sz w:val="18"/>
          <w:szCs w:val="18"/>
        </w:rPr>
        <w:t xml:space="preserve">American </w:t>
      </w:r>
      <w:proofErr w:type="spellStart"/>
      <w:r w:rsidRPr="000D5E33">
        <w:rPr>
          <w:rFonts w:ascii="Garamond" w:hAnsi="Garamond"/>
          <w:i/>
          <w:iCs/>
          <w:sz w:val="18"/>
          <w:szCs w:val="18"/>
        </w:rPr>
        <w:t>Journal</w:t>
      </w:r>
      <w:proofErr w:type="spellEnd"/>
      <w:r w:rsidRPr="000D5E33">
        <w:rPr>
          <w:rFonts w:ascii="Garamond" w:hAnsi="Garamond"/>
          <w:i/>
          <w:iCs/>
          <w:sz w:val="18"/>
          <w:szCs w:val="18"/>
        </w:rPr>
        <w:t xml:space="preserve"> </w:t>
      </w:r>
      <w:proofErr w:type="spellStart"/>
      <w:r w:rsidRPr="000D5E33">
        <w:rPr>
          <w:rFonts w:ascii="Garamond" w:hAnsi="Garamond"/>
          <w:i/>
          <w:iCs/>
          <w:sz w:val="18"/>
          <w:szCs w:val="18"/>
        </w:rPr>
        <w:t>of</w:t>
      </w:r>
      <w:proofErr w:type="spellEnd"/>
      <w:r w:rsidRPr="000D5E33">
        <w:rPr>
          <w:rFonts w:ascii="Garamond" w:hAnsi="Garamond"/>
          <w:i/>
          <w:iCs/>
          <w:sz w:val="18"/>
          <w:szCs w:val="18"/>
        </w:rPr>
        <w:t xml:space="preserve"> International Law</w:t>
      </w:r>
      <w:r w:rsidRPr="000D5E33">
        <w:rPr>
          <w:rFonts w:ascii="Garamond" w:hAnsi="Garamond"/>
          <w:sz w:val="18"/>
          <w:szCs w:val="18"/>
        </w:rPr>
        <w:t xml:space="preserve">, vol. 119, 2025, Cambridge </w:t>
      </w:r>
      <w:proofErr w:type="spellStart"/>
      <w:r w:rsidRPr="000D5E33">
        <w:rPr>
          <w:rFonts w:ascii="Garamond" w:hAnsi="Garamond"/>
          <w:sz w:val="18"/>
          <w:szCs w:val="18"/>
        </w:rPr>
        <w:t>University</w:t>
      </w:r>
      <w:proofErr w:type="spellEnd"/>
      <w:r w:rsidRPr="000D5E33">
        <w:rPr>
          <w:rFonts w:ascii="Garamond" w:hAnsi="Garamond"/>
          <w:sz w:val="18"/>
          <w:szCs w:val="18"/>
        </w:rPr>
        <w:t xml:space="preserve"> Press. </w:t>
      </w:r>
    </w:p>
  </w:footnote>
  <w:footnote w:id="20">
    <w:p w14:paraId="312A15FD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Cfr. Red de Litigantes LGBTI+ de las Américas, Coalición LGBTTTI+ &amp; de Trabajadoras Sexuales con trabajo ante la OEA y Red Regional Sin Violencia LGBTI de América Latina y el Caribe, </w:t>
      </w:r>
      <w:r w:rsidRPr="000D5E33">
        <w:rPr>
          <w:rFonts w:ascii="Garamond" w:hAnsi="Garamond"/>
          <w:i/>
          <w:iCs/>
          <w:sz w:val="18"/>
          <w:szCs w:val="18"/>
        </w:rPr>
        <w:t>Contribución al tercer informe regional sobre la situación de derechos humanos de personas defensoras de derechos humanos en las Américas</w:t>
      </w:r>
      <w:r w:rsidRPr="000D5E33">
        <w:rPr>
          <w:rFonts w:ascii="Garamond" w:hAnsi="Garamond"/>
          <w:sz w:val="18"/>
          <w:szCs w:val="18"/>
        </w:rPr>
        <w:t xml:space="preserve">, documento presentado ante la Comisión Interamericana de Derechos Humanos, 15 de marzo de 2024. Disponible en: </w:t>
      </w:r>
      <w:hyperlink r:id="rId10">
        <w:r w:rsidRPr="000D5E33">
          <w:rPr>
            <w:rFonts w:ascii="Garamond" w:hAnsi="Garamond"/>
            <w:color w:val="0000EE"/>
            <w:sz w:val="18"/>
            <w:szCs w:val="18"/>
            <w:u w:val="single"/>
          </w:rPr>
          <w:t xml:space="preserve">Contribución al tercer informe sobre la situación de derechos humanos de personas defensoras de derechos humanos en las </w:t>
        </w:r>
        <w:proofErr w:type="spellStart"/>
        <w:proofErr w:type="gramStart"/>
        <w:r w:rsidRPr="000D5E33">
          <w:rPr>
            <w:rFonts w:ascii="Garamond" w:hAnsi="Garamond"/>
            <w:color w:val="0000EE"/>
            <w:sz w:val="18"/>
            <w:szCs w:val="18"/>
            <w:u w:val="single"/>
          </w:rPr>
          <w:t>Américas..</w:t>
        </w:r>
        <w:proofErr w:type="gramEnd"/>
        <w:r w:rsidRPr="000D5E33">
          <w:rPr>
            <w:rFonts w:ascii="Garamond" w:hAnsi="Garamond"/>
            <w:color w:val="0000EE"/>
            <w:sz w:val="18"/>
            <w:szCs w:val="18"/>
            <w:u w:val="single"/>
          </w:rPr>
          <w:t>docx</w:t>
        </w:r>
        <w:proofErr w:type="spellEnd"/>
      </w:hyperlink>
    </w:p>
  </w:footnote>
  <w:footnote w:id="21">
    <w:p w14:paraId="369A4CA0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Consejo de Derechos Humanos de las Naciones Unidas, </w:t>
      </w:r>
      <w:r w:rsidRPr="000D5E33">
        <w:rPr>
          <w:rFonts w:ascii="Garamond" w:hAnsi="Garamond"/>
          <w:i/>
          <w:iCs/>
          <w:sz w:val="18"/>
          <w:szCs w:val="18"/>
        </w:rPr>
        <w:t>Protección contra la violencia y la discriminación por motivos de orientación sexual e identidad de género en relación con los derechos humanos a la libertad de expresión, de reunión pacífica y de asociación</w:t>
      </w:r>
      <w:r w:rsidRPr="000D5E33">
        <w:rPr>
          <w:rFonts w:ascii="Garamond" w:hAnsi="Garamond"/>
          <w:sz w:val="18"/>
          <w:szCs w:val="18"/>
        </w:rPr>
        <w:t>. Informe del Experto Independiente sobre la protección contra la violencia y la discriminación por motivos de orientación sexual e identidad de género, Doc. ONU A/HRC/56/49, 18 de abril de 2024, párr. 13</w:t>
      </w:r>
    </w:p>
  </w:footnote>
  <w:footnote w:id="22">
    <w:p w14:paraId="587A5510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Desde 1990 la Organización Mundial de la Salud ha eliminado a la homosexualidad de su Clasificación Internacional de Enfermedades. Así mismo en 2019 con la actualización de esta Clasificación (CIE-11) la transexualidad ya no se considera una enfermedad mental.  Cfr. Colombia Diversa</w:t>
      </w:r>
      <w:r w:rsidRPr="000D5E33">
        <w:rPr>
          <w:rFonts w:ascii="Garamond" w:hAnsi="Garamond"/>
          <w:b/>
          <w:bCs/>
          <w:sz w:val="18"/>
          <w:szCs w:val="18"/>
        </w:rPr>
        <w:t>,</w:t>
      </w:r>
      <w:r w:rsidRPr="000D5E33">
        <w:rPr>
          <w:rFonts w:ascii="Garamond" w:hAnsi="Garamond"/>
          <w:sz w:val="18"/>
          <w:szCs w:val="18"/>
        </w:rPr>
        <w:t xml:space="preserve"> </w:t>
      </w:r>
      <w:r w:rsidRPr="000D5E33">
        <w:rPr>
          <w:rFonts w:ascii="Garamond" w:hAnsi="Garamond"/>
          <w:i/>
          <w:iCs/>
          <w:sz w:val="18"/>
          <w:szCs w:val="18"/>
        </w:rPr>
        <w:t>¿Qué significa que la OMS elimine la patologización trans de su lista de enfermedades?</w:t>
      </w:r>
      <w:r w:rsidRPr="000D5E33">
        <w:rPr>
          <w:rFonts w:ascii="Garamond" w:hAnsi="Garamond"/>
          <w:sz w:val="18"/>
          <w:szCs w:val="18"/>
        </w:rPr>
        <w:t>, disponible en:</w:t>
      </w:r>
      <w:hyperlink r:id="rId11">
        <w:r w:rsidRPr="000D5E33">
          <w:rPr>
            <w:rFonts w:ascii="Garamond" w:hAnsi="Garamond"/>
            <w:sz w:val="18"/>
            <w:szCs w:val="18"/>
          </w:rPr>
          <w:t xml:space="preserve"> </w:t>
        </w:r>
      </w:hyperlink>
      <w:hyperlink r:id="rId12">
        <w:r w:rsidRPr="000D5E33">
          <w:rPr>
            <w:rFonts w:ascii="Garamond" w:hAnsi="Garamond"/>
            <w:color w:val="1155CC"/>
            <w:sz w:val="18"/>
            <w:szCs w:val="18"/>
            <w:u w:val="single"/>
          </w:rPr>
          <w:t>https://colombiadiversa.org/que-significa-que-la-oms-elimine-la-patologizacion-trans-de-su-lista-de-enfermedades/</w:t>
        </w:r>
      </w:hyperlink>
      <w:r w:rsidRPr="000D5E33">
        <w:rPr>
          <w:rFonts w:ascii="Garamond" w:hAnsi="Garamond"/>
          <w:sz w:val="18"/>
          <w:szCs w:val="18"/>
        </w:rPr>
        <w:t xml:space="preserve">.  </w:t>
      </w:r>
    </w:p>
  </w:footnote>
  <w:footnote w:id="23">
    <w:p w14:paraId="681E36D4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proofErr w:type="spellStart"/>
      <w:r w:rsidRPr="000D5E33">
        <w:rPr>
          <w:rFonts w:ascii="Garamond" w:hAnsi="Garamond"/>
          <w:sz w:val="18"/>
          <w:szCs w:val="18"/>
        </w:rPr>
        <w:t>Op.Cit</w:t>
      </w:r>
      <w:proofErr w:type="spellEnd"/>
      <w:r w:rsidRPr="000D5E33">
        <w:rPr>
          <w:rFonts w:ascii="Garamond" w:hAnsi="Garamond"/>
          <w:sz w:val="18"/>
          <w:szCs w:val="18"/>
        </w:rPr>
        <w:t xml:space="preserve">. Consejo de Derechos Humanos de las Naciones Unidas, </w:t>
      </w:r>
      <w:r w:rsidRPr="000D5E33">
        <w:rPr>
          <w:rFonts w:ascii="Garamond" w:hAnsi="Garamond"/>
          <w:i/>
          <w:iCs/>
          <w:sz w:val="18"/>
          <w:szCs w:val="18"/>
        </w:rPr>
        <w:t>Protección contra la violencia y la discriminación por motivos de orientación sexual e identidad de género en relación con los derechos humanos a la libertad de expresión, de reunión pacífica y de asociación</w:t>
      </w:r>
      <w:r w:rsidRPr="000D5E33">
        <w:rPr>
          <w:rFonts w:ascii="Garamond" w:hAnsi="Garamond"/>
          <w:sz w:val="18"/>
          <w:szCs w:val="18"/>
        </w:rPr>
        <w:t>. párr. 15</w:t>
      </w:r>
    </w:p>
  </w:footnote>
  <w:footnote w:id="24">
    <w:p w14:paraId="6A2A520F" w14:textId="77777777" w:rsidR="00DF7CB0" w:rsidRPr="000D5E33" w:rsidRDefault="00114957" w:rsidP="000D5E33">
      <w:pPr>
        <w:spacing w:line="240" w:lineRule="auto"/>
        <w:jc w:val="both"/>
        <w:rPr>
          <w:rFonts w:ascii="Garamond" w:hAnsi="Garamond"/>
          <w:sz w:val="18"/>
          <w:szCs w:val="18"/>
        </w:rPr>
      </w:pPr>
      <w:r w:rsidRPr="000D5E33">
        <w:rPr>
          <w:rFonts w:ascii="Garamond" w:hAnsi="Garamond"/>
          <w:sz w:val="18"/>
          <w:szCs w:val="18"/>
          <w:vertAlign w:val="superscript"/>
        </w:rPr>
        <w:footnoteRef/>
      </w:r>
      <w:r w:rsidRPr="000D5E33">
        <w:rPr>
          <w:rFonts w:ascii="Garamond" w:hAnsi="Garamond"/>
          <w:sz w:val="18"/>
          <w:szCs w:val="18"/>
        </w:rPr>
        <w:t xml:space="preserve"> Ibid. </w:t>
      </w:r>
      <w:proofErr w:type="spellStart"/>
      <w:r w:rsidRPr="000D5E33">
        <w:rPr>
          <w:rFonts w:ascii="Garamond" w:hAnsi="Garamond"/>
          <w:sz w:val="18"/>
          <w:szCs w:val="18"/>
        </w:rPr>
        <w:t>Párrs</w:t>
      </w:r>
      <w:proofErr w:type="spellEnd"/>
      <w:r w:rsidRPr="000D5E33">
        <w:rPr>
          <w:rFonts w:ascii="Garamond" w:hAnsi="Garamond"/>
          <w:sz w:val="18"/>
          <w:szCs w:val="18"/>
        </w:rPr>
        <w:t xml:space="preserve">. 14, 25 y 72.; </w:t>
      </w:r>
      <w:proofErr w:type="spellStart"/>
      <w:r w:rsidRPr="000D5E33">
        <w:rPr>
          <w:rFonts w:ascii="Garamond" w:hAnsi="Garamond"/>
          <w:sz w:val="18"/>
          <w:szCs w:val="18"/>
        </w:rPr>
        <w:t>Op.Cit</w:t>
      </w:r>
      <w:proofErr w:type="spellEnd"/>
      <w:r w:rsidRPr="000D5E33">
        <w:rPr>
          <w:rFonts w:ascii="Garamond" w:hAnsi="Garamond"/>
          <w:sz w:val="18"/>
          <w:szCs w:val="18"/>
        </w:rPr>
        <w:t xml:space="preserve">. Red de Litigantes LGBTI+ de las Américas, </w:t>
      </w:r>
      <w:r w:rsidRPr="000D5E33">
        <w:rPr>
          <w:rFonts w:ascii="Garamond" w:hAnsi="Garamond"/>
          <w:i/>
          <w:iCs/>
          <w:sz w:val="18"/>
          <w:szCs w:val="18"/>
        </w:rPr>
        <w:t>Presentación de observaciones por la Red de Litigantes LGBTI+ de las Américas con motivo de la Solicitud de Opinión Consultiva sobre democracia y su protección en el Sistema Interamericano de Derechos Humanos presentada por la República de Guatemala</w:t>
      </w:r>
      <w:r w:rsidRPr="000D5E33">
        <w:rPr>
          <w:rFonts w:ascii="Garamond" w:hAnsi="Garamond"/>
          <w:sz w:val="18"/>
          <w:szCs w:val="18"/>
        </w:rPr>
        <w:t xml:space="preserve">. Pág. 17.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A87A" w14:textId="77777777" w:rsidR="00DF7CB0" w:rsidRDefault="00114957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015D7803" wp14:editId="79D1C8FA">
          <wp:simplePos x="0" y="0"/>
          <wp:positionH relativeFrom="column">
            <wp:posOffset>2038350</wp:posOffset>
          </wp:positionH>
          <wp:positionV relativeFrom="paragraph">
            <wp:posOffset>-247649</wp:posOffset>
          </wp:positionV>
          <wp:extent cx="1287300" cy="502852"/>
          <wp:effectExtent l="0" t="0" r="0" b="0"/>
          <wp:wrapNone/>
          <wp:docPr id="18235205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7300" cy="5028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B7906"/>
    <w:multiLevelType w:val="multilevel"/>
    <w:tmpl w:val="70E443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3007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CB0"/>
    <w:rsid w:val="000B61A9"/>
    <w:rsid w:val="000D5E33"/>
    <w:rsid w:val="00114957"/>
    <w:rsid w:val="001D45FC"/>
    <w:rsid w:val="001D7975"/>
    <w:rsid w:val="002A5BC9"/>
    <w:rsid w:val="003A0B24"/>
    <w:rsid w:val="004A56FD"/>
    <w:rsid w:val="00616A56"/>
    <w:rsid w:val="00626E10"/>
    <w:rsid w:val="007F2C31"/>
    <w:rsid w:val="008F576D"/>
    <w:rsid w:val="00AF0288"/>
    <w:rsid w:val="00AF207D"/>
    <w:rsid w:val="00B0026A"/>
    <w:rsid w:val="00B4633A"/>
    <w:rsid w:val="00D90D3A"/>
    <w:rsid w:val="00DD0882"/>
    <w:rsid w:val="00DF7CB0"/>
    <w:rsid w:val="00E02754"/>
    <w:rsid w:val="00E12781"/>
    <w:rsid w:val="00E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692D42"/>
  <w15:docId w15:val="{DEA48E87-9A6D-46E3-B4A5-58AE51C4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P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idehpucp.pucp.edu.pe/boletin-eventos/autoritarismo-encubierto-la-modificacion-de-la-ley-apci-como-un-ataque-al-derecho-de-asociacion-en-el-peru/?utm_source=chatgpt.com" TargetMode="External"/><Relationship Id="rId3" Type="http://schemas.openxmlformats.org/officeDocument/2006/relationships/hyperlink" Target="https://www.amnesty.org/en/latest/news/2024/05/thailand-state-backed-digital-violence-silence-women-lgbti-activists/?utm_source=chatgpt.com" TargetMode="External"/><Relationship Id="rId7" Type="http://schemas.openxmlformats.org/officeDocument/2006/relationships/hyperlink" Target="https://idehpucp.pucp.edu.pe/boletin-eventos/autoritarismo-encubierto-la-modificacion-de-la-ley-apci-como-un-ataque-al-derecho-de-asociacion-en-el-peru/?utm_source=chatgpt.com" TargetMode="External"/><Relationship Id="rId12" Type="http://schemas.openxmlformats.org/officeDocument/2006/relationships/hyperlink" Target="https://colombiadiversa.org/que-significa-que-la-oms-elimine-la-patologizacion-trans-de-su-lista-de-enfermedades/?utm_source=chatgpt.com" TargetMode="External"/><Relationship Id="rId2" Type="http://schemas.openxmlformats.org/officeDocument/2006/relationships/hyperlink" Target="https://www.amnesty.org/en/latest/news/2024/05/thailand-state-backed-digital-violence-silence-women-lgbti-activists/?utm_source=chatgpt.com" TargetMode="External"/><Relationship Id="rId1" Type="http://schemas.openxmlformats.org/officeDocument/2006/relationships/hyperlink" Target="https://litiganteslgbt.org/" TargetMode="External"/><Relationship Id="rId6" Type="http://schemas.openxmlformats.org/officeDocument/2006/relationships/hyperlink" Target="https://drive.google.com/file/d/1bBQdH0sstv0On8ALf_V5u60foxCtdh7h/view?usp=sharing" TargetMode="External"/><Relationship Id="rId11" Type="http://schemas.openxmlformats.org/officeDocument/2006/relationships/hyperlink" Target="https://colombiadiversa.org/que-significa-que-la-oms-elimine-la-patologizacion-trans-de-su-lista-de-enfermedades/?utm_source=chatgpt.com" TargetMode="External"/><Relationship Id="rId5" Type="http://schemas.openxmlformats.org/officeDocument/2006/relationships/hyperlink" Target="https://docs.google.com/document/d/1EdNCR33TO94WuBVBpPoVI24C0v0vMl1Hop_hFwhbu3U/edit?tab=t.0" TargetMode="External"/><Relationship Id="rId10" Type="http://schemas.openxmlformats.org/officeDocument/2006/relationships/hyperlink" Target="https://docs.google.com/document/d/19Srp7YoS3ZjEpdnw3EpV2IXoIFn-mUbD/edit" TargetMode="External"/><Relationship Id="rId4" Type="http://schemas.openxmlformats.org/officeDocument/2006/relationships/hyperlink" Target="https://drive.google.com/file/d/1YK9ozzJE8mtDxncph7Rxgb1DiprxzYQo/view?usp=sharing" TargetMode="External"/><Relationship Id="rId9" Type="http://schemas.openxmlformats.org/officeDocument/2006/relationships/hyperlink" Target="https://docs.google.com/document/d/11-F7nzc9Ej-6NmxHgnyJrlm7j8t6tkuIwRrORSWEBog/edit?tab=t.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53D6983EF5F4EB0B6A5354F975E96" ma:contentTypeVersion="35" ma:contentTypeDescription="Create a new document." ma:contentTypeScope="" ma:versionID="58579df4de39a9b2095874bb2a5e7e5e">
  <xsd:schema xmlns:xsd="http://www.w3.org/2001/XMLSchema" xmlns:xs="http://www.w3.org/2001/XMLSchema" xmlns:p="http://schemas.microsoft.com/office/2006/metadata/properties" xmlns:ns2="d42e65b2-cf21-49c1-b27d-d23f90380c0e" xmlns:ns3="9c2e4527-2efa-4ade-b3d6-b2418af14986" xmlns:ns4="985ec44e-1bab-4c0b-9df0-6ba128686fc9" targetNamespace="http://schemas.microsoft.com/office/2006/metadata/properties" ma:root="true" ma:fieldsID="d1401b5f77f9c0e5f51f5070f0b5be93" ns2:_="" ns3:_="" ns4:_="">
    <xsd:import namespace="d42e65b2-cf21-49c1-b27d-d23f90380c0e"/>
    <xsd:import namespace="9c2e4527-2efa-4ade-b3d6-b2418af14986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2:Doctype" minOccurs="0"/>
                <xsd:element ref="ns2:Category" minOccurs="0"/>
                <xsd:element ref="ns2:Filenam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tatus" minOccurs="0"/>
                <xsd:element ref="ns2:AItagger" minOccurs="0"/>
                <xsd:element ref="ns2:AIcounte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65b2-cf21-49c1-b27d-d23f90380c0e" elementFormDefault="qualified">
    <xsd:import namespace="http://schemas.microsoft.com/office/2006/documentManagement/types"/>
    <xsd:import namespace="http://schemas.microsoft.com/office/infopath/2007/PartnerControls"/>
    <xsd:element name="Contributor" ma:index="1" nillable="true" ma:displayName="Contributor" ma:description="Who submitted this document?&#10;Click and enter the contributor's name" ma:internalName="Contributor">
      <xsd:simpleType>
        <xsd:restriction base="dms:Text">
          <xsd:maxLength value="255"/>
        </xsd:restriction>
      </xsd:simpleType>
    </xsd:element>
    <xsd:element name="Doctype" ma:index="2" nillable="true" ma:displayName="Doc type" ma:default="input" ma:format="Dropdown" ma:internalName="Doctype" ma:readOnly="false">
      <xsd:simpleType>
        <xsd:union memberTypes="dms:Text">
          <xsd:simpleType>
            <xsd:restriction base="dms:Choice">
              <xsd:enumeration value="note verbale"/>
              <xsd:enumeration value="cover letter"/>
              <xsd:enumeration value="input"/>
              <xsd:enumeration value="annex"/>
              <xsd:enumeration value="English version"/>
              <xsd:enumeration value="French version"/>
              <xsd:enumeration value="Spanish version"/>
              <xsd:enumeration value="Arabic version"/>
              <xsd:enumeration value="Chinese version"/>
              <xsd:enumeration value="Russian version"/>
              <xsd:enumeration value="English translation"/>
              <xsd:enumeration value="French translation"/>
              <xsd:enumeration value="Spanish translation"/>
              <xsd:enumeration value="Arabic translation"/>
              <xsd:enumeration value="Russian translation"/>
              <xsd:enumeration value="Chinese translation"/>
            </xsd:restriction>
          </xsd:simpleType>
        </xsd:union>
      </xsd:simpleType>
    </xsd:element>
    <xsd:element name="Category" ma:index="3" nillable="true" ma:displayName="Category" ma:format="Dropdown" ma:internalName="Category" ma:readOnly="false">
      <xsd:simpleType>
        <xsd:union memberTypes="dms:Text">
          <xsd:simpleType>
            <xsd:restriction base="dms:Choice">
              <xsd:enumeration value="States"/>
              <xsd:enumeration value="NHRIs"/>
              <xsd:enumeration value="UN entities"/>
              <xsd:enumeration value="IGOs"/>
              <xsd:enumeration value="Regional mechanism"/>
              <xsd:enumeration value="National mechanism"/>
              <xsd:enumeration value="CSOs"/>
              <xsd:enumeration value="Private sector"/>
              <xsd:enumeration value="Academia"/>
              <xsd:enumeration value="Indigenous Peoples"/>
              <xsd:enumeration value="Individuals"/>
            </xsd:restriction>
          </xsd:simpleType>
        </xsd:union>
      </xsd:simpleType>
    </xsd:element>
    <xsd:element name="Filename" ma:index="4" nillable="true" ma:displayName="File name" ma:format="Dropdown" ma:hidden="true" ma:internalName="Filename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26" nillable="true" ma:displayName="Status" ma:default="New" ma:format="Dropdown" ma:hidden="true" ma:internalName="Status">
      <xsd:simpleType>
        <xsd:restriction base="dms:Choice">
          <xsd:enumeration value="New"/>
          <xsd:enumeration value="AI tagging..."/>
          <xsd:enumeration value="AI tagged"/>
          <xsd:enumeration value="AI tagging failed"/>
          <xsd:enumeration value="Human tagged"/>
          <xsd:enumeration value="Preparing for publishing..."/>
          <xsd:enumeration value="Error"/>
          <xsd:enumeration value="Ready to publish"/>
          <xsd:enumeration value="Web published"/>
        </xsd:restriction>
      </xsd:simpleType>
    </xsd:element>
    <xsd:element name="AItagger" ma:index="27" nillable="true" ma:displayName="AI tagger" ma:default="0" ma:format="Dropdown" ma:internalName="AItagger">
      <xsd:simpleType>
        <xsd:restriction base="dms:Boolean"/>
      </xsd:simpleType>
    </xsd:element>
    <xsd:element name="AIcounter" ma:index="28" nillable="true" ma:displayName="AI counter" ma:decimals="0" ma:default="0" ma:description="How many times AI tagger has been triggered" ma:format="Dropdown" ma:internalName="AIcounter" ma:percentage="FALSE">
      <xsd:simpleType>
        <xsd:restriction base="dms:Number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afd02e-5a56-4f93-83f9-320cd14d78c4}" ma:internalName="TaxCatchAll" ma:readOnly="false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d42e65b2-cf21-49c1-b27d-d23f90380c0e">
      <Terms xmlns="http://schemas.microsoft.com/office/infopath/2007/PartnerControls"/>
    </lcf76f155ced4ddcb4097134ff3c332f>
    <AIcounter xmlns="d42e65b2-cf21-49c1-b27d-d23f90380c0e">2</AIcounter>
    <Category xmlns="d42e65b2-cf21-49c1-b27d-d23f90380c0e">CSOs</Category>
    <Filename xmlns="d42e65b2-cf21-49c1-b27d-d23f90380c0e" xsi:nil="true"/>
    <Doctype xmlns="d42e65b2-cf21-49c1-b27d-d23f90380c0e">input</Doctype>
    <Contributor xmlns="d42e65b2-cf21-49c1-b27d-d23f90380c0e">Red de Litigantes LGBTI+ de las Américas</Contributor>
    <Status xmlns="d42e65b2-cf21-49c1-b27d-d23f90380c0e">Ready to publish</Status>
    <AItagger xmlns="d42e65b2-cf21-49c1-b27d-d23f90380c0e">false</AItagger>
  </documentManagement>
</p:properties>
</file>

<file path=customXml/itemProps1.xml><?xml version="1.0" encoding="utf-8"?>
<ds:datastoreItem xmlns:ds="http://schemas.openxmlformats.org/officeDocument/2006/customXml" ds:itemID="{C6F01F93-E93F-49CC-96D8-83C8F5F7781D}"/>
</file>

<file path=customXml/itemProps2.xml><?xml version="1.0" encoding="utf-8"?>
<ds:datastoreItem xmlns:ds="http://schemas.openxmlformats.org/officeDocument/2006/customXml" ds:itemID="{AA36A84E-AB1E-4622-BB5E-30A20B0B6596}"/>
</file>

<file path=customXml/itemProps3.xml><?xml version="1.0" encoding="utf-8"?>
<ds:datastoreItem xmlns:ds="http://schemas.openxmlformats.org/officeDocument/2006/customXml" ds:itemID="{4130B06B-AA89-4F56-8702-BB1B22125E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2670</Words>
  <Characters>14688</Characters>
  <Application>Microsoft Office Word</Application>
  <DocSecurity>0</DocSecurity>
  <Lines>122</Lines>
  <Paragraphs>34</Paragraphs>
  <ScaleCrop>false</ScaleCrop>
  <Company/>
  <LinksUpToDate>false</LinksUpToDate>
  <CharactersWithSpaces>17324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Karen Anaya</cp:lastModifiedBy>
  <cp:revision>20</cp:revision>
  <dcterms:created xsi:type="dcterms:W3CDTF">2026-07-16T23:55:00Z</dcterms:created>
  <dcterms:modified xsi:type="dcterms:W3CDTF">2026-07-17T00:09:00Z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0x0101009D953D6983EF5F4EB0B6A5354F975E96</vt:lpwstr>
  </property>
  <property fmtid="{D5CDD505-2E9C-101B-9397-08002B2CF9AE}" pid="3" name="MediaServiceImageTags">
    <vt:lpwstr/>
  </property>
</Properties>
</file>