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16FAD" w14:textId="77777777" w:rsidR="00B05006" w:rsidRPr="00EA3D9C" w:rsidRDefault="00B05006" w:rsidP="00B05006">
      <w:pPr>
        <w:jc w:val="right"/>
        <w:rPr>
          <w:rFonts w:ascii="Arial" w:hAnsi="Arial" w:cs="Arial"/>
          <w:lang w:val="en-GB"/>
        </w:rPr>
      </w:pPr>
      <w:r w:rsidRPr="00EA3D9C">
        <w:rPr>
          <w:rFonts w:ascii="Arial" w:eastAsia="Times New Roman" w:hAnsi="Arial" w:cs="Arial"/>
          <w:b/>
          <w:i/>
          <w:noProof/>
          <w:lang w:val="en-GB"/>
        </w:rPr>
        <w:drawing>
          <wp:inline distT="0" distB="0" distL="0" distR="0" wp14:anchorId="799D00DB" wp14:editId="1736BE0F">
            <wp:extent cx="3078480" cy="1257300"/>
            <wp:effectExtent l="0" t="0" r="7620" b="0"/>
            <wp:docPr id="1" name="Picture 2" descr="COE_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E_ESC"/>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78480" cy="1257300"/>
                    </a:xfrm>
                    <a:prstGeom prst="rect">
                      <a:avLst/>
                    </a:prstGeom>
                    <a:noFill/>
                    <a:ln>
                      <a:noFill/>
                    </a:ln>
                  </pic:spPr>
                </pic:pic>
              </a:graphicData>
            </a:graphic>
          </wp:inline>
        </w:drawing>
      </w:r>
    </w:p>
    <w:p w14:paraId="2EC6278D" w14:textId="77777777" w:rsidR="00B05006" w:rsidRPr="00EA3D9C" w:rsidRDefault="00B05006" w:rsidP="00B05006">
      <w:pPr>
        <w:rPr>
          <w:rFonts w:ascii="Arial" w:hAnsi="Arial" w:cs="Arial"/>
          <w:lang w:val="en-GB"/>
        </w:rPr>
      </w:pPr>
    </w:p>
    <w:p w14:paraId="02E81D13" w14:textId="77777777" w:rsidR="00B05006" w:rsidRPr="00EA3D9C" w:rsidRDefault="00B05006" w:rsidP="00B05006">
      <w:pPr>
        <w:rPr>
          <w:rFonts w:ascii="Arial" w:hAnsi="Arial" w:cs="Arial"/>
          <w:lang w:val="en-GB"/>
        </w:rPr>
      </w:pPr>
    </w:p>
    <w:p w14:paraId="1DB01502" w14:textId="729EDEE2" w:rsidR="00B05006" w:rsidRPr="00776263" w:rsidRDefault="00B05006" w:rsidP="00B05006">
      <w:pPr>
        <w:rPr>
          <w:rFonts w:ascii="Arial" w:hAnsi="Arial" w:cs="Arial"/>
          <w:sz w:val="20"/>
          <w:szCs w:val="20"/>
          <w:lang w:val="en-GB"/>
        </w:rPr>
      </w:pPr>
      <w:r>
        <w:rPr>
          <w:rFonts w:ascii="Arial" w:hAnsi="Arial" w:cs="Arial"/>
          <w:sz w:val="20"/>
          <w:szCs w:val="20"/>
          <w:lang w:val="en-GB"/>
        </w:rPr>
        <w:t>15 July</w:t>
      </w:r>
      <w:r w:rsidRPr="00776263">
        <w:rPr>
          <w:rFonts w:ascii="Arial" w:hAnsi="Arial" w:cs="Arial"/>
          <w:sz w:val="20"/>
          <w:szCs w:val="20"/>
          <w:lang w:val="en-GB"/>
        </w:rPr>
        <w:t xml:space="preserve"> 2026</w:t>
      </w:r>
    </w:p>
    <w:p w14:paraId="07229C90" w14:textId="77777777" w:rsidR="00B05006" w:rsidRPr="00EA3D9C" w:rsidRDefault="00B05006" w:rsidP="00B05006">
      <w:pPr>
        <w:rPr>
          <w:rFonts w:ascii="Arial" w:hAnsi="Arial" w:cs="Arial"/>
          <w:lang w:val="en-GB"/>
        </w:rPr>
      </w:pPr>
    </w:p>
    <w:p w14:paraId="55DCF895" w14:textId="77777777" w:rsidR="00B05006" w:rsidRPr="00EA3D9C" w:rsidRDefault="00B05006" w:rsidP="00B05006">
      <w:pPr>
        <w:rPr>
          <w:rFonts w:ascii="Arial" w:hAnsi="Arial" w:cs="Arial"/>
          <w:lang w:val="en-GB"/>
        </w:rPr>
      </w:pPr>
    </w:p>
    <w:p w14:paraId="19127B44" w14:textId="77777777" w:rsidR="00B05006" w:rsidRDefault="00B05006" w:rsidP="00B05006">
      <w:pPr>
        <w:spacing w:after="0" w:line="240" w:lineRule="auto"/>
        <w:ind w:left="400" w:right="400"/>
        <w:jc w:val="center"/>
        <w:rPr>
          <w:rFonts w:ascii="Arial" w:eastAsiaTheme="minorEastAsia" w:hAnsi="Arial" w:cs="Arial"/>
          <w:b/>
          <w:bCs/>
          <w:kern w:val="0"/>
          <w:sz w:val="28"/>
          <w:szCs w:val="28"/>
          <w:lang w:val="en-GB" w:eastAsia="fr-FR"/>
          <w14:ligatures w14:val="none"/>
        </w:rPr>
      </w:pPr>
    </w:p>
    <w:p w14:paraId="7393861A" w14:textId="77777777" w:rsidR="00B05006" w:rsidRDefault="00B05006" w:rsidP="00B05006">
      <w:pPr>
        <w:spacing w:after="0" w:line="240" w:lineRule="auto"/>
        <w:ind w:left="400" w:right="400"/>
        <w:jc w:val="center"/>
        <w:rPr>
          <w:rFonts w:ascii="Arial" w:eastAsiaTheme="minorEastAsia" w:hAnsi="Arial" w:cs="Arial"/>
          <w:b/>
          <w:bCs/>
          <w:kern w:val="0"/>
          <w:sz w:val="28"/>
          <w:szCs w:val="28"/>
          <w:lang w:val="en-GB" w:eastAsia="fr-FR"/>
          <w14:ligatures w14:val="none"/>
        </w:rPr>
      </w:pPr>
    </w:p>
    <w:p w14:paraId="130F2FD1" w14:textId="77777777" w:rsidR="00B05006" w:rsidRDefault="00B05006" w:rsidP="00B05006">
      <w:pPr>
        <w:spacing w:after="0" w:line="240" w:lineRule="auto"/>
        <w:ind w:left="400" w:right="400"/>
        <w:jc w:val="center"/>
        <w:rPr>
          <w:rFonts w:ascii="Arial" w:eastAsiaTheme="minorEastAsia" w:hAnsi="Arial" w:cs="Arial"/>
          <w:b/>
          <w:bCs/>
          <w:kern w:val="0"/>
          <w:sz w:val="28"/>
          <w:szCs w:val="28"/>
          <w:lang w:val="en-GB" w:eastAsia="fr-FR"/>
          <w14:ligatures w14:val="none"/>
        </w:rPr>
      </w:pPr>
    </w:p>
    <w:p w14:paraId="40E9F3EB" w14:textId="77777777" w:rsidR="00B05006" w:rsidRDefault="00B05006" w:rsidP="00B05006">
      <w:pPr>
        <w:spacing w:after="0" w:line="240" w:lineRule="auto"/>
        <w:ind w:left="400" w:right="400"/>
        <w:jc w:val="center"/>
        <w:rPr>
          <w:rFonts w:ascii="Arial" w:eastAsiaTheme="minorEastAsia" w:hAnsi="Arial" w:cs="Arial"/>
          <w:b/>
          <w:bCs/>
          <w:kern w:val="0"/>
          <w:sz w:val="28"/>
          <w:szCs w:val="28"/>
          <w:lang w:val="en-GB" w:eastAsia="fr-FR"/>
          <w14:ligatures w14:val="none"/>
        </w:rPr>
      </w:pPr>
    </w:p>
    <w:p w14:paraId="1961B5BA" w14:textId="77777777" w:rsidR="00B05006" w:rsidRDefault="00B05006" w:rsidP="00B05006">
      <w:pPr>
        <w:spacing w:after="0" w:line="240" w:lineRule="auto"/>
        <w:ind w:left="400" w:right="400"/>
        <w:jc w:val="center"/>
        <w:rPr>
          <w:rFonts w:ascii="Arial" w:eastAsiaTheme="minorEastAsia" w:hAnsi="Arial" w:cs="Arial"/>
          <w:b/>
          <w:bCs/>
          <w:kern w:val="0"/>
          <w:sz w:val="28"/>
          <w:szCs w:val="28"/>
          <w:lang w:val="en-GB" w:eastAsia="fr-FR"/>
          <w14:ligatures w14:val="none"/>
        </w:rPr>
      </w:pPr>
    </w:p>
    <w:p w14:paraId="0CE87018" w14:textId="77777777" w:rsidR="00B05006" w:rsidRDefault="00B05006" w:rsidP="00B05006">
      <w:pPr>
        <w:spacing w:after="0" w:line="240" w:lineRule="auto"/>
        <w:ind w:left="400" w:right="400"/>
        <w:jc w:val="center"/>
        <w:rPr>
          <w:rFonts w:ascii="Arial" w:eastAsiaTheme="minorEastAsia" w:hAnsi="Arial" w:cs="Arial"/>
          <w:b/>
          <w:bCs/>
          <w:kern w:val="0"/>
          <w:sz w:val="28"/>
          <w:szCs w:val="28"/>
          <w:lang w:val="en-GB" w:eastAsia="fr-FR"/>
          <w14:ligatures w14:val="none"/>
        </w:rPr>
      </w:pPr>
      <w:r w:rsidRPr="00B05006">
        <w:rPr>
          <w:rFonts w:ascii="Arial" w:eastAsiaTheme="minorEastAsia" w:hAnsi="Arial" w:cs="Arial"/>
          <w:b/>
          <w:bCs/>
          <w:kern w:val="0"/>
          <w:sz w:val="28"/>
          <w:szCs w:val="28"/>
          <w:lang w:val="en-GB" w:eastAsia="fr-FR"/>
          <w14:ligatures w14:val="none"/>
        </w:rPr>
        <w:t xml:space="preserve">Submission of the Department of Social Rights of the Council of Europe on the </w:t>
      </w:r>
    </w:p>
    <w:p w14:paraId="278666B3" w14:textId="77777777" w:rsidR="00B05006" w:rsidRDefault="00B05006" w:rsidP="00B05006">
      <w:pPr>
        <w:spacing w:after="0" w:line="240" w:lineRule="auto"/>
        <w:ind w:left="400" w:right="400"/>
        <w:jc w:val="center"/>
        <w:rPr>
          <w:rFonts w:ascii="Arial" w:eastAsiaTheme="minorEastAsia" w:hAnsi="Arial" w:cs="Arial"/>
          <w:b/>
          <w:bCs/>
          <w:kern w:val="0"/>
          <w:sz w:val="28"/>
          <w:szCs w:val="28"/>
          <w:lang w:val="en-GB" w:eastAsia="fr-FR"/>
          <w14:ligatures w14:val="none"/>
        </w:rPr>
      </w:pPr>
    </w:p>
    <w:p w14:paraId="1643743B" w14:textId="6B883326" w:rsidR="00B05006" w:rsidRPr="00EA3D9C" w:rsidRDefault="00B05006" w:rsidP="00B05006">
      <w:pPr>
        <w:spacing w:after="0" w:line="240" w:lineRule="auto"/>
        <w:ind w:left="400" w:right="400"/>
        <w:jc w:val="center"/>
        <w:rPr>
          <w:rFonts w:ascii="Arial" w:eastAsiaTheme="minorEastAsia" w:hAnsi="Arial" w:cs="Arial"/>
          <w:b/>
          <w:bCs/>
          <w:kern w:val="0"/>
          <w:sz w:val="28"/>
          <w:szCs w:val="28"/>
          <w:lang w:val="en-GB" w:eastAsia="fr-FR"/>
          <w14:ligatures w14:val="none"/>
        </w:rPr>
      </w:pPr>
      <w:r>
        <w:rPr>
          <w:rFonts w:ascii="Arial" w:eastAsiaTheme="minorEastAsia" w:hAnsi="Arial" w:cs="Arial"/>
          <w:b/>
          <w:bCs/>
          <w:kern w:val="0"/>
          <w:sz w:val="28"/>
          <w:szCs w:val="28"/>
          <w:lang w:val="en-GB" w:eastAsia="fr-FR"/>
          <w14:ligatures w14:val="none"/>
        </w:rPr>
        <w:t>D</w:t>
      </w:r>
      <w:r w:rsidRPr="00B05006">
        <w:rPr>
          <w:rFonts w:ascii="Arial" w:eastAsiaTheme="minorEastAsia" w:hAnsi="Arial" w:cs="Arial"/>
          <w:b/>
          <w:bCs/>
          <w:kern w:val="0"/>
          <w:sz w:val="28"/>
          <w:szCs w:val="28"/>
          <w:lang w:val="en-GB" w:eastAsia="fr-FR"/>
          <w14:ligatures w14:val="none"/>
        </w:rPr>
        <w:t>raft general comment No. 38 on Article 22 (on the right to freedom of association) of the International Covenant on Civil and Political Rights</w:t>
      </w:r>
    </w:p>
    <w:p w14:paraId="34CEB907" w14:textId="77777777" w:rsidR="00B05006" w:rsidRPr="00EA3D9C" w:rsidRDefault="00B05006" w:rsidP="00B05006">
      <w:pPr>
        <w:rPr>
          <w:rFonts w:ascii="Arial" w:hAnsi="Arial" w:cs="Arial"/>
          <w:lang w:val="en-GB"/>
        </w:rPr>
      </w:pPr>
      <w:r w:rsidRPr="00EA3D9C">
        <w:rPr>
          <w:rFonts w:ascii="Arial" w:hAnsi="Arial" w:cs="Arial"/>
          <w:lang w:val="en-GB"/>
        </w:rPr>
        <w:br w:type="page"/>
      </w:r>
    </w:p>
    <w:p w14:paraId="788B0A65" w14:textId="10780876" w:rsidR="00C1620D" w:rsidRPr="007528F5" w:rsidRDefault="009C3A5F" w:rsidP="009C3A5F">
      <w:pPr>
        <w:jc w:val="both"/>
        <w:rPr>
          <w:rFonts w:ascii="Arial" w:eastAsia="Times New Roman" w:hAnsi="Arial" w:cs="Arial"/>
          <w:sz w:val="24"/>
          <w:szCs w:val="24"/>
          <w:lang w:val="en-GB"/>
        </w:rPr>
      </w:pPr>
      <w:r w:rsidRPr="007528F5">
        <w:rPr>
          <w:rFonts w:ascii="Arial" w:eastAsia="Times New Roman" w:hAnsi="Arial" w:cs="Arial"/>
          <w:sz w:val="24"/>
          <w:szCs w:val="24"/>
          <w:lang w:val="en-GB"/>
        </w:rPr>
        <w:lastRenderedPageBreak/>
        <w:t>On behalf of the Council of Europe, the Department of Social Rights wishes to submit the following observations in response to the call for input from the United Nations Human Rights</w:t>
      </w:r>
      <w:r w:rsidR="00C1620D" w:rsidRPr="007528F5">
        <w:rPr>
          <w:rFonts w:ascii="Arial" w:eastAsia="Times New Roman" w:hAnsi="Arial" w:cs="Arial"/>
          <w:sz w:val="24"/>
          <w:szCs w:val="24"/>
          <w:lang w:val="en-GB"/>
        </w:rPr>
        <w:t xml:space="preserve"> Committee on Draft General Comment No. 38 on Article 22 (right to freedom of association)</w:t>
      </w:r>
      <w:r w:rsidR="007E62B9">
        <w:rPr>
          <w:rFonts w:ascii="Arial" w:eastAsia="Times New Roman" w:hAnsi="Arial" w:cs="Arial"/>
          <w:sz w:val="24"/>
          <w:szCs w:val="24"/>
          <w:lang w:val="en-GB"/>
        </w:rPr>
        <w:t>.</w:t>
      </w:r>
    </w:p>
    <w:p w14:paraId="1DAC2F68" w14:textId="1EB25E01" w:rsidR="009C3A5F" w:rsidRPr="007528F5" w:rsidRDefault="009C3A5F" w:rsidP="009C3A5F">
      <w:pPr>
        <w:jc w:val="both"/>
        <w:rPr>
          <w:rFonts w:ascii="Arial" w:eastAsia="Times New Roman" w:hAnsi="Arial" w:cs="Arial"/>
          <w:sz w:val="24"/>
          <w:szCs w:val="24"/>
          <w:lang w:val="en-GB"/>
        </w:rPr>
      </w:pPr>
      <w:r w:rsidRPr="007528F5">
        <w:rPr>
          <w:rFonts w:ascii="Arial" w:eastAsia="Times New Roman" w:hAnsi="Arial" w:cs="Arial"/>
          <w:sz w:val="24"/>
          <w:szCs w:val="24"/>
          <w:lang w:val="en-GB"/>
        </w:rPr>
        <w:t xml:space="preserve">The </w:t>
      </w:r>
      <w:hyperlink r:id="rId7" w:history="1">
        <w:r w:rsidRPr="007528F5">
          <w:rPr>
            <w:rStyle w:val="Hyperlink"/>
            <w:rFonts w:ascii="Arial" w:eastAsia="Times New Roman" w:hAnsi="Arial" w:cs="Arial"/>
            <w:sz w:val="24"/>
            <w:szCs w:val="24"/>
            <w:lang w:val="en-GB" w:eastAsia="ar-SA"/>
          </w:rPr>
          <w:t>European Social Charter</w:t>
        </w:r>
      </w:hyperlink>
      <w:r w:rsidRPr="007528F5">
        <w:rPr>
          <w:rFonts w:ascii="Arial" w:eastAsia="Times New Roman" w:hAnsi="Arial" w:cs="Arial"/>
          <w:sz w:val="24"/>
          <w:szCs w:val="24"/>
          <w:lang w:val="en-GB"/>
        </w:rPr>
        <w:t xml:space="preserve">, initially adopted in 1961 and subsequently revised in 1996, is the </w:t>
      </w:r>
      <w:r w:rsidR="00B90DFC" w:rsidRPr="007528F5">
        <w:rPr>
          <w:rFonts w:ascii="Arial" w:eastAsia="Times New Roman" w:hAnsi="Arial" w:cs="Arial"/>
          <w:sz w:val="24"/>
          <w:szCs w:val="24"/>
          <w:lang w:val="en-GB"/>
        </w:rPr>
        <w:t xml:space="preserve">cornerstone </w:t>
      </w:r>
      <w:r w:rsidRPr="007528F5">
        <w:rPr>
          <w:rFonts w:ascii="Arial" w:eastAsia="Times New Roman" w:hAnsi="Arial" w:cs="Arial"/>
          <w:sz w:val="24"/>
          <w:szCs w:val="24"/>
          <w:lang w:val="en-GB"/>
        </w:rPr>
        <w:t>of the Council of Europe’s legal framework for the protection of social rights; a framework that also comprises the European Convention on Human Rights. The Charter is currently ratified by 42 out of the 46 member States of the Council of Europe with 36 States being bound by the 1996 Revised Charter and 6 States still being bound by the 1961 Charter. The rights guaranteed by the Charter notably relate to employment, health, housing, education and social protection and welfare. The Charter further provides specific protection for a number of groups including young persons, employed women, families, persons with disabilities, older persons, migrants, refugees and stateless persons.</w:t>
      </w:r>
    </w:p>
    <w:p w14:paraId="23F75790" w14:textId="3A5E5514" w:rsidR="009C3A5F" w:rsidRPr="007528F5" w:rsidRDefault="009C3A5F" w:rsidP="009C3A5F">
      <w:pPr>
        <w:jc w:val="both"/>
        <w:rPr>
          <w:rFonts w:ascii="Arial" w:eastAsia="Times New Roman" w:hAnsi="Arial" w:cs="Arial"/>
          <w:sz w:val="24"/>
          <w:szCs w:val="24"/>
          <w:lang w:val="en-GB"/>
        </w:rPr>
      </w:pPr>
      <w:r w:rsidRPr="007528F5">
        <w:rPr>
          <w:rFonts w:ascii="Arial" w:eastAsia="Times New Roman" w:hAnsi="Arial" w:cs="Arial"/>
          <w:sz w:val="24"/>
          <w:szCs w:val="24"/>
          <w:lang w:val="en-GB"/>
        </w:rPr>
        <w:t xml:space="preserve">The Charter and its monitoring mechanism with the </w:t>
      </w:r>
      <w:hyperlink r:id="rId8" w:history="1">
        <w:r w:rsidRPr="007528F5">
          <w:rPr>
            <w:rStyle w:val="Hyperlink"/>
            <w:rFonts w:ascii="Arial" w:eastAsia="Times New Roman" w:hAnsi="Arial" w:cs="Arial"/>
            <w:sz w:val="24"/>
            <w:szCs w:val="24"/>
            <w:lang w:val="en-GB" w:eastAsia="ar-SA"/>
          </w:rPr>
          <w:t>European Committee of Social Rights (ECSR)</w:t>
        </w:r>
      </w:hyperlink>
      <w:r w:rsidRPr="007528F5">
        <w:rPr>
          <w:rFonts w:ascii="Arial" w:eastAsia="Times New Roman" w:hAnsi="Arial" w:cs="Arial"/>
          <w:sz w:val="24"/>
          <w:szCs w:val="24"/>
          <w:lang w:val="en-GB"/>
        </w:rPr>
        <w:t xml:space="preserve"> – the independent body set up by Article 25 of the 1961 European Social Charter to monitor the application of this treaty – conducting reporting and collective complaints procedures, have contributed significantly and visibly to the development of the protection of social rights in Council of Europe member States. </w:t>
      </w:r>
    </w:p>
    <w:p w14:paraId="1838EF1C" w14:textId="52F34463" w:rsidR="009C3A5F" w:rsidRPr="007528F5" w:rsidRDefault="0099584F" w:rsidP="009C3A5F">
      <w:pPr>
        <w:jc w:val="both"/>
        <w:rPr>
          <w:rFonts w:ascii="Arial" w:eastAsia="Times New Roman" w:hAnsi="Arial" w:cs="Arial"/>
          <w:sz w:val="24"/>
          <w:szCs w:val="24"/>
          <w:lang w:val="en-GB"/>
        </w:rPr>
      </w:pPr>
      <w:r w:rsidRPr="007528F5">
        <w:rPr>
          <w:rFonts w:ascii="Arial" w:eastAsia="Times New Roman" w:hAnsi="Arial" w:cs="Arial"/>
          <w:sz w:val="24"/>
          <w:szCs w:val="24"/>
          <w:lang w:val="en-GB"/>
        </w:rPr>
        <w:t xml:space="preserve">Article 5 of the 1961 Charter and </w:t>
      </w:r>
      <w:r w:rsidR="003A04B5" w:rsidRPr="007528F5">
        <w:rPr>
          <w:rFonts w:ascii="Arial" w:eastAsia="Times New Roman" w:hAnsi="Arial" w:cs="Arial"/>
          <w:sz w:val="24"/>
          <w:szCs w:val="24"/>
          <w:lang w:val="en-GB"/>
        </w:rPr>
        <w:t xml:space="preserve">the 1996 </w:t>
      </w:r>
      <w:r w:rsidRPr="007528F5">
        <w:rPr>
          <w:rFonts w:ascii="Arial" w:eastAsia="Times New Roman" w:hAnsi="Arial" w:cs="Arial"/>
          <w:sz w:val="24"/>
          <w:szCs w:val="24"/>
          <w:lang w:val="en-GB"/>
        </w:rPr>
        <w:t>Revised Charter guarantee the right to organise:</w:t>
      </w:r>
    </w:p>
    <w:p w14:paraId="64364B84" w14:textId="3AB92E4C" w:rsidR="00771459" w:rsidRPr="007528F5" w:rsidRDefault="00771459" w:rsidP="00771459">
      <w:pPr>
        <w:jc w:val="both"/>
        <w:rPr>
          <w:rFonts w:ascii="Arial" w:eastAsia="Times New Roman" w:hAnsi="Arial" w:cs="Arial"/>
          <w:b/>
          <w:bCs/>
          <w:sz w:val="24"/>
          <w:szCs w:val="24"/>
          <w:lang w:val="en-GB"/>
        </w:rPr>
      </w:pPr>
      <w:r w:rsidRPr="007528F5">
        <w:rPr>
          <w:rFonts w:ascii="Arial" w:eastAsia="Times New Roman" w:hAnsi="Arial" w:cs="Arial"/>
          <w:b/>
          <w:bCs/>
          <w:sz w:val="24"/>
          <w:szCs w:val="24"/>
          <w:lang w:val="en-GB"/>
        </w:rPr>
        <w:t>With a view to ensuring or promoting the freedom of workers and employers to form local, national or international organisations for the protection of their economic and social interests and to join those organisations, the States Parties undertake that national law shall not be such as to impair, nor shall it be so applied as to impair, this freedom. The extent to which the guarantees provided for in this article shall apply to the police shall be determined by national laws or regulations. The principle governing the application to the members of the armed forces of these guarantees and the extent to which they shall apply to persons in this category shall equally be determined by national laws or regulations.</w:t>
      </w:r>
    </w:p>
    <w:p w14:paraId="24E9624C" w14:textId="2EC91DDF" w:rsidR="003A04B5" w:rsidRPr="003A04B5" w:rsidRDefault="003A04B5" w:rsidP="003A04B5">
      <w:pPr>
        <w:jc w:val="both"/>
        <w:rPr>
          <w:rFonts w:ascii="Arial" w:eastAsia="Times New Roman" w:hAnsi="Arial" w:cs="Arial"/>
          <w:sz w:val="24"/>
          <w:szCs w:val="24"/>
          <w:lang w:val="en-GB"/>
        </w:rPr>
      </w:pPr>
      <w:r w:rsidRPr="003A04B5">
        <w:rPr>
          <w:rFonts w:ascii="Arial" w:eastAsia="Times New Roman" w:hAnsi="Arial" w:cs="Arial"/>
          <w:sz w:val="24"/>
          <w:szCs w:val="24"/>
          <w:lang w:val="en-GB"/>
        </w:rPr>
        <w:t>This article sets out the principle that employers and workers have the right to form national or international associations, for the protection of their economic and social interests</w:t>
      </w:r>
    </w:p>
    <w:p w14:paraId="286CB296" w14:textId="5CD5C7E6" w:rsidR="003A04B5" w:rsidRPr="007528F5" w:rsidRDefault="003A04B5" w:rsidP="003A04B5">
      <w:pPr>
        <w:jc w:val="both"/>
        <w:rPr>
          <w:rFonts w:ascii="Arial" w:eastAsia="Times New Roman" w:hAnsi="Arial" w:cs="Arial"/>
          <w:sz w:val="24"/>
          <w:szCs w:val="24"/>
          <w:lang w:val="en-GB"/>
        </w:rPr>
      </w:pPr>
      <w:r w:rsidRPr="003A04B5">
        <w:rPr>
          <w:rFonts w:ascii="Arial" w:eastAsia="Times New Roman" w:hAnsi="Arial" w:cs="Arial"/>
          <w:sz w:val="24"/>
          <w:szCs w:val="24"/>
          <w:lang w:val="en-GB"/>
        </w:rPr>
        <w:t>The implementation of the first obligation requires the absence, in the law of each State Party, of any legislation or regulation or any administrative practice such as to impair the freedom of employers or workers to form or join their respective organisations. By virtue of the second obligation, the State Party is obliged to take adequate legislative or other measures to guarantee the exercise of the right to organise and, in particular, to protect workers’ organisations from any interference on the part of employers.</w:t>
      </w:r>
    </w:p>
    <w:p w14:paraId="290C1E68" w14:textId="28CB06D7" w:rsidR="003A04B5" w:rsidRPr="003A04B5" w:rsidRDefault="003A04B5" w:rsidP="003A04B5">
      <w:pPr>
        <w:jc w:val="both"/>
        <w:rPr>
          <w:rFonts w:ascii="Arial" w:eastAsia="Times New Roman" w:hAnsi="Arial" w:cs="Arial"/>
          <w:sz w:val="24"/>
          <w:szCs w:val="24"/>
          <w:lang w:val="en-GB"/>
        </w:rPr>
      </w:pPr>
      <w:r w:rsidRPr="003A04B5">
        <w:rPr>
          <w:rFonts w:ascii="Arial" w:eastAsia="Times New Roman" w:hAnsi="Arial" w:cs="Arial"/>
          <w:sz w:val="24"/>
          <w:szCs w:val="24"/>
          <w:lang w:val="en-GB"/>
        </w:rPr>
        <w:t xml:space="preserve">Trade unions and employers’ organisations must have broad autonomy regarding their internal structure or functioning. They must be entitled to perform their activities </w:t>
      </w:r>
      <w:r w:rsidRPr="003A04B5">
        <w:rPr>
          <w:rFonts w:ascii="Arial" w:eastAsia="Times New Roman" w:hAnsi="Arial" w:cs="Arial"/>
          <w:sz w:val="24"/>
          <w:szCs w:val="24"/>
          <w:lang w:val="en-GB"/>
        </w:rPr>
        <w:lastRenderedPageBreak/>
        <w:t xml:space="preserve">effectively and devise a work programme. Consequently, any excessive State interference constitutes a violation of Article 5. </w:t>
      </w:r>
    </w:p>
    <w:p w14:paraId="62E6FA2A" w14:textId="4C8799A3" w:rsidR="009C3A5F" w:rsidRPr="007528F5" w:rsidRDefault="00771459" w:rsidP="009C3A5F">
      <w:pPr>
        <w:jc w:val="both"/>
        <w:rPr>
          <w:rFonts w:ascii="Arial" w:eastAsia="Times New Roman" w:hAnsi="Arial" w:cs="Arial"/>
          <w:sz w:val="24"/>
          <w:szCs w:val="24"/>
          <w:lang w:val="en-GB"/>
        </w:rPr>
      </w:pPr>
      <w:r w:rsidRPr="007528F5">
        <w:rPr>
          <w:rFonts w:ascii="Arial" w:eastAsia="Times New Roman" w:hAnsi="Arial" w:cs="Arial"/>
          <w:sz w:val="24"/>
          <w:szCs w:val="24"/>
          <w:lang w:val="en-GB"/>
        </w:rPr>
        <w:t xml:space="preserve">To </w:t>
      </w:r>
      <w:r w:rsidRPr="007528F5">
        <w:rPr>
          <w:rFonts w:ascii="Arial" w:eastAsia="Times New Roman" w:hAnsi="Arial" w:cs="Arial"/>
          <w:b/>
          <w:bCs/>
          <w:sz w:val="24"/>
          <w:szCs w:val="24"/>
          <w:lang w:val="en-GB"/>
        </w:rPr>
        <w:t>footnote 13</w:t>
      </w:r>
      <w:r w:rsidRPr="007528F5">
        <w:rPr>
          <w:rFonts w:ascii="Arial" w:eastAsia="Times New Roman" w:hAnsi="Arial" w:cs="Arial"/>
          <w:sz w:val="24"/>
          <w:szCs w:val="24"/>
          <w:lang w:val="en-GB"/>
        </w:rPr>
        <w:t xml:space="preserve"> could be added:</w:t>
      </w:r>
    </w:p>
    <w:p w14:paraId="59285B6A" w14:textId="034DA8B6" w:rsidR="00771459" w:rsidRPr="007528F5" w:rsidRDefault="00771459" w:rsidP="009C3A5F">
      <w:pPr>
        <w:jc w:val="both"/>
        <w:rPr>
          <w:rFonts w:ascii="Arial" w:eastAsia="Times New Roman" w:hAnsi="Arial" w:cs="Arial"/>
          <w:sz w:val="24"/>
          <w:szCs w:val="24"/>
          <w:lang w:val="en-GB"/>
        </w:rPr>
      </w:pPr>
      <w:r w:rsidRPr="007528F5">
        <w:rPr>
          <w:rFonts w:ascii="Arial" w:eastAsia="Times New Roman" w:hAnsi="Arial" w:cs="Arial"/>
          <w:sz w:val="24"/>
          <w:szCs w:val="24"/>
          <w:lang w:val="en-GB"/>
        </w:rPr>
        <w:t>European Social Charter, Article 5</w:t>
      </w:r>
    </w:p>
    <w:p w14:paraId="5B9E8E37" w14:textId="0425CD69" w:rsidR="002D297B" w:rsidRPr="007528F5" w:rsidRDefault="002D297B" w:rsidP="009C3A5F">
      <w:pPr>
        <w:jc w:val="both"/>
        <w:rPr>
          <w:rFonts w:ascii="Arial" w:eastAsia="Times New Roman" w:hAnsi="Arial" w:cs="Arial"/>
          <w:sz w:val="24"/>
          <w:szCs w:val="24"/>
          <w:lang w:val="en-GB"/>
        </w:rPr>
      </w:pPr>
      <w:r w:rsidRPr="007528F5">
        <w:rPr>
          <w:rFonts w:ascii="Arial" w:eastAsia="Times New Roman" w:hAnsi="Arial" w:cs="Arial"/>
          <w:sz w:val="24"/>
          <w:szCs w:val="24"/>
          <w:lang w:val="en-GB"/>
        </w:rPr>
        <w:t xml:space="preserve">To </w:t>
      </w:r>
      <w:r w:rsidRPr="007528F5">
        <w:rPr>
          <w:rFonts w:ascii="Arial" w:eastAsia="Times New Roman" w:hAnsi="Arial" w:cs="Arial"/>
          <w:b/>
          <w:bCs/>
          <w:sz w:val="24"/>
          <w:szCs w:val="24"/>
          <w:lang w:val="en-GB"/>
        </w:rPr>
        <w:t xml:space="preserve">footnote 14 </w:t>
      </w:r>
      <w:r w:rsidRPr="007528F5">
        <w:rPr>
          <w:rFonts w:ascii="Arial" w:eastAsia="Times New Roman" w:hAnsi="Arial" w:cs="Arial"/>
          <w:sz w:val="24"/>
          <w:szCs w:val="24"/>
          <w:lang w:val="en-GB"/>
        </w:rPr>
        <w:t>could be added:</w:t>
      </w:r>
    </w:p>
    <w:p w14:paraId="479888DA" w14:textId="2DC4A1B9" w:rsidR="002D297B" w:rsidRPr="007528F5" w:rsidRDefault="002D297B" w:rsidP="009C3A5F">
      <w:pPr>
        <w:jc w:val="both"/>
        <w:rPr>
          <w:rFonts w:ascii="Arial" w:eastAsia="Times New Roman" w:hAnsi="Arial" w:cs="Arial"/>
          <w:sz w:val="24"/>
          <w:szCs w:val="24"/>
          <w:lang w:val="en-GB"/>
        </w:rPr>
      </w:pPr>
      <w:r w:rsidRPr="007528F5">
        <w:rPr>
          <w:rFonts w:ascii="Arial" w:eastAsia="Times New Roman" w:hAnsi="Arial" w:cs="Arial"/>
          <w:sz w:val="24"/>
          <w:szCs w:val="24"/>
          <w:lang w:val="en-GB"/>
        </w:rPr>
        <w:t>European Committee of Social Rights’ case law</w:t>
      </w:r>
      <w:r w:rsidR="00C65D74" w:rsidRPr="007528F5">
        <w:rPr>
          <w:rFonts w:ascii="Arial" w:eastAsia="Times New Roman" w:hAnsi="Arial" w:cs="Arial"/>
          <w:sz w:val="24"/>
          <w:szCs w:val="24"/>
          <w:lang w:val="en-GB"/>
        </w:rPr>
        <w:t>;</w:t>
      </w:r>
      <w:r w:rsidRPr="007528F5">
        <w:rPr>
          <w:rFonts w:ascii="Arial" w:eastAsia="Times New Roman" w:hAnsi="Arial" w:cs="Arial"/>
          <w:sz w:val="24"/>
          <w:szCs w:val="24"/>
          <w:lang w:val="en-GB"/>
        </w:rPr>
        <w:t xml:space="preserve"> conclusions and decisions </w:t>
      </w:r>
    </w:p>
    <w:p w14:paraId="60C81E80" w14:textId="6ACF3291" w:rsidR="007D7263" w:rsidRPr="007528F5" w:rsidRDefault="007D7263" w:rsidP="009C3A5F">
      <w:pPr>
        <w:rPr>
          <w:rFonts w:ascii="Arial" w:hAnsi="Arial" w:cs="Arial"/>
          <w:sz w:val="24"/>
          <w:szCs w:val="24"/>
          <w:lang w:val="en-GB"/>
        </w:rPr>
      </w:pPr>
      <w:r w:rsidRPr="007528F5">
        <w:rPr>
          <w:rFonts w:ascii="Arial" w:hAnsi="Arial" w:cs="Arial"/>
          <w:sz w:val="24"/>
          <w:szCs w:val="24"/>
          <w:lang w:val="en-GB"/>
        </w:rPr>
        <w:t xml:space="preserve">To </w:t>
      </w:r>
      <w:r w:rsidRPr="007528F5">
        <w:rPr>
          <w:rFonts w:ascii="Arial" w:hAnsi="Arial" w:cs="Arial"/>
          <w:b/>
          <w:bCs/>
          <w:sz w:val="24"/>
          <w:szCs w:val="24"/>
          <w:lang w:val="en-GB"/>
        </w:rPr>
        <w:t>footnote 51/52</w:t>
      </w:r>
      <w:r w:rsidRPr="007528F5">
        <w:rPr>
          <w:rFonts w:ascii="Arial" w:hAnsi="Arial" w:cs="Arial"/>
          <w:sz w:val="24"/>
          <w:szCs w:val="24"/>
          <w:lang w:val="en-GB"/>
        </w:rPr>
        <w:t xml:space="preserve"> could be added:</w:t>
      </w:r>
    </w:p>
    <w:p w14:paraId="6CAB98B1" w14:textId="0FD23CE0" w:rsidR="007D7263" w:rsidRPr="007528F5" w:rsidRDefault="007D7263" w:rsidP="007D7263">
      <w:pPr>
        <w:rPr>
          <w:rFonts w:ascii="Arial" w:hAnsi="Arial" w:cs="Arial"/>
          <w:sz w:val="24"/>
          <w:szCs w:val="24"/>
          <w:lang w:val="en-GB"/>
        </w:rPr>
      </w:pPr>
      <w:r w:rsidRPr="007528F5">
        <w:rPr>
          <w:rFonts w:ascii="Arial" w:hAnsi="Arial" w:cs="Arial"/>
          <w:sz w:val="24"/>
          <w:szCs w:val="24"/>
          <w:lang w:val="en-GB"/>
        </w:rPr>
        <w:t>Under Article 5 of the European Social Charter workers must be free not only to join but also not to join a trade union.</w:t>
      </w:r>
      <w:r w:rsidR="00C65D74" w:rsidRPr="007528F5">
        <w:rPr>
          <w:rFonts w:ascii="Arial" w:hAnsi="Arial" w:cs="Arial"/>
          <w:sz w:val="24"/>
          <w:szCs w:val="24"/>
          <w:lang w:val="en-GB"/>
        </w:rPr>
        <w:t xml:space="preserve"> </w:t>
      </w:r>
      <w:r w:rsidRPr="007528F5">
        <w:rPr>
          <w:rFonts w:ascii="Arial" w:hAnsi="Arial" w:cs="Arial"/>
          <w:sz w:val="24"/>
          <w:szCs w:val="24"/>
          <w:lang w:val="en-GB"/>
        </w:rPr>
        <w:t>Any form of compulsory unionism imposed by law must be considered incompatible with the obligation arising under this article of the Charter.</w:t>
      </w:r>
    </w:p>
    <w:p w14:paraId="3FE0EA6B" w14:textId="6F0FDFE6" w:rsidR="007D7263" w:rsidRDefault="00857A96" w:rsidP="009C3A5F">
      <w:pPr>
        <w:rPr>
          <w:rFonts w:ascii="Arial" w:hAnsi="Arial" w:cs="Arial"/>
          <w:sz w:val="24"/>
          <w:szCs w:val="24"/>
          <w:lang w:val="en-GB"/>
        </w:rPr>
      </w:pPr>
      <w:r w:rsidRPr="007528F5">
        <w:rPr>
          <w:rFonts w:ascii="Arial" w:hAnsi="Arial" w:cs="Arial"/>
          <w:sz w:val="24"/>
          <w:szCs w:val="24"/>
          <w:lang w:val="en-GB"/>
        </w:rPr>
        <w:t xml:space="preserve">To </w:t>
      </w:r>
      <w:r w:rsidRPr="002C2579">
        <w:rPr>
          <w:rFonts w:ascii="Arial" w:hAnsi="Arial" w:cs="Arial"/>
          <w:b/>
          <w:bCs/>
          <w:sz w:val="24"/>
          <w:szCs w:val="24"/>
          <w:lang w:val="en-GB"/>
        </w:rPr>
        <w:t>footnote 68</w:t>
      </w:r>
      <w:r w:rsidR="002C2579">
        <w:rPr>
          <w:rFonts w:ascii="Arial" w:hAnsi="Arial" w:cs="Arial"/>
          <w:sz w:val="24"/>
          <w:szCs w:val="24"/>
          <w:lang w:val="en-GB"/>
        </w:rPr>
        <w:t xml:space="preserve"> could be added:</w:t>
      </w:r>
    </w:p>
    <w:p w14:paraId="23B32D17" w14:textId="4D4313EB" w:rsidR="00BC19F5" w:rsidRPr="002C2579" w:rsidRDefault="00BC19F5" w:rsidP="009C3A5F">
      <w:pPr>
        <w:rPr>
          <w:rFonts w:ascii="Arial" w:hAnsi="Arial" w:cs="Arial"/>
          <w:sz w:val="24"/>
          <w:szCs w:val="24"/>
          <w:lang w:val="en-GB"/>
        </w:rPr>
      </w:pPr>
      <w:r>
        <w:rPr>
          <w:rFonts w:ascii="Arial" w:hAnsi="Arial" w:cs="Arial"/>
          <w:sz w:val="24"/>
          <w:szCs w:val="24"/>
          <w:lang w:val="en-GB"/>
        </w:rPr>
        <w:t xml:space="preserve">Article 6.4 of the European Social Charter guarantees the right to strike. </w:t>
      </w:r>
      <w:r w:rsidRPr="002C2579">
        <w:rPr>
          <w:rFonts w:ascii="Arial" w:hAnsi="Arial" w:cs="Arial"/>
          <w:sz w:val="24"/>
          <w:szCs w:val="24"/>
          <w:lang w:val="en-GB"/>
        </w:rPr>
        <w:t>Any</w:t>
      </w:r>
      <w:r w:rsidRPr="002C2579">
        <w:rPr>
          <w:rFonts w:ascii="Arial" w:eastAsia="Times New Roman" w:hAnsi="Arial" w:cs="Arial"/>
          <w:color w:val="000000"/>
          <w:sz w:val="24"/>
          <w:szCs w:val="24"/>
          <w:lang w:val="en-GB"/>
        </w:rPr>
        <w:t xml:space="preserve"> restrictions on this right  are acceptable only under specific conditions</w:t>
      </w:r>
      <w:r w:rsidR="002C2579" w:rsidRPr="002C2579">
        <w:rPr>
          <w:rFonts w:ascii="Arial" w:eastAsia="Times New Roman" w:hAnsi="Arial" w:cs="Arial"/>
          <w:color w:val="000000"/>
          <w:sz w:val="24"/>
          <w:szCs w:val="24"/>
          <w:lang w:val="en-GB"/>
        </w:rPr>
        <w:t>.</w:t>
      </w:r>
    </w:p>
    <w:p w14:paraId="0D08F5FB" w14:textId="19861B2D" w:rsidR="00857A96" w:rsidRDefault="00857A96" w:rsidP="009C3A5F">
      <w:pPr>
        <w:rPr>
          <w:rFonts w:ascii="Arial" w:hAnsi="Arial" w:cs="Arial"/>
          <w:sz w:val="24"/>
          <w:szCs w:val="24"/>
          <w:lang w:val="en-GB"/>
        </w:rPr>
      </w:pPr>
      <w:r w:rsidRPr="007528F5">
        <w:rPr>
          <w:rFonts w:ascii="Arial" w:hAnsi="Arial" w:cs="Arial"/>
          <w:sz w:val="24"/>
          <w:szCs w:val="24"/>
          <w:lang w:val="en-GB"/>
        </w:rPr>
        <w:t xml:space="preserve">To </w:t>
      </w:r>
      <w:r w:rsidRPr="00ED4EED">
        <w:rPr>
          <w:rFonts w:ascii="Arial" w:hAnsi="Arial" w:cs="Arial"/>
          <w:b/>
          <w:bCs/>
          <w:sz w:val="24"/>
          <w:szCs w:val="24"/>
          <w:lang w:val="en-GB"/>
        </w:rPr>
        <w:t>footnote 69</w:t>
      </w:r>
      <w:r w:rsidR="002C2579">
        <w:rPr>
          <w:rFonts w:ascii="Arial" w:hAnsi="Arial" w:cs="Arial"/>
          <w:sz w:val="24"/>
          <w:szCs w:val="24"/>
          <w:lang w:val="en-GB"/>
        </w:rPr>
        <w:t xml:space="preserve"> could be added:</w:t>
      </w:r>
    </w:p>
    <w:p w14:paraId="1B7F9743" w14:textId="4B575FBB" w:rsidR="00174C8F" w:rsidRPr="00174C8F" w:rsidRDefault="00174C8F" w:rsidP="009C3A5F">
      <w:pPr>
        <w:rPr>
          <w:rFonts w:ascii="Arial" w:hAnsi="Arial" w:cs="Arial"/>
          <w:sz w:val="24"/>
          <w:szCs w:val="24"/>
          <w:lang w:val="en-GB"/>
        </w:rPr>
      </w:pPr>
      <w:r>
        <w:rPr>
          <w:rFonts w:ascii="Arial" w:hAnsi="Arial" w:cs="Arial"/>
          <w:sz w:val="24"/>
          <w:szCs w:val="24"/>
          <w:lang w:val="en-GB"/>
        </w:rPr>
        <w:t xml:space="preserve">Under Article 6.4 of the European Social Charter </w:t>
      </w:r>
      <w:r w:rsidRPr="00174C8F">
        <w:rPr>
          <w:rFonts w:ascii="Arial" w:eastAsia="Times New Roman" w:hAnsi="Arial" w:cs="Arial"/>
          <w:color w:val="000000"/>
          <w:sz w:val="24"/>
          <w:szCs w:val="24"/>
          <w:lang w:val="en-GB"/>
        </w:rPr>
        <w:t>a denial of the right to strike to</w:t>
      </w:r>
      <w:r>
        <w:rPr>
          <w:rFonts w:ascii="Arial" w:eastAsia="Times New Roman" w:hAnsi="Arial" w:cs="Arial"/>
          <w:color w:val="000000"/>
          <w:sz w:val="24"/>
          <w:szCs w:val="24"/>
          <w:lang w:val="en-GB"/>
        </w:rPr>
        <w:t xml:space="preserve"> civil </w:t>
      </w:r>
      <w:r w:rsidRPr="00174C8F">
        <w:rPr>
          <w:rFonts w:ascii="Arial" w:eastAsia="Times New Roman" w:hAnsi="Arial" w:cs="Arial"/>
          <w:color w:val="000000"/>
          <w:sz w:val="24"/>
          <w:szCs w:val="24"/>
          <w:lang w:val="en-GB"/>
        </w:rPr>
        <w:t>servants as a whole cannot be regarded as compatible with the Charter</w:t>
      </w:r>
      <w:r>
        <w:rPr>
          <w:rFonts w:ascii="Arial" w:eastAsia="Times New Roman" w:hAnsi="Arial" w:cs="Arial"/>
          <w:color w:val="000000"/>
          <w:sz w:val="24"/>
          <w:szCs w:val="24"/>
          <w:lang w:val="en-GB"/>
        </w:rPr>
        <w:t>.</w:t>
      </w:r>
    </w:p>
    <w:p w14:paraId="44213E15" w14:textId="4ECDE845" w:rsidR="00857A96" w:rsidRDefault="00857A96" w:rsidP="009C3A5F">
      <w:pPr>
        <w:rPr>
          <w:rFonts w:ascii="Arial" w:hAnsi="Arial" w:cs="Arial"/>
          <w:sz w:val="24"/>
          <w:szCs w:val="24"/>
          <w:lang w:val="en-GB"/>
        </w:rPr>
      </w:pPr>
      <w:r w:rsidRPr="007528F5">
        <w:rPr>
          <w:rFonts w:ascii="Arial" w:hAnsi="Arial" w:cs="Arial"/>
          <w:sz w:val="24"/>
          <w:szCs w:val="24"/>
          <w:lang w:val="en-GB"/>
        </w:rPr>
        <w:t>T</w:t>
      </w:r>
      <w:r w:rsidR="00CA4B4E" w:rsidRPr="007528F5">
        <w:rPr>
          <w:rFonts w:ascii="Arial" w:hAnsi="Arial" w:cs="Arial"/>
          <w:sz w:val="24"/>
          <w:szCs w:val="24"/>
          <w:lang w:val="en-GB"/>
        </w:rPr>
        <w:t>o</w:t>
      </w:r>
      <w:r w:rsidR="00C65D74" w:rsidRPr="007528F5">
        <w:rPr>
          <w:rFonts w:ascii="Arial" w:hAnsi="Arial" w:cs="Arial"/>
          <w:sz w:val="24"/>
          <w:szCs w:val="24"/>
          <w:lang w:val="en-GB"/>
        </w:rPr>
        <w:t xml:space="preserve"> </w:t>
      </w:r>
      <w:r w:rsidRPr="00ED4EED">
        <w:rPr>
          <w:rFonts w:ascii="Arial" w:hAnsi="Arial" w:cs="Arial"/>
          <w:b/>
          <w:bCs/>
          <w:sz w:val="24"/>
          <w:szCs w:val="24"/>
          <w:lang w:val="en-GB"/>
        </w:rPr>
        <w:t>footnote</w:t>
      </w:r>
      <w:r w:rsidR="002C2579" w:rsidRPr="00ED4EED">
        <w:rPr>
          <w:rFonts w:ascii="Arial" w:hAnsi="Arial" w:cs="Arial"/>
          <w:b/>
          <w:bCs/>
          <w:sz w:val="24"/>
          <w:szCs w:val="24"/>
          <w:lang w:val="en-GB"/>
        </w:rPr>
        <w:t xml:space="preserve"> </w:t>
      </w:r>
      <w:r w:rsidR="00C65D74" w:rsidRPr="00ED4EED">
        <w:rPr>
          <w:rFonts w:ascii="Arial" w:hAnsi="Arial" w:cs="Arial"/>
          <w:b/>
          <w:bCs/>
          <w:sz w:val="24"/>
          <w:szCs w:val="24"/>
          <w:lang w:val="en-GB"/>
        </w:rPr>
        <w:t>74</w:t>
      </w:r>
      <w:r w:rsidR="002C2579" w:rsidRPr="00ED4EED">
        <w:rPr>
          <w:rFonts w:ascii="Arial" w:hAnsi="Arial" w:cs="Arial"/>
          <w:b/>
          <w:bCs/>
          <w:sz w:val="24"/>
          <w:szCs w:val="24"/>
          <w:lang w:val="en-GB"/>
        </w:rPr>
        <w:t xml:space="preserve"> </w:t>
      </w:r>
      <w:r w:rsidR="002C2579">
        <w:rPr>
          <w:rFonts w:ascii="Arial" w:hAnsi="Arial" w:cs="Arial"/>
          <w:sz w:val="24"/>
          <w:szCs w:val="24"/>
          <w:lang w:val="en-GB"/>
        </w:rPr>
        <w:t>could be added:</w:t>
      </w:r>
    </w:p>
    <w:p w14:paraId="5474546D" w14:textId="2BDCE930" w:rsidR="00ED4EED" w:rsidRPr="00BA48CF" w:rsidRDefault="00ED4EED" w:rsidP="009C3A5F">
      <w:pPr>
        <w:rPr>
          <w:rFonts w:ascii="Arial" w:hAnsi="Arial" w:cs="Arial"/>
          <w:sz w:val="24"/>
          <w:szCs w:val="24"/>
          <w:lang w:val="en-GB"/>
        </w:rPr>
      </w:pPr>
      <w:r w:rsidRPr="00BA48CF">
        <w:rPr>
          <w:rFonts w:ascii="Arial" w:hAnsi="Arial" w:cs="Arial"/>
          <w:color w:val="000000"/>
          <w:sz w:val="24"/>
          <w:szCs w:val="24"/>
          <w:lang w:val="en-GB"/>
        </w:rPr>
        <w:t xml:space="preserve">Article 5 of the European Social Charter permits States Parties to restrict but not to completely deny police officers’ right to organise. </w:t>
      </w:r>
      <w:r w:rsidR="00BA48CF" w:rsidRPr="00BA48CF">
        <w:rPr>
          <w:rFonts w:ascii="Arial" w:hAnsi="Arial" w:cs="Arial"/>
          <w:color w:val="000000"/>
          <w:sz w:val="24"/>
          <w:szCs w:val="24"/>
          <w:lang w:val="en-GB"/>
        </w:rPr>
        <w:t xml:space="preserve"> Further Article 5 of the Charter allows States Parties to impose restrictions upon members of the armed forces and grants them a wide margin of appreciation in this regard</w:t>
      </w:r>
      <w:r w:rsidR="00BE3658">
        <w:rPr>
          <w:rFonts w:ascii="Arial" w:hAnsi="Arial" w:cs="Arial"/>
          <w:color w:val="000000"/>
          <w:sz w:val="24"/>
          <w:szCs w:val="24"/>
          <w:lang w:val="en-GB"/>
        </w:rPr>
        <w:t>.</w:t>
      </w:r>
      <w:r w:rsidR="00BA48CF" w:rsidRPr="00BA48CF">
        <w:rPr>
          <w:rFonts w:ascii="Arial" w:hAnsi="Arial" w:cs="Arial"/>
          <w:color w:val="000000"/>
          <w:sz w:val="24"/>
          <w:szCs w:val="24"/>
          <w:lang w:val="en-GB"/>
        </w:rPr>
        <w:t xml:space="preserve"> However, these restrictions may not go as far as to suppress entirely the right to organise.</w:t>
      </w:r>
    </w:p>
    <w:p w14:paraId="35D63961" w14:textId="77777777" w:rsidR="002D297B" w:rsidRPr="00BA48CF" w:rsidRDefault="002D297B" w:rsidP="009C3A5F">
      <w:pPr>
        <w:rPr>
          <w:rFonts w:ascii="Arial" w:hAnsi="Arial" w:cs="Arial"/>
          <w:sz w:val="24"/>
          <w:szCs w:val="24"/>
          <w:lang w:val="en-GB"/>
        </w:rPr>
      </w:pPr>
    </w:p>
    <w:sectPr w:rsidR="002D297B" w:rsidRPr="00BA48C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7F36D" w14:textId="77777777" w:rsidR="00083CBE" w:rsidRDefault="00083CBE" w:rsidP="007D7263">
      <w:pPr>
        <w:spacing w:after="0" w:line="240" w:lineRule="auto"/>
      </w:pPr>
      <w:r>
        <w:separator/>
      </w:r>
    </w:p>
  </w:endnote>
  <w:endnote w:type="continuationSeparator" w:id="0">
    <w:p w14:paraId="3B03A5A2" w14:textId="77777777" w:rsidR="00083CBE" w:rsidRDefault="00083CBE" w:rsidP="007D7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6AF1C" w14:textId="77777777" w:rsidR="00083CBE" w:rsidRDefault="00083CBE" w:rsidP="007D7263">
      <w:pPr>
        <w:spacing w:after="0" w:line="240" w:lineRule="auto"/>
      </w:pPr>
      <w:r>
        <w:separator/>
      </w:r>
    </w:p>
  </w:footnote>
  <w:footnote w:type="continuationSeparator" w:id="0">
    <w:p w14:paraId="0106F978" w14:textId="77777777" w:rsidR="00083CBE" w:rsidRDefault="00083CBE" w:rsidP="007D72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3A5F"/>
    <w:rsid w:val="00083CBE"/>
    <w:rsid w:val="001402E4"/>
    <w:rsid w:val="00174C8F"/>
    <w:rsid w:val="002C2579"/>
    <w:rsid w:val="002C6C2F"/>
    <w:rsid w:val="002D297B"/>
    <w:rsid w:val="003A04B5"/>
    <w:rsid w:val="007528F5"/>
    <w:rsid w:val="00771459"/>
    <w:rsid w:val="007B6858"/>
    <w:rsid w:val="007D7263"/>
    <w:rsid w:val="007E62B9"/>
    <w:rsid w:val="00857A96"/>
    <w:rsid w:val="0099584F"/>
    <w:rsid w:val="009C3A5F"/>
    <w:rsid w:val="00A97BDE"/>
    <w:rsid w:val="00AA20F9"/>
    <w:rsid w:val="00B05006"/>
    <w:rsid w:val="00B64DED"/>
    <w:rsid w:val="00B90DFC"/>
    <w:rsid w:val="00BA48CF"/>
    <w:rsid w:val="00BC19F5"/>
    <w:rsid w:val="00BE3658"/>
    <w:rsid w:val="00C1620D"/>
    <w:rsid w:val="00C65D74"/>
    <w:rsid w:val="00C85DCE"/>
    <w:rsid w:val="00CA4B4E"/>
    <w:rsid w:val="00E00C1F"/>
    <w:rsid w:val="00E03205"/>
    <w:rsid w:val="00E2471D"/>
    <w:rsid w:val="00ED4E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8740A"/>
  <w15:chartTrackingRefBased/>
  <w15:docId w15:val="{D583ED33-0B73-4FF2-9398-960377300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3A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3A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3A5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3A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3A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3A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3A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3A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3A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A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3A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3A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3A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3A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3A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A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A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A5F"/>
    <w:rPr>
      <w:rFonts w:eastAsiaTheme="majorEastAsia" w:cstheme="majorBidi"/>
      <w:color w:val="272727" w:themeColor="text1" w:themeTint="D8"/>
    </w:rPr>
  </w:style>
  <w:style w:type="paragraph" w:styleId="Title">
    <w:name w:val="Title"/>
    <w:basedOn w:val="Normal"/>
    <w:next w:val="Normal"/>
    <w:link w:val="TitleChar"/>
    <w:uiPriority w:val="10"/>
    <w:qFormat/>
    <w:rsid w:val="009C3A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A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A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A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A5F"/>
    <w:pPr>
      <w:spacing w:before="160"/>
      <w:jc w:val="center"/>
    </w:pPr>
    <w:rPr>
      <w:i/>
      <w:iCs/>
      <w:color w:val="404040" w:themeColor="text1" w:themeTint="BF"/>
    </w:rPr>
  </w:style>
  <w:style w:type="character" w:customStyle="1" w:styleId="QuoteChar">
    <w:name w:val="Quote Char"/>
    <w:basedOn w:val="DefaultParagraphFont"/>
    <w:link w:val="Quote"/>
    <w:uiPriority w:val="29"/>
    <w:rsid w:val="009C3A5F"/>
    <w:rPr>
      <w:i/>
      <w:iCs/>
      <w:color w:val="404040" w:themeColor="text1" w:themeTint="BF"/>
    </w:rPr>
  </w:style>
  <w:style w:type="paragraph" w:styleId="ListParagraph">
    <w:name w:val="List Paragraph"/>
    <w:basedOn w:val="Normal"/>
    <w:uiPriority w:val="34"/>
    <w:qFormat/>
    <w:rsid w:val="009C3A5F"/>
    <w:pPr>
      <w:ind w:left="720"/>
      <w:contextualSpacing/>
    </w:pPr>
  </w:style>
  <w:style w:type="character" w:styleId="IntenseEmphasis">
    <w:name w:val="Intense Emphasis"/>
    <w:basedOn w:val="DefaultParagraphFont"/>
    <w:uiPriority w:val="21"/>
    <w:qFormat/>
    <w:rsid w:val="009C3A5F"/>
    <w:rPr>
      <w:i/>
      <w:iCs/>
      <w:color w:val="2F5496" w:themeColor="accent1" w:themeShade="BF"/>
    </w:rPr>
  </w:style>
  <w:style w:type="paragraph" w:styleId="IntenseQuote">
    <w:name w:val="Intense Quote"/>
    <w:basedOn w:val="Normal"/>
    <w:next w:val="Normal"/>
    <w:link w:val="IntenseQuoteChar"/>
    <w:uiPriority w:val="30"/>
    <w:qFormat/>
    <w:rsid w:val="009C3A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3A5F"/>
    <w:rPr>
      <w:i/>
      <w:iCs/>
      <w:color w:val="2F5496" w:themeColor="accent1" w:themeShade="BF"/>
    </w:rPr>
  </w:style>
  <w:style w:type="character" w:styleId="IntenseReference">
    <w:name w:val="Intense Reference"/>
    <w:basedOn w:val="DefaultParagraphFont"/>
    <w:uiPriority w:val="32"/>
    <w:qFormat/>
    <w:rsid w:val="009C3A5F"/>
    <w:rPr>
      <w:b/>
      <w:bCs/>
      <w:smallCaps/>
      <w:color w:val="2F5496" w:themeColor="accent1" w:themeShade="BF"/>
      <w:spacing w:val="5"/>
    </w:rPr>
  </w:style>
  <w:style w:type="character" w:styleId="Hyperlink">
    <w:name w:val="Hyperlink"/>
    <w:uiPriority w:val="99"/>
    <w:rsid w:val="009C3A5F"/>
    <w:rPr>
      <w:color w:val="0000FF"/>
      <w:u w:val="single"/>
    </w:rPr>
  </w:style>
  <w:style w:type="paragraph" w:styleId="FootnoteText">
    <w:name w:val="footnote text"/>
    <w:basedOn w:val="Normal"/>
    <w:link w:val="FootnoteTextChar"/>
    <w:uiPriority w:val="99"/>
    <w:unhideWhenUsed/>
    <w:rsid w:val="007D7263"/>
    <w:pPr>
      <w:spacing w:after="0" w:line="240" w:lineRule="auto"/>
    </w:pPr>
    <w:rPr>
      <w:kern w:val="0"/>
      <w:sz w:val="20"/>
      <w:szCs w:val="20"/>
      <w:lang w:val="en-US"/>
    </w:rPr>
  </w:style>
  <w:style w:type="character" w:customStyle="1" w:styleId="FootnoteTextChar">
    <w:name w:val="Footnote Text Char"/>
    <w:basedOn w:val="DefaultParagraphFont"/>
    <w:link w:val="FootnoteText"/>
    <w:uiPriority w:val="99"/>
    <w:rsid w:val="007D7263"/>
    <w:rPr>
      <w:kern w:val="0"/>
      <w:sz w:val="20"/>
      <w:szCs w:val="20"/>
      <w:lang w:val="en-US"/>
    </w:rPr>
  </w:style>
  <w:style w:type="character" w:styleId="FootnoteReference">
    <w:name w:val="footnote reference"/>
    <w:aliases w:val="Footnotes refss,4_G Char Char,Footnote Reference1 Char Char,Footnotes refss Char Char,ftref Char Char,BVI fnr Char Char,BVI fnr Car Car Char Char,BVI fnr Car Char Char,BVI fnr Car Car Car Car Char Char1,4_G,ftref,Ref"/>
    <w:link w:val="4GChar"/>
    <w:uiPriority w:val="99"/>
    <w:unhideWhenUsed/>
    <w:qFormat/>
    <w:rsid w:val="007D7263"/>
    <w:rPr>
      <w:vertAlign w:val="superscript"/>
    </w:rPr>
  </w:style>
  <w:style w:type="paragraph" w:customStyle="1" w:styleId="4GChar">
    <w:name w:val="4_G Char"/>
    <w:aliases w:val="Footnote Reference1 Char,Footnotes refss Char,ftref Char,BVI fnr Char,BVI fnr Car Car Char,BVI fnr Car Char,BVI fnr Car Car Car Car Char,BVI fnr Char Car Car Car Char"/>
    <w:basedOn w:val="Normal"/>
    <w:link w:val="FootnoteReference"/>
    <w:uiPriority w:val="99"/>
    <w:rsid w:val="00ED4EED"/>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619460">
      <w:bodyDiv w:val="1"/>
      <w:marLeft w:val="0"/>
      <w:marRight w:val="0"/>
      <w:marTop w:val="0"/>
      <w:marBottom w:val="0"/>
      <w:divBdr>
        <w:top w:val="none" w:sz="0" w:space="0" w:color="auto"/>
        <w:left w:val="none" w:sz="0" w:space="0" w:color="auto"/>
        <w:bottom w:val="none" w:sz="0" w:space="0" w:color="auto"/>
        <w:right w:val="none" w:sz="0" w:space="0" w:color="auto"/>
      </w:divBdr>
    </w:div>
    <w:div w:id="639073198">
      <w:bodyDiv w:val="1"/>
      <w:marLeft w:val="0"/>
      <w:marRight w:val="0"/>
      <w:marTop w:val="0"/>
      <w:marBottom w:val="0"/>
      <w:divBdr>
        <w:top w:val="none" w:sz="0" w:space="0" w:color="auto"/>
        <w:left w:val="none" w:sz="0" w:space="0" w:color="auto"/>
        <w:bottom w:val="none" w:sz="0" w:space="0" w:color="auto"/>
        <w:right w:val="none" w:sz="0" w:space="0" w:color="auto"/>
      </w:divBdr>
    </w:div>
    <w:div w:id="668364163">
      <w:bodyDiv w:val="1"/>
      <w:marLeft w:val="0"/>
      <w:marRight w:val="0"/>
      <w:marTop w:val="0"/>
      <w:marBottom w:val="0"/>
      <w:divBdr>
        <w:top w:val="none" w:sz="0" w:space="0" w:color="auto"/>
        <w:left w:val="none" w:sz="0" w:space="0" w:color="auto"/>
        <w:bottom w:val="none" w:sz="0" w:space="0" w:color="auto"/>
        <w:right w:val="none" w:sz="0" w:space="0" w:color="auto"/>
      </w:divBdr>
    </w:div>
    <w:div w:id="832338610">
      <w:bodyDiv w:val="1"/>
      <w:marLeft w:val="0"/>
      <w:marRight w:val="0"/>
      <w:marTop w:val="0"/>
      <w:marBottom w:val="0"/>
      <w:divBdr>
        <w:top w:val="none" w:sz="0" w:space="0" w:color="auto"/>
        <w:left w:val="none" w:sz="0" w:space="0" w:color="auto"/>
        <w:bottom w:val="none" w:sz="0" w:space="0" w:color="auto"/>
        <w:right w:val="none" w:sz="0" w:space="0" w:color="auto"/>
      </w:divBdr>
    </w:div>
    <w:div w:id="926036450">
      <w:bodyDiv w:val="1"/>
      <w:marLeft w:val="0"/>
      <w:marRight w:val="0"/>
      <w:marTop w:val="0"/>
      <w:marBottom w:val="0"/>
      <w:divBdr>
        <w:top w:val="none" w:sz="0" w:space="0" w:color="auto"/>
        <w:left w:val="none" w:sz="0" w:space="0" w:color="auto"/>
        <w:bottom w:val="none" w:sz="0" w:space="0" w:color="auto"/>
        <w:right w:val="none" w:sz="0" w:space="0" w:color="auto"/>
      </w:divBdr>
    </w:div>
    <w:div w:id="981037980">
      <w:bodyDiv w:val="1"/>
      <w:marLeft w:val="0"/>
      <w:marRight w:val="0"/>
      <w:marTop w:val="0"/>
      <w:marBottom w:val="0"/>
      <w:divBdr>
        <w:top w:val="none" w:sz="0" w:space="0" w:color="auto"/>
        <w:left w:val="none" w:sz="0" w:space="0" w:color="auto"/>
        <w:bottom w:val="none" w:sz="0" w:space="0" w:color="auto"/>
        <w:right w:val="none" w:sz="0" w:space="0" w:color="auto"/>
      </w:divBdr>
    </w:div>
    <w:div w:id="1124470933">
      <w:bodyDiv w:val="1"/>
      <w:marLeft w:val="0"/>
      <w:marRight w:val="0"/>
      <w:marTop w:val="0"/>
      <w:marBottom w:val="0"/>
      <w:divBdr>
        <w:top w:val="none" w:sz="0" w:space="0" w:color="auto"/>
        <w:left w:val="none" w:sz="0" w:space="0" w:color="auto"/>
        <w:bottom w:val="none" w:sz="0" w:space="0" w:color="auto"/>
        <w:right w:val="none" w:sz="0" w:space="0" w:color="auto"/>
      </w:divBdr>
    </w:div>
    <w:div w:id="1349024127">
      <w:bodyDiv w:val="1"/>
      <w:marLeft w:val="0"/>
      <w:marRight w:val="0"/>
      <w:marTop w:val="0"/>
      <w:marBottom w:val="0"/>
      <w:divBdr>
        <w:top w:val="none" w:sz="0" w:space="0" w:color="auto"/>
        <w:left w:val="none" w:sz="0" w:space="0" w:color="auto"/>
        <w:bottom w:val="none" w:sz="0" w:space="0" w:color="auto"/>
        <w:right w:val="none" w:sz="0" w:space="0" w:color="auto"/>
      </w:divBdr>
    </w:div>
    <w:div w:id="1361320449">
      <w:bodyDiv w:val="1"/>
      <w:marLeft w:val="0"/>
      <w:marRight w:val="0"/>
      <w:marTop w:val="0"/>
      <w:marBottom w:val="0"/>
      <w:divBdr>
        <w:top w:val="none" w:sz="0" w:space="0" w:color="auto"/>
        <w:left w:val="none" w:sz="0" w:space="0" w:color="auto"/>
        <w:bottom w:val="none" w:sz="0" w:space="0" w:color="auto"/>
        <w:right w:val="none" w:sz="0" w:space="0" w:color="auto"/>
      </w:divBdr>
    </w:div>
    <w:div w:id="1518739549">
      <w:bodyDiv w:val="1"/>
      <w:marLeft w:val="0"/>
      <w:marRight w:val="0"/>
      <w:marTop w:val="0"/>
      <w:marBottom w:val="0"/>
      <w:divBdr>
        <w:top w:val="none" w:sz="0" w:space="0" w:color="auto"/>
        <w:left w:val="none" w:sz="0" w:space="0" w:color="auto"/>
        <w:bottom w:val="none" w:sz="0" w:space="0" w:color="auto"/>
        <w:right w:val="none" w:sz="0" w:space="0" w:color="auto"/>
      </w:divBdr>
    </w:div>
    <w:div w:id="2012097497">
      <w:bodyDiv w:val="1"/>
      <w:marLeft w:val="0"/>
      <w:marRight w:val="0"/>
      <w:marTop w:val="0"/>
      <w:marBottom w:val="0"/>
      <w:divBdr>
        <w:top w:val="none" w:sz="0" w:space="0" w:color="auto"/>
        <w:left w:val="none" w:sz="0" w:space="0" w:color="auto"/>
        <w:bottom w:val="none" w:sz="0" w:space="0" w:color="auto"/>
        <w:right w:val="none" w:sz="0" w:space="0" w:color="auto"/>
      </w:divBdr>
    </w:div>
    <w:div w:id="203916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e.int/en/web/european-social-charter/european-committee-of-social-rights"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s://www.coe.int/en/web/european-social-charter/home"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2</AIcounter>
    <Category xmlns="d42e65b2-cf21-49c1-b27d-d23f90380c0e">IGOs</Category>
    <Filename xmlns="d42e65b2-cf21-49c1-b27d-d23f90380c0e" xsi:nil="true"/>
    <Doctype xmlns="d42e65b2-cf21-49c1-b27d-d23f90380c0e">input</Doctype>
    <Contributor xmlns="d42e65b2-cf21-49c1-b27d-d23f90380c0e">Council of Europe - Department of Social Rights</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7EB0D6D0-168A-488A-8E8D-C824C4EA74D8}"/>
</file>

<file path=customXml/itemProps2.xml><?xml version="1.0" encoding="utf-8"?>
<ds:datastoreItem xmlns:ds="http://schemas.openxmlformats.org/officeDocument/2006/customXml" ds:itemID="{251F4979-A419-41FC-9E0F-868D8C2F6401}"/>
</file>

<file path=customXml/itemProps3.xml><?xml version="1.0" encoding="utf-8"?>
<ds:datastoreItem xmlns:ds="http://schemas.openxmlformats.org/officeDocument/2006/customXml" ds:itemID="{14145FEC-D362-42F1-AA12-E2B15C551365}"/>
</file>

<file path=docProps/app.xml><?xml version="1.0" encoding="utf-8"?>
<Properties xmlns="http://schemas.openxmlformats.org/officeDocument/2006/extended-properties" xmlns:vt="http://schemas.openxmlformats.org/officeDocument/2006/docPropsVTypes">
  <Template>Normal</Template>
  <TotalTime>520</TotalTime>
  <Pages>3</Pages>
  <Words>770</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Niamh</dc:creator>
  <cp:keywords/>
  <dc:description/>
  <cp:lastModifiedBy>SAUTIN Marie</cp:lastModifiedBy>
  <cp:revision>21</cp:revision>
  <dcterms:created xsi:type="dcterms:W3CDTF">2026-05-15T13:30:00Z</dcterms:created>
  <dcterms:modified xsi:type="dcterms:W3CDTF">2026-07-15T06:56:00Z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