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7ADF45" w14:textId="44BAC642" w:rsidR="000313E3" w:rsidRPr="00115BF8" w:rsidRDefault="00EF5142" w:rsidP="00C439CC">
      <w:pPr>
        <w:jc w:val="center"/>
      </w:pPr>
      <w:r w:rsidRPr="00115BF8">
        <w:t>Observations article n°22 du Pacte</w:t>
      </w:r>
    </w:p>
    <w:p w14:paraId="4C096C53" w14:textId="77777777" w:rsidR="000313E3" w:rsidRPr="00115BF8" w:rsidRDefault="000313E3" w:rsidP="00044502">
      <w:pPr>
        <w:jc w:val="both"/>
      </w:pPr>
    </w:p>
    <w:p w14:paraId="22101561" w14:textId="17A00C8F" w:rsidR="004B515A" w:rsidRPr="00115BF8" w:rsidRDefault="0077207D" w:rsidP="00044502">
      <w:pPr>
        <w:jc w:val="both"/>
      </w:pPr>
      <w:r w:rsidRPr="00115BF8">
        <w:t xml:space="preserve">La liberté d'association </w:t>
      </w:r>
      <w:r w:rsidR="00B34B7A" w:rsidRPr="00115BF8">
        <w:t xml:space="preserve">est </w:t>
      </w:r>
      <w:r w:rsidRPr="00115BF8">
        <w:t xml:space="preserve">consacrée </w:t>
      </w:r>
      <w:r w:rsidR="00D5170B" w:rsidRPr="00115BF8">
        <w:t xml:space="preserve">en France </w:t>
      </w:r>
      <w:r w:rsidRPr="00115BF8">
        <w:t xml:space="preserve">depuis la loi du 1er juillet 1901 relative au contrat d'association et reconnue </w:t>
      </w:r>
      <w:r w:rsidR="00B34B7A" w:rsidRPr="00115BF8">
        <w:t xml:space="preserve">depuis </w:t>
      </w:r>
      <w:r w:rsidRPr="00115BF8">
        <w:t>1971 par le Conseil constitutionnel comme un principe fondamental reconnu par les lois de la République</w:t>
      </w:r>
      <w:r w:rsidRPr="00115BF8">
        <w:rPr>
          <w:rStyle w:val="Appelnotedebasdep"/>
        </w:rPr>
        <w:footnoteReference w:id="2"/>
      </w:r>
      <w:r w:rsidRPr="00115BF8">
        <w:t xml:space="preserve">. </w:t>
      </w:r>
      <w:r w:rsidR="006F4646" w:rsidRPr="00115BF8">
        <w:t>Elle n’est toutefois pas absolue et conna</w:t>
      </w:r>
      <w:r w:rsidR="007F00D5">
        <w:t>ît</w:t>
      </w:r>
      <w:r w:rsidR="006F4646" w:rsidRPr="00115BF8">
        <w:t xml:space="preserve"> des restrictions. </w:t>
      </w:r>
      <w:r w:rsidRPr="00115BF8">
        <w:t xml:space="preserve">Des outils juridiques existent qui </w:t>
      </w:r>
      <w:r w:rsidR="00896067" w:rsidRPr="00115BF8">
        <w:t>enserren</w:t>
      </w:r>
      <w:r w:rsidR="00732C5A">
        <w:t xml:space="preserve">t </w:t>
      </w:r>
      <w:r w:rsidRPr="00115BF8">
        <w:t>ce</w:t>
      </w:r>
      <w:r w:rsidR="006F4646" w:rsidRPr="00115BF8">
        <w:t>tte liberté,</w:t>
      </w:r>
      <w:r w:rsidRPr="00115BF8">
        <w:t xml:space="preserve"> au premier rang desquels la dissolution – mécanisme radical qui entraine la cessation de</w:t>
      </w:r>
      <w:r w:rsidR="006F673C" w:rsidRPr="00115BF8">
        <w:t xml:space="preserve">s activités de l’association et sa disparition juridique </w:t>
      </w:r>
      <w:r w:rsidRPr="00115BF8">
        <w:t>ou, s’agissant d</w:t>
      </w:r>
      <w:r w:rsidR="0027149A" w:rsidRPr="00115BF8">
        <w:t>’un</w:t>
      </w:r>
      <w:r w:rsidRPr="00115BF8">
        <w:t xml:space="preserve"> groupement de fait, la fin de </w:t>
      </w:r>
      <w:r w:rsidR="0027149A" w:rsidRPr="00115BF8">
        <w:t>son</w:t>
      </w:r>
      <w:r w:rsidRPr="00115BF8">
        <w:t xml:space="preserve"> existence organisée. </w:t>
      </w:r>
    </w:p>
    <w:p w14:paraId="37974786" w14:textId="7A1F8A9D" w:rsidR="0069130F" w:rsidRPr="00115BF8" w:rsidRDefault="0016348B" w:rsidP="00044502">
      <w:pPr>
        <w:jc w:val="both"/>
      </w:pPr>
      <w:r w:rsidRPr="00115BF8">
        <w:t xml:space="preserve">Plusieurs procédures de dissolution </w:t>
      </w:r>
      <w:r w:rsidR="00566C3A" w:rsidRPr="00115BF8">
        <w:t>co</w:t>
      </w:r>
      <w:r w:rsidRPr="00115BF8">
        <w:t xml:space="preserve">existent. </w:t>
      </w:r>
      <w:r w:rsidR="00844C78" w:rsidRPr="00115BF8">
        <w:t>O</w:t>
      </w:r>
      <w:r w:rsidR="00551DFF" w:rsidRPr="00115BF8">
        <w:t xml:space="preserve">utre </w:t>
      </w:r>
      <w:r w:rsidR="0077207D" w:rsidRPr="00115BF8">
        <w:t>la</w:t>
      </w:r>
      <w:r w:rsidR="00551DFF" w:rsidRPr="00115BF8">
        <w:t xml:space="preserve"> dissolution volontaire </w:t>
      </w:r>
      <w:r w:rsidR="004676BA" w:rsidRPr="00115BF8">
        <w:t>opérée par les associations elles-mêmes</w:t>
      </w:r>
      <w:r w:rsidR="0077207D" w:rsidRPr="00115BF8">
        <w:t>, la loi du 1er juillet 1901 prévoit une dissolution judiciaire lorsque l'association est fondée « sur une cause ou en vue d'un objet illicite, contraire aux bonnes mœurs, ou qui aurait pour but de porter atteinte à l'intégrité du territoire national et à la forme républicaine du gouvernement »</w:t>
      </w:r>
      <w:r w:rsidR="008523E7" w:rsidRPr="00115BF8">
        <w:rPr>
          <w:rStyle w:val="Appelnotedebasdep"/>
        </w:rPr>
        <w:footnoteReference w:id="3"/>
      </w:r>
      <w:r w:rsidR="0077207D" w:rsidRPr="00115BF8">
        <w:t>. Dans cette hypothèse, la dissolution est prononcée par le tribunal judiciaire, saisi par le ministère public ou par « tout intéressé »</w:t>
      </w:r>
      <w:r w:rsidR="00E61760" w:rsidRPr="00115BF8">
        <w:rPr>
          <w:rStyle w:val="Appelnotedebasdep"/>
        </w:rPr>
        <w:footnoteReference w:id="4"/>
      </w:r>
      <w:r w:rsidR="0077207D" w:rsidRPr="00115BF8">
        <w:t>.</w:t>
      </w:r>
      <w:r w:rsidR="008523E7" w:rsidRPr="00115BF8">
        <w:t xml:space="preserve"> </w:t>
      </w:r>
      <w:r w:rsidR="009D4F55" w:rsidRPr="00115BF8">
        <w:t xml:space="preserve">Cette procédure n’est </w:t>
      </w:r>
      <w:r w:rsidR="00B50AA3" w:rsidRPr="00115BF8">
        <w:t>cependant</w:t>
      </w:r>
      <w:r w:rsidR="009D4F55" w:rsidRPr="00115BF8">
        <w:t xml:space="preserve"> jamais, ou presque, utilisée. Le principe est </w:t>
      </w:r>
      <w:r w:rsidR="008523E7" w:rsidRPr="00115BF8">
        <w:t xml:space="preserve">aujourd’hui </w:t>
      </w:r>
      <w:r w:rsidR="009D4F55" w:rsidRPr="00115BF8">
        <w:t>celui de la dissolution administrative des associations et des groupements de fait</w:t>
      </w:r>
      <w:r w:rsidR="00884A8B" w:rsidRPr="00115BF8">
        <w:t xml:space="preserve"> issue de la</w:t>
      </w:r>
      <w:r w:rsidR="008523E7" w:rsidRPr="00115BF8">
        <w:t xml:space="preserve"> loi du 10 janvier</w:t>
      </w:r>
      <w:r w:rsidR="009D4F55" w:rsidRPr="00115BF8">
        <w:t xml:space="preserve"> 1936</w:t>
      </w:r>
      <w:r w:rsidR="009D4F55" w:rsidRPr="00115BF8">
        <w:rPr>
          <w:i/>
          <w:iCs/>
        </w:rPr>
        <w:t xml:space="preserve"> sur les groupes de combat et les milices privées</w:t>
      </w:r>
      <w:r w:rsidR="009D4F55" w:rsidRPr="00115BF8">
        <w:rPr>
          <w:rStyle w:val="Appelnotedebasdep"/>
        </w:rPr>
        <w:footnoteReference w:id="5"/>
      </w:r>
      <w:r w:rsidR="009D4F55" w:rsidRPr="00115BF8">
        <w:t xml:space="preserve">. </w:t>
      </w:r>
      <w:r w:rsidR="008523E7" w:rsidRPr="00115BF8">
        <w:t>Elle permet au pouvoir exécutif de prononcer, par décret en Conseil des ministres, la disparition d’une organisation. Conçue à l’origine comme une procédure exceptionnelle, cette mesure</w:t>
      </w:r>
      <w:r w:rsidR="00884A8B" w:rsidRPr="00115BF8">
        <w:t xml:space="preserve"> </w:t>
      </w:r>
      <w:r w:rsidR="00AA3A68" w:rsidRPr="00115BF8">
        <w:t>éminemment politique</w:t>
      </w:r>
      <w:r w:rsidR="008523E7" w:rsidRPr="00115BF8">
        <w:t xml:space="preserve"> </w:t>
      </w:r>
      <w:r w:rsidR="00884A8B" w:rsidRPr="00115BF8">
        <w:t xml:space="preserve">était </w:t>
      </w:r>
      <w:r w:rsidR="00584CEB" w:rsidRPr="00115BF8">
        <w:t xml:space="preserve">initialement </w:t>
      </w:r>
      <w:r w:rsidR="008523E7" w:rsidRPr="00115BF8">
        <w:t>circonscrite à trois catégories d’organisations</w:t>
      </w:r>
      <w:r w:rsidR="005B5FC0" w:rsidRPr="00115BF8">
        <w:rPr>
          <w:rStyle w:val="Appelnotedebasdep"/>
        </w:rPr>
        <w:footnoteReference w:id="6"/>
      </w:r>
      <w:r w:rsidR="008523E7" w:rsidRPr="00115BF8">
        <w:t xml:space="preserve">. </w:t>
      </w:r>
      <w:r w:rsidR="00884A8B" w:rsidRPr="00115BF8">
        <w:t xml:space="preserve">Son </w:t>
      </w:r>
      <w:r w:rsidR="008523E7" w:rsidRPr="00115BF8">
        <w:t>champ d’application n’a pourtant cessé de s’étendre</w:t>
      </w:r>
      <w:r w:rsidR="00884A8B" w:rsidRPr="00115BF8">
        <w:t xml:space="preserve"> depuis lors</w:t>
      </w:r>
      <w:r w:rsidR="001C02F4">
        <w:t xml:space="preserve"> </w:t>
      </w:r>
      <w:r w:rsidR="008C41AA">
        <w:t>pour</w:t>
      </w:r>
      <w:r w:rsidR="001C02F4">
        <w:t xml:space="preserve"> permettre</w:t>
      </w:r>
      <w:r w:rsidR="005135F3" w:rsidRPr="00115BF8">
        <w:t xml:space="preserve"> au pouvoir exécutif de viser un nombre croissant d’organisations. </w:t>
      </w:r>
      <w:r w:rsidR="0069130F" w:rsidRPr="00115BF8">
        <w:t>Parallèlement</w:t>
      </w:r>
      <w:r w:rsidR="00CD4315" w:rsidRPr="00115BF8">
        <w:t xml:space="preserve"> à son extension législative</w:t>
      </w:r>
      <w:r w:rsidR="0069130F" w:rsidRPr="00115BF8">
        <w:t>, le recours à cet outil s’est intensifié au cours de la dernière décennie</w:t>
      </w:r>
      <w:r w:rsidR="00956046" w:rsidRPr="00115BF8">
        <w:t xml:space="preserve">, en particulier </w:t>
      </w:r>
      <w:r w:rsidR="00967445" w:rsidRPr="00115BF8">
        <w:t xml:space="preserve">depuis 2021 et la loi </w:t>
      </w:r>
      <w:r w:rsidR="00967445" w:rsidRPr="00115BF8">
        <w:rPr>
          <w:i/>
          <w:iCs/>
        </w:rPr>
        <w:t>confortant le respect des principes de la République</w:t>
      </w:r>
      <w:r w:rsidR="00D43813" w:rsidRPr="00115BF8">
        <w:rPr>
          <w:rStyle w:val="Appelnotedebasdep"/>
        </w:rPr>
        <w:footnoteReference w:id="7"/>
      </w:r>
      <w:r w:rsidR="0069130F" w:rsidRPr="00115BF8">
        <w:t xml:space="preserve"> qui a ajouté un nouveau motif de dissolution et introduit</w:t>
      </w:r>
      <w:r w:rsidR="00EF454D" w:rsidRPr="00115BF8">
        <w:t xml:space="preserve"> </w:t>
      </w:r>
      <w:r w:rsidR="0069130F" w:rsidRPr="00115BF8">
        <w:t>un mécanisme d'imputabilité des agissements des membres</w:t>
      </w:r>
      <w:r w:rsidR="00EF454D" w:rsidRPr="00115BF8">
        <w:t xml:space="preserve"> </w:t>
      </w:r>
      <w:r w:rsidR="00556959" w:rsidRPr="00115BF8">
        <w:t>aux organisations</w:t>
      </w:r>
      <w:r w:rsidR="0069130F" w:rsidRPr="00115BF8">
        <w:t xml:space="preserve">. </w:t>
      </w:r>
    </w:p>
    <w:p w14:paraId="03299D75" w14:textId="64C4918A" w:rsidR="008C0454" w:rsidRDefault="0069130F" w:rsidP="00044502">
      <w:pPr>
        <w:jc w:val="both"/>
      </w:pPr>
      <w:r w:rsidRPr="00115BF8">
        <w:t xml:space="preserve">D'un mécanisme exceptionnel conçu pour défendre la République, la dissolution administrative est </w:t>
      </w:r>
      <w:r w:rsidR="0012438A" w:rsidRPr="00115BF8">
        <w:t xml:space="preserve">ainsi </w:t>
      </w:r>
      <w:r w:rsidRPr="00115BF8">
        <w:t xml:space="preserve">aujourd’hui devenue un instrument </w:t>
      </w:r>
      <w:r w:rsidR="001553A3" w:rsidRPr="00115BF8">
        <w:t>de police administrative dont l’objet n’est plus la sauvegarde du régime mais le maintien de l’ordre public</w:t>
      </w:r>
      <w:r w:rsidR="002F7B01" w:rsidRPr="00115BF8">
        <w:rPr>
          <w:rStyle w:val="Appelnotedebasdep"/>
        </w:rPr>
        <w:footnoteReference w:id="8"/>
      </w:r>
      <w:r w:rsidR="001553A3" w:rsidRPr="00115BF8">
        <w:t xml:space="preserve">. </w:t>
      </w:r>
      <w:r w:rsidRPr="00115BF8">
        <w:t xml:space="preserve">L'article L.212-1 du </w:t>
      </w:r>
      <w:r w:rsidR="005652AB">
        <w:t>C</w:t>
      </w:r>
      <w:r w:rsidRPr="00115BF8">
        <w:t>ode de la sécurité intérieure énumère désormais sept motifs susceptibles de justifier la dissolution d'une association ou d'un groupement de fait : la provocation à des manifestations armées ou à des agissements violents contre les personnes ou les biens</w:t>
      </w:r>
      <w:r w:rsidR="00AF486A" w:rsidRPr="00115BF8">
        <w:t>,</w:t>
      </w:r>
      <w:r w:rsidRPr="00115BF8">
        <w:t xml:space="preserve"> </w:t>
      </w:r>
      <w:r w:rsidR="00AF486A" w:rsidRPr="00115BF8">
        <w:t xml:space="preserve">la constitution en groupes de combat ou milices privées, l’atteinte à l’intégrité du territoire national ou à la forme républicaine du Gouvernement, l’atteinte au rétablissement de la légalité républicaine, l’exaltation de la collaboration, la provocation et la contribution à la discrimination, à la haine ou à la violence et la provocation à des actes de terrorisme en France ou à l’étranger. Le maintien d’une association dissoute est par ailleurs passible de poursuites pénales à hauteur de 3 ans d’emprisonnement et de 45000 euros d’amende. </w:t>
      </w:r>
    </w:p>
    <w:p w14:paraId="7358641D" w14:textId="77777777" w:rsidR="00CF6ADE" w:rsidRPr="00115BF8" w:rsidRDefault="00CF6ADE" w:rsidP="00044502">
      <w:pPr>
        <w:jc w:val="both"/>
      </w:pPr>
    </w:p>
    <w:p w14:paraId="54318298" w14:textId="45B9B9A7" w:rsidR="00E51057" w:rsidRPr="00115BF8" w:rsidRDefault="00AF486A" w:rsidP="00044502">
      <w:pPr>
        <w:jc w:val="both"/>
      </w:pPr>
      <w:r w:rsidRPr="00115BF8">
        <w:t>Depuis 2017, les dissolutions d’organisations se multiplient</w:t>
      </w:r>
      <w:r w:rsidR="00D638C0">
        <w:t xml:space="preserve"> : </w:t>
      </w:r>
      <w:r w:rsidR="00D124ED" w:rsidRPr="00115BF8">
        <w:t>à elles seules, les 4</w:t>
      </w:r>
      <w:r w:rsidR="00CE7F57" w:rsidRPr="00115BF8">
        <w:t xml:space="preserve">9 </w:t>
      </w:r>
      <w:r w:rsidR="00D124ED" w:rsidRPr="00115BF8">
        <w:t>dissolutions prononcées depuis cette date représentent près de 3</w:t>
      </w:r>
      <w:r w:rsidR="00F74D82" w:rsidRPr="00115BF8">
        <w:t>2</w:t>
      </w:r>
      <w:r w:rsidR="00D124ED" w:rsidRPr="00115BF8">
        <w:t>% des 15</w:t>
      </w:r>
      <w:r w:rsidR="00CD691D" w:rsidRPr="00115BF8">
        <w:t>5</w:t>
      </w:r>
      <w:r w:rsidR="00D124ED" w:rsidRPr="00115BF8">
        <w:t xml:space="preserve"> </w:t>
      </w:r>
      <w:r w:rsidR="008137BE" w:rsidRPr="00115BF8">
        <w:t xml:space="preserve">dissolutions opérées depuis </w:t>
      </w:r>
      <w:r w:rsidR="008137BE" w:rsidRPr="00115BF8">
        <w:lastRenderedPageBreak/>
        <w:t>1936</w:t>
      </w:r>
      <w:r w:rsidR="001C0023" w:rsidRPr="00115BF8">
        <w:t xml:space="preserve">. </w:t>
      </w:r>
      <w:r w:rsidR="00600A65" w:rsidRPr="00115BF8">
        <w:t>L</w:t>
      </w:r>
      <w:r w:rsidR="00571D3E" w:rsidRPr="00115BF8">
        <w:t xml:space="preserve">a récurrence </w:t>
      </w:r>
      <w:r w:rsidR="00600A65" w:rsidRPr="00115BF8">
        <w:t>e</w:t>
      </w:r>
      <w:r w:rsidR="00571D3E" w:rsidRPr="00115BF8">
        <w:t>t le</w:t>
      </w:r>
      <w:r w:rsidR="00600A65" w:rsidRPr="00115BF8">
        <w:t xml:space="preserve"> caractère politique de cette mesure </w:t>
      </w:r>
      <w:r w:rsidR="00E273F1">
        <w:t>imposent dès lors une vigilance particulière</w:t>
      </w:r>
      <w:r w:rsidR="00951011">
        <w:t xml:space="preserve"> à son égard, compte tenu du risque d’instrumentalisation de l’outil à des fins politiques. </w:t>
      </w:r>
      <w:r w:rsidR="00322D9A" w:rsidRPr="00115BF8">
        <w:t>Confrontées au cadre juridique posé par le Pacte en son article n°22, certaines utilisations de l’outil doivent en effet être interrogées. Il apparait qu’elles ne respectent pas toujours les exigences liées au droit à la liberté d’association. Cinq point</w:t>
      </w:r>
      <w:r w:rsidR="00814DF6" w:rsidRPr="00115BF8">
        <w:t xml:space="preserve">s </w:t>
      </w:r>
      <w:r w:rsidR="00322D9A" w:rsidRPr="00115BF8">
        <w:t xml:space="preserve">méritent </w:t>
      </w:r>
      <w:r w:rsidR="008934CC" w:rsidRPr="00115BF8">
        <w:t xml:space="preserve">ainsi </w:t>
      </w:r>
      <w:r w:rsidR="00322D9A" w:rsidRPr="00115BF8">
        <w:t xml:space="preserve">d’être </w:t>
      </w:r>
      <w:r w:rsidR="003530DD" w:rsidRPr="00115BF8">
        <w:t xml:space="preserve">soulevés. D’une part, la question de l’imputabilité </w:t>
      </w:r>
      <w:r w:rsidR="00625D56" w:rsidRPr="00115BF8">
        <w:t xml:space="preserve">des agissements des membres aux organisations </w:t>
      </w:r>
      <w:r w:rsidR="003530DD" w:rsidRPr="00115BF8">
        <w:t xml:space="preserve">qui </w:t>
      </w:r>
      <w:r w:rsidR="00B02DBB" w:rsidRPr="00115BF8">
        <w:t xml:space="preserve">instaure </w:t>
      </w:r>
      <w:r w:rsidR="003530DD" w:rsidRPr="00115BF8">
        <w:t>une</w:t>
      </w:r>
      <w:r w:rsidR="00B02DBB" w:rsidRPr="00115BF8">
        <w:t xml:space="preserve"> forme de</w:t>
      </w:r>
      <w:r w:rsidR="003530DD" w:rsidRPr="00115BF8">
        <w:t xml:space="preserve"> responsabilité collective et fait peser sur l’association de </w:t>
      </w:r>
      <w:r w:rsidR="00B02DBB" w:rsidRPr="00115BF8">
        <w:t xml:space="preserve">nouvelles charges </w:t>
      </w:r>
      <w:r w:rsidR="00521BB9" w:rsidRPr="00115BF8">
        <w:t xml:space="preserve">– notamment </w:t>
      </w:r>
      <w:r w:rsidR="001D66EC" w:rsidRPr="00115BF8">
        <w:t xml:space="preserve">de </w:t>
      </w:r>
      <w:r w:rsidR="00501ED4" w:rsidRPr="00115BF8">
        <w:t>surveillance</w:t>
      </w:r>
      <w:r w:rsidR="00521BB9" w:rsidRPr="00115BF8">
        <w:t xml:space="preserve"> interne </w:t>
      </w:r>
      <w:r w:rsidR="00137889" w:rsidRPr="00115BF8">
        <w:t>(I),</w:t>
      </w:r>
      <w:r w:rsidR="00B306A1" w:rsidRPr="00115BF8">
        <w:t xml:space="preserve"> la question de l’utilisation de techniques de renseignement à l’occasion des dissolutions</w:t>
      </w:r>
      <w:r w:rsidR="00137889" w:rsidRPr="00115BF8">
        <w:t xml:space="preserve"> (II), </w:t>
      </w:r>
      <w:r w:rsidR="00C64F53" w:rsidRPr="00115BF8">
        <w:t>celle</w:t>
      </w:r>
      <w:r w:rsidR="00137889" w:rsidRPr="00115BF8">
        <w:t xml:space="preserve"> de l’</w:t>
      </w:r>
      <w:r w:rsidR="00AC00A3" w:rsidRPr="00115BF8">
        <w:t>utilisation</w:t>
      </w:r>
      <w:r w:rsidR="00137889" w:rsidRPr="00115BF8">
        <w:t xml:space="preserve"> des notes blanches (III), celle de l’imprécision </w:t>
      </w:r>
      <w:r w:rsidR="00310265" w:rsidRPr="00115BF8">
        <w:t xml:space="preserve">des motifs de dissolution issus </w:t>
      </w:r>
      <w:r w:rsidR="00137889" w:rsidRPr="00115BF8">
        <w:t xml:space="preserve">de la loi du 24 aout 2021 (IV), enfin, </w:t>
      </w:r>
      <w:r w:rsidR="00A1495C" w:rsidRPr="00115BF8">
        <w:t xml:space="preserve">celle </w:t>
      </w:r>
      <w:r w:rsidR="00E51057" w:rsidRPr="00115BF8">
        <w:t xml:space="preserve">du recours à la dissolution dans des situations qui ne répondent pas à l’exigence d’un danger réel et non simplement hypothétique (V). </w:t>
      </w:r>
    </w:p>
    <w:p w14:paraId="7EB9A77F" w14:textId="77777777" w:rsidR="00E6765C" w:rsidRPr="00115BF8" w:rsidRDefault="00E6765C" w:rsidP="00044502">
      <w:pPr>
        <w:jc w:val="both"/>
      </w:pPr>
    </w:p>
    <w:p w14:paraId="5B3CCB44" w14:textId="54054217" w:rsidR="00E8360C" w:rsidRPr="00115BF8" w:rsidRDefault="00AC00A3" w:rsidP="00044502">
      <w:pPr>
        <w:jc w:val="both"/>
        <w:rPr>
          <w:u w:val="single"/>
        </w:rPr>
      </w:pPr>
      <w:r w:rsidRPr="00115BF8">
        <w:rPr>
          <w:u w:val="single"/>
        </w:rPr>
        <w:t>I</w:t>
      </w:r>
      <w:r w:rsidR="00322D9A" w:rsidRPr="00115BF8">
        <w:rPr>
          <w:u w:val="single"/>
        </w:rPr>
        <w:t xml:space="preserve"> – </w:t>
      </w:r>
      <w:r w:rsidR="000A6101" w:rsidRPr="00115BF8">
        <w:rPr>
          <w:u w:val="single"/>
        </w:rPr>
        <w:t>L’imputation des agissements des membres</w:t>
      </w:r>
      <w:r w:rsidR="00F17C4D" w:rsidRPr="00115BF8">
        <w:rPr>
          <w:u w:val="single"/>
        </w:rPr>
        <w:t xml:space="preserve">, soutiens et tiers </w:t>
      </w:r>
      <w:r w:rsidR="00322D9A" w:rsidRPr="00115BF8">
        <w:rPr>
          <w:u w:val="single"/>
        </w:rPr>
        <w:t xml:space="preserve">aux organisations </w:t>
      </w:r>
    </w:p>
    <w:p w14:paraId="6DF7394A" w14:textId="77777777" w:rsidR="00752E4D" w:rsidRPr="00115BF8" w:rsidRDefault="00752E4D" w:rsidP="00044502">
      <w:pPr>
        <w:jc w:val="both"/>
      </w:pPr>
    </w:p>
    <w:p w14:paraId="575FA669" w14:textId="0949564C" w:rsidR="00276A0B" w:rsidRPr="00115BF8" w:rsidRDefault="0080279A" w:rsidP="00044502">
      <w:pPr>
        <w:jc w:val="both"/>
      </w:pPr>
      <w:r w:rsidRPr="00115BF8">
        <w:t xml:space="preserve">La loi du 24 aout 2021 </w:t>
      </w:r>
      <w:r w:rsidRPr="00115BF8">
        <w:rPr>
          <w:i/>
          <w:iCs/>
        </w:rPr>
        <w:t xml:space="preserve">confortant le respect des principes de la République </w:t>
      </w:r>
      <w:r w:rsidR="003063DA" w:rsidRPr="00115BF8">
        <w:t>a créé un mécanisme d’imputation des a</w:t>
      </w:r>
      <w:r w:rsidR="00DA63F1" w:rsidRPr="00115BF8">
        <w:t xml:space="preserve">gissements </w:t>
      </w:r>
      <w:r w:rsidR="008D14B3" w:rsidRPr="00115BF8">
        <w:t xml:space="preserve">et propos </w:t>
      </w:r>
      <w:r w:rsidR="00DA63F1" w:rsidRPr="00115BF8">
        <w:t xml:space="preserve">des membres </w:t>
      </w:r>
      <w:r w:rsidR="00861E94" w:rsidRPr="00115BF8">
        <w:t xml:space="preserve">ou soutiens </w:t>
      </w:r>
      <w:r w:rsidR="00DA63F1" w:rsidRPr="00115BF8">
        <w:t>de l’organisation à l’organisation elle-mêm</w:t>
      </w:r>
      <w:r w:rsidR="00B129F3" w:rsidRPr="00115BF8">
        <w:t>e</w:t>
      </w:r>
      <w:r w:rsidR="00861E94" w:rsidRPr="00115BF8">
        <w:t xml:space="preserve">, dès lors que les dirigeants se sont abstenus </w:t>
      </w:r>
      <w:r w:rsidR="006274AD" w:rsidRPr="00115BF8">
        <w:t>« de prendre les mesures nécessaires pour les faire cesser, compte tenu des moyens dont ils disposaient »</w:t>
      </w:r>
      <w:r w:rsidR="00276A0B" w:rsidRPr="00115BF8">
        <w:rPr>
          <w:rStyle w:val="Appelnotedebasdep"/>
        </w:rPr>
        <w:footnoteReference w:id="9"/>
      </w:r>
      <w:r w:rsidR="006274AD" w:rsidRPr="00115BF8">
        <w:t xml:space="preserve">. </w:t>
      </w:r>
      <w:r w:rsidR="00444075" w:rsidRPr="00115BF8">
        <w:t xml:space="preserve">Depuis son entrée en vigueur, cette disposition </w:t>
      </w:r>
      <w:r w:rsidR="0055234D" w:rsidRPr="00115BF8">
        <w:t>est</w:t>
      </w:r>
      <w:r w:rsidR="00444075" w:rsidRPr="00115BF8">
        <w:t xml:space="preserve"> utilisée systématiquement dans les décrets de dissolution</w:t>
      </w:r>
      <w:r w:rsidR="0055234D" w:rsidRPr="00115BF8">
        <w:t>. De nombreuses organisations ont été dissoutes sur ce fondement en raison</w:t>
      </w:r>
      <w:r w:rsidR="00DC0074" w:rsidRPr="00115BF8">
        <w:t xml:space="preserve"> des agissements </w:t>
      </w:r>
      <w:r w:rsidR="006D4696" w:rsidRPr="00115BF8">
        <w:t>de membres à l’occasion de manifestations</w:t>
      </w:r>
      <w:r w:rsidR="00F56D87">
        <w:rPr>
          <w:rStyle w:val="Appelnotedebasdep"/>
        </w:rPr>
        <w:footnoteReference w:id="10"/>
      </w:r>
      <w:r w:rsidR="006D4696" w:rsidRPr="00115BF8">
        <w:t xml:space="preserve"> ou</w:t>
      </w:r>
      <w:r w:rsidR="00C5183A">
        <w:t xml:space="preserve"> </w:t>
      </w:r>
      <w:r w:rsidR="00B6797F">
        <w:t>en dehors des activités de l’organisation</w:t>
      </w:r>
      <w:r w:rsidR="00F56D87">
        <w:rPr>
          <w:rStyle w:val="Appelnotedebasdep"/>
        </w:rPr>
        <w:footnoteReference w:id="11"/>
      </w:r>
      <w:r w:rsidR="006D4696" w:rsidRPr="00115BF8">
        <w:t xml:space="preserve">, mais également de comportements </w:t>
      </w:r>
      <w:r w:rsidR="00CF090E" w:rsidRPr="00115BF8">
        <w:t>d’individus extérieurs aux organisations</w:t>
      </w:r>
      <w:r w:rsidR="00103F62" w:rsidRPr="00115BF8">
        <w:t>, tels que les élèves d’établissements gérés par une association</w:t>
      </w:r>
      <w:r w:rsidR="00F56D87">
        <w:rPr>
          <w:rStyle w:val="Appelnotedebasdep"/>
        </w:rPr>
        <w:footnoteReference w:id="12"/>
      </w:r>
      <w:r w:rsidR="00C950A0" w:rsidRPr="00115BF8">
        <w:t xml:space="preserve">. </w:t>
      </w:r>
    </w:p>
    <w:p w14:paraId="401E1F6A" w14:textId="77777777" w:rsidR="008E0F27" w:rsidRPr="00115BF8" w:rsidRDefault="008E0F27" w:rsidP="00044502">
      <w:pPr>
        <w:jc w:val="both"/>
      </w:pPr>
    </w:p>
    <w:p w14:paraId="6F50CD07" w14:textId="663B763B" w:rsidR="00DC7A76" w:rsidRPr="00115BF8" w:rsidRDefault="00A4490A" w:rsidP="00DC7A76">
      <w:pPr>
        <w:jc w:val="both"/>
      </w:pPr>
      <w:r w:rsidRPr="00115BF8">
        <w:t xml:space="preserve">Cette logique </w:t>
      </w:r>
      <w:r w:rsidR="00AF722D" w:rsidRPr="00115BF8">
        <w:t xml:space="preserve">d’imputation </w:t>
      </w:r>
      <w:r w:rsidRPr="00115BF8">
        <w:t xml:space="preserve">s’est </w:t>
      </w:r>
      <w:r w:rsidR="00DC7A76" w:rsidRPr="00115BF8">
        <w:t>parallèlement</w:t>
      </w:r>
      <w:r w:rsidRPr="00115BF8">
        <w:t xml:space="preserve"> étendue </w:t>
      </w:r>
      <w:r w:rsidR="00DC7A76" w:rsidRPr="00115BF8">
        <w:t>aux commentaires générés par les publications des organisations sur les réseaux sociaux</w:t>
      </w:r>
      <w:r w:rsidR="00F56D87">
        <w:rPr>
          <w:rStyle w:val="Appelnotedebasdep"/>
        </w:rPr>
        <w:footnoteReference w:id="13"/>
      </w:r>
      <w:r w:rsidR="00805E73" w:rsidRPr="00115BF8">
        <w:t xml:space="preserve">. L’absence de modération ou de suppression des commentaires </w:t>
      </w:r>
      <w:r w:rsidR="003711B2" w:rsidRPr="00115BF8">
        <w:t xml:space="preserve">est interprétée comme une approbation </w:t>
      </w:r>
      <w:r w:rsidR="0057622C" w:rsidRPr="00115BF8">
        <w:t>de l’organisation aux propos tenus</w:t>
      </w:r>
      <w:r w:rsidR="00434FBD">
        <w:rPr>
          <w:rStyle w:val="Appelnotedebasdep"/>
        </w:rPr>
        <w:footnoteReference w:id="14"/>
      </w:r>
      <w:r w:rsidR="0057622C" w:rsidRPr="00115BF8">
        <w:t xml:space="preserve">. </w:t>
      </w:r>
      <w:r w:rsidR="00DC7A76" w:rsidRPr="00115BF8">
        <w:t>Cette extension de l’imputabilité a fondé de nombreuses dissolutions</w:t>
      </w:r>
      <w:r w:rsidR="00AF310E" w:rsidRPr="00115BF8">
        <w:t>, en articulation avec l’alinéa n°6 de l’article L</w:t>
      </w:r>
      <w:r w:rsidR="008006F0">
        <w:t>.</w:t>
      </w:r>
      <w:r w:rsidR="00AF310E" w:rsidRPr="00115BF8">
        <w:t xml:space="preserve">212-1 du Code de la sécurité intérieure qui proscrit les </w:t>
      </w:r>
      <w:r w:rsidR="002065EC" w:rsidRPr="00115BF8">
        <w:t>provocations</w:t>
      </w:r>
      <w:r w:rsidR="00AF310E" w:rsidRPr="00115BF8">
        <w:t xml:space="preserve"> à la </w:t>
      </w:r>
      <w:r w:rsidR="009436C5" w:rsidRPr="00115BF8">
        <w:t xml:space="preserve">discrimination, la haine, ou la violence, en imputant </w:t>
      </w:r>
      <w:r w:rsidR="00BE2025" w:rsidRPr="00115BF8">
        <w:t>aux associations et groupements d</w:t>
      </w:r>
      <w:r w:rsidR="009436C5" w:rsidRPr="00115BF8">
        <w:t>es propos</w:t>
      </w:r>
      <w:r w:rsidR="00BE2025" w:rsidRPr="00115BF8">
        <w:t xml:space="preserve"> tenus par des</w:t>
      </w:r>
      <w:r w:rsidR="009436C5" w:rsidRPr="00115BF8">
        <w:t xml:space="preserve"> </w:t>
      </w:r>
      <w:r w:rsidR="00BE2025" w:rsidRPr="00115BF8">
        <w:t>i</w:t>
      </w:r>
      <w:r w:rsidR="009436C5" w:rsidRPr="00115BF8">
        <w:t xml:space="preserve">ndividus </w:t>
      </w:r>
      <w:r w:rsidR="00BE2025" w:rsidRPr="00115BF8">
        <w:t>parfois</w:t>
      </w:r>
      <w:r w:rsidR="009436C5" w:rsidRPr="00115BF8">
        <w:t xml:space="preserve"> anonymes </w:t>
      </w:r>
      <w:r w:rsidR="00BE2025" w:rsidRPr="00115BF8">
        <w:t>lorsque ces derniers n’ont pas été supprimés ou publiquement condamnés</w:t>
      </w:r>
      <w:r w:rsidR="00434FBD">
        <w:rPr>
          <w:rStyle w:val="Appelnotedebasdep"/>
        </w:rPr>
        <w:footnoteReference w:id="15"/>
      </w:r>
      <w:r w:rsidR="00BE2025" w:rsidRPr="00115BF8">
        <w:t xml:space="preserve">. </w:t>
      </w:r>
    </w:p>
    <w:p w14:paraId="2F5B3FD6" w14:textId="09D669CD" w:rsidR="00A4490A" w:rsidRPr="00115BF8" w:rsidRDefault="00A4490A" w:rsidP="00044502">
      <w:pPr>
        <w:jc w:val="both"/>
      </w:pPr>
    </w:p>
    <w:p w14:paraId="5D88BE11" w14:textId="137EABE2" w:rsidR="006036B4" w:rsidRDefault="003101FC" w:rsidP="004C58EB">
      <w:pPr>
        <w:jc w:val="both"/>
      </w:pPr>
      <w:r w:rsidRPr="00115BF8">
        <w:t>En pratique, ce mécanisme fait peser sur les associations et groupements de fait de nouvelles obligations de vigilance</w:t>
      </w:r>
      <w:r w:rsidR="00B73A11" w:rsidRPr="00115BF8">
        <w:t xml:space="preserve"> qui peuvent rendre difficile</w:t>
      </w:r>
      <w:r w:rsidR="00895A1D" w:rsidRPr="00115BF8">
        <w:t>s</w:t>
      </w:r>
      <w:r w:rsidR="00B73A11" w:rsidRPr="00115BF8">
        <w:t xml:space="preserve"> les conditions d’exercice et de jouissance</w:t>
      </w:r>
      <w:r w:rsidR="00856DD9" w:rsidRPr="00115BF8">
        <w:t xml:space="preserve"> </w:t>
      </w:r>
      <w:r w:rsidR="00B73A11" w:rsidRPr="00115BF8">
        <w:t xml:space="preserve">du droit à la liberté d’association ainsi que </w:t>
      </w:r>
      <w:r w:rsidR="00F40D4F" w:rsidRPr="00115BF8">
        <w:t>le</w:t>
      </w:r>
      <w:r w:rsidR="00B73A11" w:rsidRPr="00115BF8">
        <w:t xml:space="preserve"> fonctionnement</w:t>
      </w:r>
      <w:r w:rsidR="00F40D4F" w:rsidRPr="00115BF8">
        <w:t xml:space="preserve"> des organisations</w:t>
      </w:r>
      <w:r w:rsidR="00516396" w:rsidRPr="00115BF8">
        <w:t xml:space="preserve">. </w:t>
      </w:r>
      <w:r w:rsidR="00FE484E" w:rsidRPr="00115BF8">
        <w:t xml:space="preserve">Les dirigeants </w:t>
      </w:r>
      <w:r w:rsidR="00A4490A" w:rsidRPr="00115BF8">
        <w:t xml:space="preserve">sont </w:t>
      </w:r>
      <w:r w:rsidR="007E3CB4">
        <w:t xml:space="preserve">en effet </w:t>
      </w:r>
      <w:r w:rsidR="00A4490A" w:rsidRPr="00115BF8">
        <w:t xml:space="preserve">conduits à surveiller les contenus publiés </w:t>
      </w:r>
      <w:r w:rsidR="008C2497" w:rsidRPr="00115BF8">
        <w:t xml:space="preserve">sur leurs réseaux sociaux, à réagir </w:t>
      </w:r>
      <w:r w:rsidR="00322EFC" w:rsidRPr="00115BF8">
        <w:t>aux agissements de leurs membres, y compris lorsqu’ils interviennent en dehors du cadre de l’organisation</w:t>
      </w:r>
      <w:r w:rsidR="009F5029" w:rsidRPr="00115BF8">
        <w:t xml:space="preserve">, ainsi qu’à prendre position publiquement à l’égard de comportements de </w:t>
      </w:r>
      <w:r w:rsidR="009F5029" w:rsidRPr="00115BF8">
        <w:lastRenderedPageBreak/>
        <w:t xml:space="preserve">sympathisants </w:t>
      </w:r>
      <w:r w:rsidR="00812F08" w:rsidRPr="00115BF8">
        <w:t xml:space="preserve">supposés </w:t>
      </w:r>
      <w:r w:rsidR="009F5029" w:rsidRPr="00115BF8">
        <w:t>ou d</w:t>
      </w:r>
      <w:r w:rsidR="004F40B1" w:rsidRPr="00115BF8">
        <w:t>e personnes</w:t>
      </w:r>
      <w:r w:rsidR="009F5029" w:rsidRPr="00115BF8">
        <w:t xml:space="preserve"> extérieur</w:t>
      </w:r>
      <w:r w:rsidR="004F40B1" w:rsidRPr="00115BF8">
        <w:t>e</w:t>
      </w:r>
      <w:r w:rsidR="009F5029" w:rsidRPr="00115BF8">
        <w:t>s</w:t>
      </w:r>
      <w:r w:rsidR="00746F2C" w:rsidRPr="00115BF8">
        <w:t xml:space="preserve">. </w:t>
      </w:r>
      <w:r w:rsidR="000A5F6F">
        <w:t xml:space="preserve">Cette </w:t>
      </w:r>
      <w:r w:rsidR="00153D9D">
        <w:t>exigence érige</w:t>
      </w:r>
      <w:r w:rsidR="005918DF">
        <w:t xml:space="preserve"> donc</w:t>
      </w:r>
      <w:r w:rsidR="00746F2C" w:rsidRPr="00115BF8">
        <w:t xml:space="preserve"> les organisations en garantes du comportement de leurs membres, ce qui s’apparente, dans les faits, à une forme de responsabilité collective</w:t>
      </w:r>
      <w:r w:rsidR="007008EF">
        <w:t xml:space="preserve"> qui fait p</w:t>
      </w:r>
      <w:r w:rsidR="009927F5">
        <w:t>eser sur</w:t>
      </w:r>
      <w:r w:rsidR="00917120">
        <w:t xml:space="preserve"> elles</w:t>
      </w:r>
      <w:r w:rsidR="006D6698">
        <w:t xml:space="preserve"> une charge </w:t>
      </w:r>
      <w:r w:rsidR="00C10D7D">
        <w:t xml:space="preserve">particulièrement </w:t>
      </w:r>
      <w:r w:rsidR="001C3D96">
        <w:t>lourde</w:t>
      </w:r>
      <w:r w:rsidR="00397057">
        <w:t>.</w:t>
      </w:r>
      <w:r w:rsidR="001C3D96">
        <w:t xml:space="preserve"> Elle</w:t>
      </w:r>
      <w:r w:rsidR="0016501C">
        <w:t xml:space="preserve"> est </w:t>
      </w:r>
      <w:r w:rsidR="0016501C" w:rsidRPr="00115BF8">
        <w:t>en outre susceptible de produire un effet dissuasif sur l’exercice de cette liberté en ce qu’elle implique</w:t>
      </w:r>
      <w:r w:rsidR="00FD4C92">
        <w:t xml:space="preserve"> </w:t>
      </w:r>
      <w:r w:rsidR="0016501C" w:rsidRPr="00115BF8">
        <w:t xml:space="preserve">un contrôle permanent </w:t>
      </w:r>
      <w:r w:rsidR="00824015">
        <w:t>de</w:t>
      </w:r>
      <w:r w:rsidR="009A7BEC">
        <w:t xml:space="preserve"> la part des</w:t>
      </w:r>
      <w:r w:rsidR="00824015">
        <w:t xml:space="preserve"> organisations, qui nécessite par ailleurs la mobilisation de mo</w:t>
      </w:r>
      <w:r w:rsidR="00BB69EC">
        <w:t xml:space="preserve">yens humains et matériels, </w:t>
      </w:r>
      <w:r w:rsidR="0016501C" w:rsidRPr="00115BF8">
        <w:t>ainsi qu’une intervention rapide des dirigeants</w:t>
      </w:r>
      <w:r w:rsidR="00CF5736">
        <w:t xml:space="preserve"> </w:t>
      </w:r>
      <w:r w:rsidR="00D41038">
        <w:t>qui</w:t>
      </w:r>
      <w:r w:rsidR="006036B4">
        <w:t xml:space="preserve"> </w:t>
      </w:r>
      <w:r w:rsidR="008567EC">
        <w:t xml:space="preserve">détourne </w:t>
      </w:r>
      <w:r w:rsidR="00256BD4">
        <w:t>les associations e</w:t>
      </w:r>
      <w:r w:rsidR="003D5DBE">
        <w:t>t groupements de leu</w:t>
      </w:r>
      <w:r w:rsidR="0003797B">
        <w:t>r activit</w:t>
      </w:r>
      <w:r w:rsidR="00D4646D">
        <w:t>é</w:t>
      </w:r>
      <w:r w:rsidR="00035A35">
        <w:t xml:space="preserve"> principale</w:t>
      </w:r>
      <w:r w:rsidR="00950EAA">
        <w:t>.</w:t>
      </w:r>
      <w:r w:rsidR="006036B4">
        <w:br/>
      </w:r>
    </w:p>
    <w:p w14:paraId="7074199A" w14:textId="0D7789AF" w:rsidR="00C17F8A" w:rsidRPr="00891596" w:rsidRDefault="00950EAA" w:rsidP="004C58EB">
      <w:pPr>
        <w:jc w:val="both"/>
        <w:rPr>
          <w:u w:val="single"/>
        </w:rPr>
      </w:pPr>
      <w:r w:rsidRPr="00891596">
        <w:rPr>
          <w:u w:val="single"/>
        </w:rPr>
        <w:t>Cette</w:t>
      </w:r>
      <w:r w:rsidR="008B456C" w:rsidRPr="00891596">
        <w:rPr>
          <w:u w:val="single"/>
        </w:rPr>
        <w:t xml:space="preserve"> nouvelle logique contrevient </w:t>
      </w:r>
      <w:r w:rsidR="00F40D4F" w:rsidRPr="00891596">
        <w:rPr>
          <w:u w:val="single"/>
        </w:rPr>
        <w:t xml:space="preserve">dès lors </w:t>
      </w:r>
      <w:r w:rsidR="008B456C" w:rsidRPr="00891596">
        <w:rPr>
          <w:u w:val="single"/>
        </w:rPr>
        <w:t>aux</w:t>
      </w:r>
      <w:r w:rsidR="00F40D4F" w:rsidRPr="00891596">
        <w:rPr>
          <w:u w:val="single"/>
        </w:rPr>
        <w:t xml:space="preserve"> paragraphes</w:t>
      </w:r>
      <w:r w:rsidR="008660FC" w:rsidRPr="00891596">
        <w:rPr>
          <w:u w:val="single"/>
        </w:rPr>
        <w:t xml:space="preserve"> </w:t>
      </w:r>
      <w:r w:rsidR="00F40D4F" w:rsidRPr="00891596">
        <w:rPr>
          <w:u w:val="single"/>
        </w:rPr>
        <w:t>n°33, n°34, n°35</w:t>
      </w:r>
      <w:r w:rsidR="00D130DF" w:rsidRPr="00891596">
        <w:rPr>
          <w:u w:val="single"/>
        </w:rPr>
        <w:t xml:space="preserve"> du Projet d’observation générale n°38 en ce </w:t>
      </w:r>
      <w:r w:rsidR="00B56817" w:rsidRPr="00891596">
        <w:rPr>
          <w:u w:val="single"/>
        </w:rPr>
        <w:t xml:space="preserve">qu’elle </w:t>
      </w:r>
      <w:r w:rsidR="00DA2298" w:rsidRPr="00891596">
        <w:rPr>
          <w:u w:val="single"/>
        </w:rPr>
        <w:t>constitue un</w:t>
      </w:r>
      <w:r w:rsidR="008660FC" w:rsidRPr="00891596">
        <w:rPr>
          <w:u w:val="single"/>
        </w:rPr>
        <w:t xml:space="preserve"> obstacle </w:t>
      </w:r>
      <w:r w:rsidR="00210FA8" w:rsidRPr="00891596">
        <w:rPr>
          <w:u w:val="single"/>
        </w:rPr>
        <w:t>à un environnement propice à la jouissance et à l’exercice du droit à la liberté d’association</w:t>
      </w:r>
      <w:r w:rsidR="00895A1D" w:rsidRPr="00891596">
        <w:rPr>
          <w:u w:val="single"/>
        </w:rPr>
        <w:t xml:space="preserve"> et au fonctionnement </w:t>
      </w:r>
      <w:r w:rsidR="00960809" w:rsidRPr="00891596">
        <w:rPr>
          <w:u w:val="single"/>
        </w:rPr>
        <w:t>des organisations</w:t>
      </w:r>
      <w:r w:rsidR="00C17F8A" w:rsidRPr="00891596">
        <w:rPr>
          <w:u w:val="single"/>
        </w:rPr>
        <w:t xml:space="preserve">. </w:t>
      </w:r>
    </w:p>
    <w:p w14:paraId="3A9A35FA" w14:textId="03B40D28" w:rsidR="00E8360C" w:rsidRPr="00115BF8" w:rsidRDefault="00E8360C" w:rsidP="00044502">
      <w:pPr>
        <w:jc w:val="both"/>
      </w:pPr>
    </w:p>
    <w:p w14:paraId="518809C5" w14:textId="64346AB0" w:rsidR="00322D9A" w:rsidRPr="00115BF8" w:rsidRDefault="00AC00A3" w:rsidP="00044502">
      <w:pPr>
        <w:jc w:val="both"/>
        <w:rPr>
          <w:u w:val="single"/>
        </w:rPr>
      </w:pPr>
      <w:r w:rsidRPr="00115BF8">
        <w:rPr>
          <w:u w:val="single"/>
        </w:rPr>
        <w:t>II</w:t>
      </w:r>
      <w:r w:rsidR="00322D9A" w:rsidRPr="00115BF8">
        <w:rPr>
          <w:u w:val="single"/>
        </w:rPr>
        <w:t xml:space="preserve"> – L’</w:t>
      </w:r>
      <w:r w:rsidR="00EF4AD8" w:rsidRPr="00115BF8">
        <w:rPr>
          <w:u w:val="single"/>
        </w:rPr>
        <w:t>utilisation</w:t>
      </w:r>
      <w:r w:rsidR="00322D9A" w:rsidRPr="00115BF8">
        <w:rPr>
          <w:u w:val="single"/>
        </w:rPr>
        <w:t xml:space="preserve"> des techniques de renseignement </w:t>
      </w:r>
      <w:r w:rsidR="00EF4AD8" w:rsidRPr="00115BF8">
        <w:rPr>
          <w:u w:val="single"/>
        </w:rPr>
        <w:t>à l’occasion des dissolutions d’organisations</w:t>
      </w:r>
    </w:p>
    <w:p w14:paraId="67B28032" w14:textId="4C2EE6E4" w:rsidR="00864AC8" w:rsidRPr="00115BF8" w:rsidRDefault="00864AC8" w:rsidP="00044502">
      <w:pPr>
        <w:jc w:val="both"/>
        <w:rPr>
          <w:u w:val="single"/>
        </w:rPr>
      </w:pPr>
    </w:p>
    <w:p w14:paraId="4A57E95C" w14:textId="613A3CE6" w:rsidR="009A6B6F" w:rsidRPr="00115BF8" w:rsidRDefault="009A6B6F" w:rsidP="00044502">
      <w:pPr>
        <w:jc w:val="both"/>
      </w:pPr>
      <w:r w:rsidRPr="00115BF8">
        <w:t xml:space="preserve">La loi </w:t>
      </w:r>
      <w:r w:rsidR="009C0176" w:rsidRPr="00115BF8">
        <w:t xml:space="preserve">du 24 juillet 2015 </w:t>
      </w:r>
      <w:r w:rsidR="009C0176" w:rsidRPr="00115BF8">
        <w:rPr>
          <w:i/>
          <w:iCs/>
        </w:rPr>
        <w:t>relative au renseignement</w:t>
      </w:r>
      <w:r w:rsidR="009C0176" w:rsidRPr="00115BF8">
        <w:rPr>
          <w:rStyle w:val="Appelnotedebasdep"/>
          <w:i/>
          <w:iCs/>
        </w:rPr>
        <w:footnoteReference w:id="16"/>
      </w:r>
      <w:r w:rsidR="009C0176" w:rsidRPr="00115BF8">
        <w:rPr>
          <w:i/>
          <w:iCs/>
        </w:rPr>
        <w:t xml:space="preserve"> </w:t>
      </w:r>
      <w:r w:rsidR="009C0176" w:rsidRPr="00115BF8">
        <w:t xml:space="preserve">introduit la possibilité d’utiliser des méthodes de renseignement </w:t>
      </w:r>
      <w:r w:rsidR="0057235A" w:rsidRPr="00115BF8">
        <w:t xml:space="preserve">à l’occasion </w:t>
      </w:r>
      <w:r w:rsidR="002C4211" w:rsidRPr="00115BF8">
        <w:t xml:space="preserve">de la dissolution d’une organisation. </w:t>
      </w:r>
    </w:p>
    <w:p w14:paraId="542C32B7" w14:textId="04B2E7F4" w:rsidR="0057235A" w:rsidRPr="00115BF8" w:rsidRDefault="0057235A" w:rsidP="00044502">
      <w:pPr>
        <w:jc w:val="both"/>
      </w:pPr>
      <w:r w:rsidRPr="00115BF8">
        <w:t xml:space="preserve">L’article dispose que </w:t>
      </w:r>
      <w:r w:rsidR="00685B8E" w:rsidRPr="00115BF8">
        <w:t xml:space="preserve">les services spécialisés peuvent recourir aux techniques de renseignement prévues au titre V </w:t>
      </w:r>
      <w:r w:rsidR="008E5E1F" w:rsidRPr="00115BF8">
        <w:t xml:space="preserve">du livre </w:t>
      </w:r>
      <w:r w:rsidR="00743C4D" w:rsidRPr="00115BF8">
        <w:t>VIII</w:t>
      </w:r>
      <w:r w:rsidR="008E5E1F" w:rsidRPr="00115BF8">
        <w:t xml:space="preserve"> du C</w:t>
      </w:r>
      <w:r w:rsidR="002C4211" w:rsidRPr="00115BF8">
        <w:t>ode de la sécurité intérieure</w:t>
      </w:r>
      <w:r w:rsidR="008E5E1F" w:rsidRPr="00115BF8">
        <w:t xml:space="preserve"> pour </w:t>
      </w:r>
      <w:r w:rsidR="002C4211" w:rsidRPr="00115BF8">
        <w:t>« </w:t>
      </w:r>
      <w:r w:rsidR="008E5E1F" w:rsidRPr="00115BF8">
        <w:t>le recueil des renseignements relatifs à la défense et à la prom</w:t>
      </w:r>
      <w:r w:rsidR="00582338" w:rsidRPr="00115BF8">
        <w:t>oti</w:t>
      </w:r>
      <w:r w:rsidR="008E5E1F" w:rsidRPr="00115BF8">
        <w:t>on des intérêts fondamentaux de la Nation</w:t>
      </w:r>
      <w:r w:rsidR="002C4211" w:rsidRPr="00115BF8">
        <w:t> »,</w:t>
      </w:r>
      <w:r w:rsidR="00582338" w:rsidRPr="00115BF8">
        <w:t xml:space="preserve"> dont </w:t>
      </w:r>
      <w:r w:rsidR="00067E2F" w:rsidRPr="00115BF8">
        <w:t>la prévention des actions tendant au maintien ou à la reconstitution de groupements dissous en application de l’article L</w:t>
      </w:r>
      <w:r w:rsidR="008006F0">
        <w:t>.</w:t>
      </w:r>
      <w:r w:rsidR="00067E2F" w:rsidRPr="00115BF8">
        <w:t>212-1 du Code de la sécurité intérieure</w:t>
      </w:r>
      <w:r w:rsidR="002C4211" w:rsidRPr="00115BF8">
        <w:rPr>
          <w:rStyle w:val="Appelnotedebasdep"/>
        </w:rPr>
        <w:footnoteReference w:id="17"/>
      </w:r>
      <w:r w:rsidR="00067E2F" w:rsidRPr="00115BF8">
        <w:t xml:space="preserve">. </w:t>
      </w:r>
    </w:p>
    <w:p w14:paraId="0E68D99F" w14:textId="77777777" w:rsidR="00B71314" w:rsidRPr="00115BF8" w:rsidRDefault="00B71314" w:rsidP="00044502">
      <w:pPr>
        <w:jc w:val="both"/>
      </w:pPr>
    </w:p>
    <w:p w14:paraId="04ACCDA9" w14:textId="60F607AD" w:rsidR="00B71314" w:rsidRPr="00115BF8" w:rsidRDefault="00B71314" w:rsidP="00044502">
      <w:pPr>
        <w:jc w:val="both"/>
      </w:pPr>
      <w:r w:rsidRPr="00115BF8">
        <w:t xml:space="preserve">Ces techniques </w:t>
      </w:r>
      <w:r w:rsidR="00F30E82" w:rsidRPr="00115BF8">
        <w:t>comprennent des accès administratifs aux données de connexion</w:t>
      </w:r>
      <w:r w:rsidR="006660C6" w:rsidRPr="00115BF8">
        <w:t>, l’accès à la localisation des personnes, véhicules ou objets,</w:t>
      </w:r>
      <w:r w:rsidR="00F30E82" w:rsidRPr="00115BF8">
        <w:t xml:space="preserve"> des interceptions de sécurité</w:t>
      </w:r>
      <w:r w:rsidR="00732545" w:rsidRPr="00115BF8">
        <w:t xml:space="preserve"> de correspondances</w:t>
      </w:r>
      <w:r w:rsidR="00A82C3A" w:rsidRPr="00115BF8">
        <w:t xml:space="preserve"> émises par la voie électronique</w:t>
      </w:r>
      <w:r w:rsidR="006F7A40" w:rsidRPr="00115BF8">
        <w:t xml:space="preserve"> </w:t>
      </w:r>
      <w:r w:rsidR="00392703" w:rsidRPr="00115BF8">
        <w:t>ou empruntant la voie hertzienne</w:t>
      </w:r>
      <w:r w:rsidR="00F30E82" w:rsidRPr="00115BF8">
        <w:t>, la sonorisation des lieux</w:t>
      </w:r>
      <w:r w:rsidR="0080071E" w:rsidRPr="00115BF8">
        <w:t xml:space="preserve"> </w:t>
      </w:r>
      <w:r w:rsidR="00F30E82" w:rsidRPr="00115BF8">
        <w:t>et véhicules</w:t>
      </w:r>
      <w:r w:rsidR="008E6726" w:rsidRPr="00115BF8">
        <w:t xml:space="preserve"> et </w:t>
      </w:r>
      <w:r w:rsidR="00F30E82" w:rsidRPr="00115BF8">
        <w:t>la captation d’images et de données informatiques</w:t>
      </w:r>
      <w:r w:rsidR="00886AC5" w:rsidRPr="00115BF8">
        <w:t xml:space="preserve">. </w:t>
      </w:r>
    </w:p>
    <w:p w14:paraId="5C0BA883" w14:textId="77777777" w:rsidR="009A6B6F" w:rsidRPr="00115BF8" w:rsidRDefault="009A6B6F" w:rsidP="00044502">
      <w:pPr>
        <w:jc w:val="both"/>
      </w:pPr>
    </w:p>
    <w:p w14:paraId="374C220B" w14:textId="73A163A2" w:rsidR="00616663" w:rsidRPr="00115BF8" w:rsidRDefault="006016C8" w:rsidP="00044502">
      <w:pPr>
        <w:jc w:val="both"/>
      </w:pPr>
      <w:r>
        <w:t>Une</w:t>
      </w:r>
      <w:r w:rsidR="00746D88" w:rsidRPr="00115BF8">
        <w:t xml:space="preserve"> difficulté apparaît lorsque l’association dissoute obtient l’annulation du décret de dissolution devant le Conseil d’État. Dans sa décision </w:t>
      </w:r>
      <w:r w:rsidR="00746D88" w:rsidRPr="00115BF8">
        <w:rPr>
          <w:i/>
          <w:iCs/>
        </w:rPr>
        <w:t>Les Soulèvements de la Terre</w:t>
      </w:r>
      <w:r w:rsidR="00F363B5" w:rsidRPr="00115BF8">
        <w:rPr>
          <w:rStyle w:val="Appelnotedebasdep"/>
        </w:rPr>
        <w:footnoteReference w:id="18"/>
      </w:r>
      <w:r w:rsidR="00746D88" w:rsidRPr="00115BF8">
        <w:rPr>
          <w:i/>
          <w:iCs/>
        </w:rPr>
        <w:t xml:space="preserve">, </w:t>
      </w:r>
      <w:r w:rsidR="00E5770C" w:rsidRPr="00115BF8">
        <w:t xml:space="preserve">celui-ci a précisé que cette annulation n’emporte ni la suppression ni la cessation de l’exploitation </w:t>
      </w:r>
      <w:r w:rsidR="00731D4D" w:rsidRPr="00115BF8">
        <w:t xml:space="preserve">des données recueillies dans le cadre des techniques de renseignement mises en œuvre à l’occasion de la procédure de dissolution. Une organisation </w:t>
      </w:r>
      <w:r w:rsidR="00F94B2F" w:rsidRPr="00115BF8">
        <w:t>illégalement dissoute</w:t>
      </w:r>
      <w:r w:rsidR="00FD044E" w:rsidRPr="00115BF8">
        <w:t xml:space="preserve"> </w:t>
      </w:r>
      <w:r w:rsidR="00A27416" w:rsidRPr="00115BF8">
        <w:t xml:space="preserve">reste ainsi </w:t>
      </w:r>
      <w:r w:rsidR="00FD044E" w:rsidRPr="00115BF8">
        <w:t>exposée à des mesures de renseignement particulièrement intrusives</w:t>
      </w:r>
      <w:r w:rsidR="00A27416" w:rsidRPr="00115BF8">
        <w:t xml:space="preserve">, dont les effets perdurent </w:t>
      </w:r>
      <w:r w:rsidR="00B450F2" w:rsidRPr="00115BF8">
        <w:t>au-delà de l’annulation contentieuse</w:t>
      </w:r>
      <w:r w:rsidR="00163ECE" w:rsidRPr="00115BF8">
        <w:t>. Celle-ci</w:t>
      </w:r>
      <w:r w:rsidR="00616663" w:rsidRPr="00115BF8">
        <w:t xml:space="preserve"> ne restitue donc pas </w:t>
      </w:r>
      <w:r w:rsidR="00163ECE" w:rsidRPr="00115BF8">
        <w:t>pleinement</w:t>
      </w:r>
      <w:r w:rsidR="00616663" w:rsidRPr="00115BF8">
        <w:t xml:space="preserve"> l’organisation dans s</w:t>
      </w:r>
      <w:r w:rsidR="00016944" w:rsidRPr="00115BF8">
        <w:t>es</w:t>
      </w:r>
      <w:r w:rsidR="00616663" w:rsidRPr="00115BF8">
        <w:t xml:space="preserve"> droit</w:t>
      </w:r>
      <w:r w:rsidR="00016944" w:rsidRPr="00115BF8">
        <w:t>s</w:t>
      </w:r>
      <w:r w:rsidR="00F363B5" w:rsidRPr="00115BF8">
        <w:t xml:space="preserve"> et demeure sans effet sur les atteintes déjà portées à </w:t>
      </w:r>
      <w:r w:rsidR="00CC6843" w:rsidRPr="00115BF8">
        <w:t>sa</w:t>
      </w:r>
      <w:r w:rsidR="00F363B5" w:rsidRPr="00115BF8">
        <w:t xml:space="preserve"> vie </w:t>
      </w:r>
      <w:r w:rsidR="00016944" w:rsidRPr="00115BF8">
        <w:t xml:space="preserve">privée </w:t>
      </w:r>
      <w:r w:rsidR="00CC6843" w:rsidRPr="00115BF8">
        <w:t xml:space="preserve">ainsi qu’à celle de </w:t>
      </w:r>
      <w:r w:rsidR="00016944" w:rsidRPr="00115BF8">
        <w:t xml:space="preserve">ses membres. </w:t>
      </w:r>
    </w:p>
    <w:p w14:paraId="1D8F9836" w14:textId="77777777" w:rsidR="00C67C17" w:rsidRPr="00115BF8" w:rsidRDefault="00C67C17" w:rsidP="00044502">
      <w:pPr>
        <w:jc w:val="both"/>
      </w:pPr>
    </w:p>
    <w:p w14:paraId="46D32222" w14:textId="7027FDD5" w:rsidR="00B4742D" w:rsidRPr="00115BF8" w:rsidRDefault="00C67C17" w:rsidP="00044502">
      <w:pPr>
        <w:jc w:val="both"/>
      </w:pPr>
      <w:r w:rsidRPr="00115BF8">
        <w:t xml:space="preserve">Si la possibilité de former un recours aux fins de cessation de l’exploitation des données ainsi que leur suppression </w:t>
      </w:r>
      <w:r w:rsidR="005930C7" w:rsidRPr="00115BF8">
        <w:t>est indiquée par le Conseil d’État</w:t>
      </w:r>
      <w:r w:rsidR="00B30F9C">
        <w:rPr>
          <w:rStyle w:val="Appelnotedebasdep"/>
        </w:rPr>
        <w:footnoteReference w:id="19"/>
      </w:r>
      <w:r w:rsidR="005930C7" w:rsidRPr="00115BF8">
        <w:t xml:space="preserve">, </w:t>
      </w:r>
      <w:r w:rsidR="00B4742D" w:rsidRPr="00115BF8">
        <w:t xml:space="preserve">cette possibilité fait néanmoins peser </w:t>
      </w:r>
      <w:r w:rsidR="006A4B5D">
        <w:t>une</w:t>
      </w:r>
      <w:r w:rsidR="00B4742D" w:rsidRPr="00115BF8">
        <w:t xml:space="preserve"> charge procédurale </w:t>
      </w:r>
      <w:r w:rsidR="003D0485">
        <w:t xml:space="preserve">et </w:t>
      </w:r>
      <w:r w:rsidR="001D7D49">
        <w:t>financière</w:t>
      </w:r>
      <w:r w:rsidR="00B4742D" w:rsidRPr="00115BF8">
        <w:t xml:space="preserve"> </w:t>
      </w:r>
      <w:r w:rsidR="001D7D49">
        <w:t xml:space="preserve">supplémentaire </w:t>
      </w:r>
      <w:r w:rsidR="00B4742D" w:rsidRPr="00115BF8">
        <w:t>sur l’organisatio</w:t>
      </w:r>
      <w:r w:rsidR="00DC0B5D">
        <w:t>n</w:t>
      </w:r>
      <w:r w:rsidR="006E6695">
        <w:t xml:space="preserve">. Les </w:t>
      </w:r>
      <w:r w:rsidR="005856C4" w:rsidRPr="00115BF8">
        <w:t>données continuent</w:t>
      </w:r>
      <w:r w:rsidR="006E6695">
        <w:t xml:space="preserve"> par ailleurs</w:t>
      </w:r>
      <w:r w:rsidR="005856C4" w:rsidRPr="00115BF8">
        <w:t xml:space="preserve"> d’être exploitées jusqu’à la décision </w:t>
      </w:r>
      <w:r w:rsidR="00D81BAC" w:rsidRPr="00115BF8">
        <w:t>du</w:t>
      </w:r>
      <w:r w:rsidR="000018DE">
        <w:t xml:space="preserve"> juge administratif</w:t>
      </w:r>
      <w:r w:rsidR="006F422F">
        <w:t xml:space="preserve">, </w:t>
      </w:r>
      <w:r w:rsidR="00D81BAC" w:rsidRPr="00115BF8">
        <w:t xml:space="preserve">de sorte que les atteintes à la vie privée se prolongent pendant toute la durée de la nouvelle procédure. </w:t>
      </w:r>
    </w:p>
    <w:p w14:paraId="22D1B037" w14:textId="77777777" w:rsidR="00E90965" w:rsidRPr="00115BF8" w:rsidRDefault="00E90965" w:rsidP="00044502">
      <w:pPr>
        <w:jc w:val="both"/>
      </w:pPr>
    </w:p>
    <w:p w14:paraId="008DDDC8" w14:textId="2977FDC1" w:rsidR="00E90965" w:rsidRPr="00115BF8" w:rsidRDefault="00E90965" w:rsidP="00044502">
      <w:pPr>
        <w:jc w:val="both"/>
      </w:pPr>
      <w:r w:rsidRPr="00115BF8">
        <w:lastRenderedPageBreak/>
        <w:t xml:space="preserve">L’effectivité du recours </w:t>
      </w:r>
      <w:r w:rsidR="00E10CDB" w:rsidRPr="00115BF8">
        <w:t>doit ainsi être interrogé</w:t>
      </w:r>
      <w:r w:rsidR="00BD4091" w:rsidRPr="00115BF8">
        <w:t>e</w:t>
      </w:r>
      <w:r w:rsidR="00336962" w:rsidRPr="00115BF8">
        <w:t xml:space="preserve"> dès lors qu’il</w:t>
      </w:r>
      <w:r w:rsidR="00E10CDB" w:rsidRPr="00115BF8">
        <w:t xml:space="preserve"> ne permet pas </w:t>
      </w:r>
      <w:r w:rsidR="00BD4091" w:rsidRPr="00115BF8">
        <w:t>la réparation intégrale</w:t>
      </w:r>
      <w:r w:rsidR="00E10CDB" w:rsidRPr="00115BF8">
        <w:t xml:space="preserve"> des conséquences de la dissolution </w:t>
      </w:r>
      <w:r w:rsidR="00BD4091" w:rsidRPr="00115BF8">
        <w:t xml:space="preserve">illégale, </w:t>
      </w:r>
      <w:r w:rsidR="006350D7">
        <w:t>qui demeure</w:t>
      </w:r>
      <w:r w:rsidR="00F77928" w:rsidRPr="00115BF8">
        <w:t xml:space="preserve"> </w:t>
      </w:r>
      <w:r w:rsidR="00BD4091" w:rsidRPr="00115BF8">
        <w:t xml:space="preserve">subordonnée à l’engagement d’un contentieux </w:t>
      </w:r>
      <w:r w:rsidR="002730F2" w:rsidRPr="00115BF8">
        <w:t xml:space="preserve">distinct. </w:t>
      </w:r>
    </w:p>
    <w:p w14:paraId="674F74A5" w14:textId="77777777" w:rsidR="00E5770C" w:rsidRPr="00115BF8" w:rsidRDefault="00E5770C" w:rsidP="00044502">
      <w:pPr>
        <w:jc w:val="both"/>
      </w:pPr>
    </w:p>
    <w:p w14:paraId="664E986E" w14:textId="77777777" w:rsidR="009D7340" w:rsidRDefault="00431C35" w:rsidP="00044502">
      <w:pPr>
        <w:jc w:val="both"/>
      </w:pPr>
      <w:r w:rsidRPr="00115BF8">
        <w:t>Ce</w:t>
      </w:r>
      <w:r w:rsidR="00AA7914" w:rsidRPr="00115BF8">
        <w:t>tte situation</w:t>
      </w:r>
      <w:r w:rsidRPr="00115BF8">
        <w:t xml:space="preserve"> contrevient aux paragraphes n°30, n°33,</w:t>
      </w:r>
      <w:r w:rsidR="00957423" w:rsidRPr="00115BF8">
        <w:t xml:space="preserve"> n°34,</w:t>
      </w:r>
      <w:r w:rsidRPr="00115BF8">
        <w:t xml:space="preserve"> n°35</w:t>
      </w:r>
      <w:r w:rsidR="009A47BF" w:rsidRPr="00115BF8">
        <w:t xml:space="preserve">, n°39 </w:t>
      </w:r>
      <w:r w:rsidRPr="00115BF8">
        <w:t>et n°40 du Projet d’observation générale n°38</w:t>
      </w:r>
      <w:r w:rsidR="003620B2" w:rsidRPr="00115BF8">
        <w:t xml:space="preserve"> </w:t>
      </w:r>
      <w:r w:rsidR="009051AD" w:rsidRPr="00115BF8">
        <w:t xml:space="preserve">en ce qu’ils imposent, respectivement, </w:t>
      </w:r>
      <w:r w:rsidR="00EC5526" w:rsidRPr="00115BF8">
        <w:t>l’obligation pour les États parties de s’abstenir de restreindre le droit à la liberté d’association d’une manière qui serait incompatible avec l’article 22</w:t>
      </w:r>
      <w:r w:rsidR="00A15183" w:rsidRPr="00115BF8">
        <w:t>, notamment par des mesures de surveillance</w:t>
      </w:r>
      <w:r w:rsidR="00296C85" w:rsidRPr="00115BF8">
        <w:t xml:space="preserve"> susceptibles de faire obstacle à la pleine réalisation </w:t>
      </w:r>
      <w:r w:rsidR="00D41397" w:rsidRPr="00115BF8">
        <w:t xml:space="preserve">de ce droit et </w:t>
      </w:r>
      <w:r w:rsidR="00CC04C2" w:rsidRPr="00115BF8">
        <w:t>d’</w:t>
      </w:r>
      <w:r w:rsidR="00D41397" w:rsidRPr="00115BF8">
        <w:t>avoir un effet dissuasif sur son exercice</w:t>
      </w:r>
      <w:r w:rsidR="00AC7A0D" w:rsidRPr="00115BF8">
        <w:rPr>
          <w:rStyle w:val="Appelnotedebasdep"/>
        </w:rPr>
        <w:footnoteReference w:id="20"/>
      </w:r>
      <w:r w:rsidR="00502D57" w:rsidRPr="00115BF8">
        <w:t xml:space="preserve"> </w:t>
      </w:r>
      <w:r w:rsidR="00D41397" w:rsidRPr="00115BF8">
        <w:t xml:space="preserve">; </w:t>
      </w:r>
      <w:r w:rsidR="00444E5D" w:rsidRPr="00115BF8">
        <w:t>l’obligation positiv</w:t>
      </w:r>
      <w:r w:rsidR="00AC7A0D" w:rsidRPr="00115BF8">
        <w:t xml:space="preserve">e de créer un environnement propice </w:t>
      </w:r>
      <w:r w:rsidR="00DE22F0" w:rsidRPr="00115BF8">
        <w:t>à la jouissance et à l’exercice du droit à la liberté d’association</w:t>
      </w:r>
      <w:r w:rsidR="008B14A3" w:rsidRPr="00115BF8">
        <w:t xml:space="preserve">, notamment en facilitant </w:t>
      </w:r>
      <w:r w:rsidR="00500796" w:rsidRPr="00115BF8">
        <w:t>la mise en œuvre de ce droit en matière de liberté d’expression et de droit à la vie privée</w:t>
      </w:r>
      <w:r w:rsidR="00946F7B" w:rsidRPr="00115BF8">
        <w:rPr>
          <w:rStyle w:val="Appelnotedebasdep"/>
        </w:rPr>
        <w:footnoteReference w:id="21"/>
      </w:r>
      <w:r w:rsidR="00946F7B" w:rsidRPr="00115BF8">
        <w:t xml:space="preserve"> ; </w:t>
      </w:r>
      <w:r w:rsidR="00957423" w:rsidRPr="00115BF8">
        <w:t xml:space="preserve">l’obligation de garantir </w:t>
      </w:r>
      <w:r w:rsidR="00311DCF" w:rsidRPr="00115BF8">
        <w:t>l’existence d’un environnement propice au fonctionnement des associations</w:t>
      </w:r>
      <w:r w:rsidR="00A943DD" w:rsidRPr="00115BF8">
        <w:rPr>
          <w:rStyle w:val="Appelnotedebasdep"/>
        </w:rPr>
        <w:footnoteReference w:id="22"/>
      </w:r>
      <w:r w:rsidR="00A943DD" w:rsidRPr="00115BF8">
        <w:t xml:space="preserve"> ; </w:t>
      </w:r>
      <w:r w:rsidR="009A47BF" w:rsidRPr="00115BF8">
        <w:t>l’obligation</w:t>
      </w:r>
      <w:r w:rsidR="001407D8" w:rsidRPr="00115BF8">
        <w:t xml:space="preserve"> de garantir un recours effectif aux associations</w:t>
      </w:r>
      <w:r w:rsidR="00DD6116" w:rsidRPr="00115BF8">
        <w:t xml:space="preserve"> ainsi</w:t>
      </w:r>
      <w:r w:rsidR="00BA2835" w:rsidRPr="00115BF8">
        <w:t xml:space="preserve"> </w:t>
      </w:r>
      <w:r w:rsidR="00DD6116" w:rsidRPr="00115BF8">
        <w:t>qu’</w:t>
      </w:r>
      <w:r w:rsidR="00C35100" w:rsidRPr="00115BF8">
        <w:t>à leur accorder réparation en cas de violation de leurs droits</w:t>
      </w:r>
      <w:r w:rsidR="00DD6116" w:rsidRPr="00115BF8">
        <w:t xml:space="preserve"> ; enfin, </w:t>
      </w:r>
      <w:r w:rsidR="00C51252" w:rsidRPr="00115BF8">
        <w:t xml:space="preserve">l’obligation de garantir des recours efficaces en théorie et en pratique </w:t>
      </w:r>
      <w:r w:rsidR="00DB1E47" w:rsidRPr="00115BF8">
        <w:t>qui n’imposeraient pas des restrictions indues aux personnes concernées</w:t>
      </w:r>
      <w:r w:rsidR="00DB1E47" w:rsidRPr="00115BF8">
        <w:rPr>
          <w:rStyle w:val="Appelnotedebasdep"/>
        </w:rPr>
        <w:footnoteReference w:id="23"/>
      </w:r>
      <w:r w:rsidR="00DB1E47" w:rsidRPr="00115BF8">
        <w:t xml:space="preserve">. </w:t>
      </w:r>
    </w:p>
    <w:p w14:paraId="166F28D2" w14:textId="77777777" w:rsidR="009D7340" w:rsidRDefault="009D7340" w:rsidP="00044502">
      <w:pPr>
        <w:jc w:val="both"/>
      </w:pPr>
    </w:p>
    <w:p w14:paraId="49A6FF42" w14:textId="703AAF97" w:rsidR="004D7BB9" w:rsidRPr="00115BF8" w:rsidRDefault="00E56EBC" w:rsidP="00044502">
      <w:pPr>
        <w:jc w:val="both"/>
      </w:pPr>
      <w:r w:rsidRPr="009D7340">
        <w:rPr>
          <w:u w:val="single"/>
        </w:rPr>
        <w:t>À cet égard</w:t>
      </w:r>
      <w:r w:rsidR="00855994" w:rsidRPr="009D7340">
        <w:rPr>
          <w:u w:val="single"/>
        </w:rPr>
        <w:t xml:space="preserve"> et comme l’y invite </w:t>
      </w:r>
      <w:r w:rsidR="008F716F" w:rsidRPr="009D7340">
        <w:rPr>
          <w:u w:val="single"/>
        </w:rPr>
        <w:t xml:space="preserve">le paragraphe n°40, </w:t>
      </w:r>
      <w:r w:rsidR="00676F73" w:rsidRPr="009D7340">
        <w:rPr>
          <w:u w:val="single"/>
        </w:rPr>
        <w:t xml:space="preserve">une évolution du régime contentieux </w:t>
      </w:r>
      <w:r w:rsidR="000733EF" w:rsidRPr="009D7340">
        <w:rPr>
          <w:u w:val="single"/>
        </w:rPr>
        <w:t>pourrait être envisagé</w:t>
      </w:r>
      <w:r w:rsidR="008F716F" w:rsidRPr="009D7340">
        <w:rPr>
          <w:u w:val="single"/>
        </w:rPr>
        <w:t>e</w:t>
      </w:r>
      <w:r w:rsidR="00D5549D" w:rsidRPr="009D7340">
        <w:rPr>
          <w:u w:val="single"/>
        </w:rPr>
        <w:t xml:space="preserve"> </w:t>
      </w:r>
      <w:r w:rsidR="008F716F" w:rsidRPr="009D7340">
        <w:rPr>
          <w:u w:val="single"/>
        </w:rPr>
        <w:t xml:space="preserve">afin de </w:t>
      </w:r>
      <w:r w:rsidR="00D5549D" w:rsidRPr="009D7340">
        <w:rPr>
          <w:u w:val="single"/>
        </w:rPr>
        <w:t xml:space="preserve">prévoir </w:t>
      </w:r>
      <w:r w:rsidR="00855994" w:rsidRPr="009D7340">
        <w:rPr>
          <w:u w:val="single"/>
        </w:rPr>
        <w:t>que l’annulation d’un décret de dissolution entraîne de plein droit la cessation de l’exploitation des données recueillies ainsi que leur suppression.</w:t>
      </w:r>
      <w:r w:rsidR="00855994" w:rsidRPr="00115BF8">
        <w:t xml:space="preserve"> </w:t>
      </w:r>
    </w:p>
    <w:p w14:paraId="43536108" w14:textId="77777777" w:rsidR="00CA67C6" w:rsidRPr="00115BF8" w:rsidRDefault="00CA67C6" w:rsidP="00044502">
      <w:pPr>
        <w:jc w:val="both"/>
      </w:pPr>
    </w:p>
    <w:p w14:paraId="334B29CD" w14:textId="15391B2B" w:rsidR="00322D9A" w:rsidRPr="00115BF8" w:rsidRDefault="00AC00A3" w:rsidP="00044502">
      <w:pPr>
        <w:jc w:val="both"/>
        <w:rPr>
          <w:u w:val="single"/>
        </w:rPr>
      </w:pPr>
      <w:r w:rsidRPr="00115BF8">
        <w:rPr>
          <w:u w:val="single"/>
        </w:rPr>
        <w:t>III</w:t>
      </w:r>
      <w:r w:rsidR="00322D9A" w:rsidRPr="00115BF8">
        <w:rPr>
          <w:u w:val="single"/>
        </w:rPr>
        <w:t xml:space="preserve"> – </w:t>
      </w:r>
      <w:r w:rsidR="00A624A4">
        <w:rPr>
          <w:u w:val="single"/>
        </w:rPr>
        <w:t>L’utilisation</w:t>
      </w:r>
      <w:r w:rsidR="00322D9A" w:rsidRPr="00115BF8">
        <w:rPr>
          <w:u w:val="single"/>
        </w:rPr>
        <w:t xml:space="preserve"> des notes blanches </w:t>
      </w:r>
    </w:p>
    <w:p w14:paraId="5F4B1B4A" w14:textId="77777777" w:rsidR="009D3EC3" w:rsidRDefault="009D3EC3" w:rsidP="00044502">
      <w:pPr>
        <w:jc w:val="both"/>
      </w:pPr>
    </w:p>
    <w:p w14:paraId="799F4381" w14:textId="40C4F72C" w:rsidR="008E7CBF" w:rsidRDefault="008E7CBF" w:rsidP="00044502">
      <w:pPr>
        <w:jc w:val="both"/>
      </w:pPr>
      <w:r w:rsidRPr="008E7CBF">
        <w:t>L</w:t>
      </w:r>
      <w:r>
        <w:t>es</w:t>
      </w:r>
      <w:r w:rsidRPr="008E7CBF">
        <w:t xml:space="preserve"> décisio</w:t>
      </w:r>
      <w:r>
        <w:t>ns</w:t>
      </w:r>
      <w:r w:rsidRPr="008E7CBF">
        <w:t xml:space="preserve"> de dissolution </w:t>
      </w:r>
      <w:r>
        <w:t>sont</w:t>
      </w:r>
      <w:r w:rsidRPr="008E7CBF">
        <w:t xml:space="preserve"> </w:t>
      </w:r>
      <w:r>
        <w:t>également</w:t>
      </w:r>
      <w:r w:rsidRPr="008E7CBF">
        <w:t xml:space="preserve"> prise</w:t>
      </w:r>
      <w:r>
        <w:t>s</w:t>
      </w:r>
      <w:r w:rsidRPr="008E7CBF">
        <w:t xml:space="preserve"> </w:t>
      </w:r>
      <w:r>
        <w:t>en France en se fondant</w:t>
      </w:r>
      <w:r w:rsidRPr="008E7CBF">
        <w:t xml:space="preserve"> sur de</w:t>
      </w:r>
      <w:r>
        <w:t>s</w:t>
      </w:r>
      <w:r w:rsidRPr="008E7CBF">
        <w:t xml:space="preserve"> « notes blanches », c'est-à-dire d</w:t>
      </w:r>
      <w:r>
        <w:t xml:space="preserve">es </w:t>
      </w:r>
      <w:r w:rsidRPr="008E7CBF">
        <w:t xml:space="preserve">informations transmises </w:t>
      </w:r>
      <w:r w:rsidR="009D3EC3">
        <w:t xml:space="preserve">par les services de renseignement </w:t>
      </w:r>
      <w:r w:rsidRPr="008E7CBF">
        <w:t>dans des notes</w:t>
      </w:r>
      <w:r>
        <w:t xml:space="preserve"> </w:t>
      </w:r>
      <w:r w:rsidRPr="008E7CBF">
        <w:t>émises sans mention de leur origine, ni du service dont elles proviennent, ni du nom des fonctionnaires les ayant rédigées.</w:t>
      </w:r>
      <w:r>
        <w:t xml:space="preserve"> </w:t>
      </w:r>
    </w:p>
    <w:p w14:paraId="535BE96C" w14:textId="77777777" w:rsidR="008E7CBF" w:rsidRDefault="008E7CBF" w:rsidP="00044502">
      <w:pPr>
        <w:jc w:val="both"/>
      </w:pPr>
    </w:p>
    <w:p w14:paraId="2FF9F6E1" w14:textId="76445AB9" w:rsidR="008E7CBF" w:rsidRDefault="008E7CBF" w:rsidP="00044502">
      <w:pPr>
        <w:jc w:val="both"/>
      </w:pPr>
      <w:r w:rsidRPr="008E7CBF">
        <w:t>À l'instar de toutes les notes, une note blanche est d'abord un document ayant pour objet de transmettre des éléments d'information. L'adjonction du qualificatif « blanc » signifie que la note a été blanchie, c'est-à-dire expurgée des indications qui rendraient possible l'identification de son rédacteur, de ses sources et des techniques au moyen desquelle</w:t>
      </w:r>
      <w:r>
        <w:t xml:space="preserve">s </w:t>
      </w:r>
      <w:r w:rsidRPr="008E7CBF">
        <w:t>les renseignements qui y figurent ont été obtenus</w:t>
      </w:r>
      <w:r>
        <w:t xml:space="preserve">. </w:t>
      </w:r>
      <w:r w:rsidRPr="008E7CBF">
        <w:t xml:space="preserve">S'il peut être fait usage de ce type de document dans différents domaines où il importe que la provenance d'une information </w:t>
      </w:r>
      <w:r w:rsidR="00580B44">
        <w:t xml:space="preserve">– </w:t>
      </w:r>
      <w:r w:rsidRPr="008E7CBF">
        <w:t xml:space="preserve">généralement récoltée à l'insu d'une personne </w:t>
      </w:r>
      <w:r w:rsidR="00580B44">
        <w:t>–</w:t>
      </w:r>
      <w:r w:rsidRPr="008E7CBF">
        <w:t xml:space="preserve"> demeure confidentielle</w:t>
      </w:r>
      <w:r>
        <w:t xml:space="preserve">, </w:t>
      </w:r>
      <w:r w:rsidRPr="008E7CBF">
        <w:t xml:space="preserve">le recours aux notes blanches est principalement le propre des services de renseignement. Dans le cadre de la mission qui leur est désormais assignée par l'article L. 811-2 du code de la sécurité intérieure, à </w:t>
      </w:r>
      <w:r w:rsidRPr="008E7CBF">
        <w:rPr>
          <w:i/>
          <w:iCs/>
        </w:rPr>
        <w:t>savoir « la recherche, la collecte, l'exploitation et la mise à disposition du gouvernement des renseignements relatifs aux enjeux géopolitiques et stratégiques ainsi qu'aux menaces et aux risques susceptibles d'affecter la vie de la nation »</w:t>
      </w:r>
      <w:r w:rsidRPr="008E7CBF">
        <w:t>, les agents des services de</w:t>
      </w:r>
      <w:r w:rsidRPr="008E7CBF">
        <w:rPr>
          <w:b/>
          <w:bCs/>
        </w:rPr>
        <w:t xml:space="preserve"> </w:t>
      </w:r>
      <w:r w:rsidRPr="008E7CBF">
        <w:t>renseignement communiquent régulièrement des notes qui peuvent être blanchies afin de préserver le secret des sources.</w:t>
      </w:r>
      <w:r>
        <w:rPr>
          <w:rStyle w:val="Appelnotedebasdep"/>
        </w:rPr>
        <w:footnoteReference w:id="24"/>
      </w:r>
    </w:p>
    <w:p w14:paraId="22770955" w14:textId="77777777" w:rsidR="008E7CBF" w:rsidRDefault="008E7CBF" w:rsidP="00044502">
      <w:pPr>
        <w:jc w:val="both"/>
      </w:pPr>
    </w:p>
    <w:p w14:paraId="6CF51352" w14:textId="59C7337B" w:rsidR="008E7CBF" w:rsidRDefault="008E7CBF" w:rsidP="00044502">
      <w:pPr>
        <w:jc w:val="both"/>
      </w:pPr>
      <w:r w:rsidRPr="008E7CBF">
        <w:lastRenderedPageBreak/>
        <w:t>En droit</w:t>
      </w:r>
      <w:r>
        <w:t xml:space="preserve"> français</w:t>
      </w:r>
      <w:r w:rsidRPr="008E7CBF">
        <w:t>, l'usage de ces notes dans un procès est licite mais encadré. Le juge administratif accepte de les prendre en considération dès lors qu'elles sont précises, circonstanciées, soumises au débat contradictoire dans le cadre du procès et non sérieusement contestées par le requérant</w:t>
      </w:r>
      <w:r>
        <w:rPr>
          <w:rStyle w:val="Appelnotedebasdep"/>
        </w:rPr>
        <w:footnoteReference w:id="25"/>
      </w:r>
      <w:r>
        <w:t>.</w:t>
      </w:r>
    </w:p>
    <w:p w14:paraId="28E127B3" w14:textId="77777777" w:rsidR="008E7CBF" w:rsidRDefault="008E7CBF" w:rsidP="00044502">
      <w:pPr>
        <w:jc w:val="both"/>
      </w:pPr>
    </w:p>
    <w:p w14:paraId="42D86930" w14:textId="3ECBE6C2" w:rsidR="008E7CBF" w:rsidRDefault="009D3EC3" w:rsidP="00044502">
      <w:pPr>
        <w:jc w:val="both"/>
      </w:pPr>
      <w:r>
        <w:t xml:space="preserve">Ces </w:t>
      </w:r>
      <w:r w:rsidR="008E7CBF">
        <w:t xml:space="preserve">notes fondées sur des techniques de renseignement inconnues, </w:t>
      </w:r>
      <w:r w:rsidR="00086E2B">
        <w:t xml:space="preserve">dont l’auteur est caché, </w:t>
      </w:r>
      <w:r w:rsidR="008E7CBF">
        <w:t>au caractère lapidaire, sont fondamentalement imprécises, non circonstanciées : pourtant, elles fondent en partie des décisions</w:t>
      </w:r>
      <w:r w:rsidR="002C62AD">
        <w:t xml:space="preserve"> de dissolutions d’associations ou de groupements de faits. </w:t>
      </w:r>
    </w:p>
    <w:p w14:paraId="6B733A51" w14:textId="77777777" w:rsidR="002C62AD" w:rsidRDefault="002C62AD" w:rsidP="00044502">
      <w:pPr>
        <w:jc w:val="both"/>
      </w:pPr>
    </w:p>
    <w:p w14:paraId="5FFA7EBE" w14:textId="314A5510" w:rsidR="002C62AD" w:rsidRDefault="002C62AD" w:rsidP="00044502">
      <w:pPr>
        <w:jc w:val="both"/>
      </w:pPr>
      <w:r>
        <w:t>Par ailleurs, le critère de la contestation « sérieuse » d’une information dont l’origine ne peut être vérifiée, qui n’est fondée sur aucune preuve matérielle, est intrinsèquement inopérant. Il est requis des personnes visées de contester sérieusement des assertions invérifiables, des affirmations</w:t>
      </w:r>
      <w:r w:rsidR="00086E2B">
        <w:t xml:space="preserve"> non étayées.</w:t>
      </w:r>
    </w:p>
    <w:p w14:paraId="2C1F0DD3" w14:textId="77777777" w:rsidR="002C62AD" w:rsidRDefault="002C62AD" w:rsidP="00044502">
      <w:pPr>
        <w:jc w:val="both"/>
      </w:pPr>
    </w:p>
    <w:p w14:paraId="5400EF43" w14:textId="47DDEE70" w:rsidR="002C62AD" w:rsidRPr="00891596" w:rsidRDefault="002C62AD" w:rsidP="00044502">
      <w:pPr>
        <w:jc w:val="both"/>
        <w:rPr>
          <w:u w:val="single"/>
        </w:rPr>
      </w:pPr>
      <w:r w:rsidRPr="00891596">
        <w:rPr>
          <w:u w:val="single"/>
        </w:rPr>
        <w:t>Cet usage des notes blanches dans de nombreuses procédures en France</w:t>
      </w:r>
      <w:r w:rsidR="00086E2B" w:rsidRPr="00891596">
        <w:rPr>
          <w:rStyle w:val="Appelnotedebasdep"/>
          <w:u w:val="single"/>
        </w:rPr>
        <w:footnoteReference w:id="26"/>
      </w:r>
      <w:r w:rsidRPr="00891596">
        <w:rPr>
          <w:u w:val="single"/>
        </w:rPr>
        <w:t xml:space="preserve">, rentre en contradiction avec le paragraphe n°42 d’après lequel </w:t>
      </w:r>
      <w:r w:rsidRPr="00891596">
        <w:rPr>
          <w:i/>
          <w:iCs/>
          <w:u w:val="single"/>
        </w:rPr>
        <w:t xml:space="preserve">« toute restriction s’accompagne de garanties procédurales adéquates, y compris un examen préalable le cas échéant et un accès effectif à un contrôle judiciaire indépendant et impartial. » </w:t>
      </w:r>
      <w:r w:rsidRPr="00891596">
        <w:rPr>
          <w:u w:val="single"/>
        </w:rPr>
        <w:t>mais plus largement des exigences posées au paragraphe n°43.</w:t>
      </w:r>
      <w:r w:rsidR="00086E2B" w:rsidRPr="00891596">
        <w:rPr>
          <w:u w:val="single"/>
        </w:rPr>
        <w:t xml:space="preserve"> Les preuves sur lesquelles se fondent les restrictions à la liberté d’association doivent être reçues entièrement et non partiellement par les parties visées, elles doivent pouvoir être contestées autant sur le fond que sur la procédure employée : de fait l’usage des « notes blanches » ne garantit pas une procédure contradictoire et</w:t>
      </w:r>
      <w:r w:rsidR="009D7340" w:rsidRPr="00891596">
        <w:rPr>
          <w:u w:val="single"/>
        </w:rPr>
        <w:t xml:space="preserve"> un</w:t>
      </w:r>
      <w:r w:rsidR="00086E2B" w:rsidRPr="00891596">
        <w:rPr>
          <w:u w:val="single"/>
        </w:rPr>
        <w:t xml:space="preserve"> contrôle indépendant et impartial.</w:t>
      </w:r>
    </w:p>
    <w:p w14:paraId="5C2CD7B6" w14:textId="77777777" w:rsidR="008E7CBF" w:rsidRPr="00115BF8" w:rsidRDefault="008E7CBF" w:rsidP="00044502">
      <w:pPr>
        <w:jc w:val="both"/>
      </w:pPr>
    </w:p>
    <w:p w14:paraId="0FB5C0B7" w14:textId="77777777" w:rsidR="000E27CB" w:rsidRPr="00115BF8" w:rsidRDefault="000E27CB" w:rsidP="00044502">
      <w:pPr>
        <w:jc w:val="both"/>
      </w:pPr>
    </w:p>
    <w:p w14:paraId="4796FB23" w14:textId="7E0FAE05" w:rsidR="00322D9A" w:rsidRPr="00115BF8" w:rsidRDefault="00AC00A3" w:rsidP="00044502">
      <w:pPr>
        <w:jc w:val="both"/>
        <w:rPr>
          <w:u w:val="single"/>
        </w:rPr>
      </w:pPr>
      <w:r w:rsidRPr="00115BF8">
        <w:rPr>
          <w:u w:val="single"/>
        </w:rPr>
        <w:t>IV</w:t>
      </w:r>
      <w:r w:rsidR="00322D9A" w:rsidRPr="00115BF8">
        <w:rPr>
          <w:u w:val="single"/>
        </w:rPr>
        <w:t xml:space="preserve"> – </w:t>
      </w:r>
      <w:r w:rsidR="006400E0">
        <w:rPr>
          <w:u w:val="single"/>
        </w:rPr>
        <w:t>L’impr</w:t>
      </w:r>
      <w:r w:rsidR="00C74533">
        <w:rPr>
          <w:u w:val="single"/>
        </w:rPr>
        <w:t>é</w:t>
      </w:r>
      <w:r w:rsidR="006400E0">
        <w:rPr>
          <w:u w:val="single"/>
        </w:rPr>
        <w:t>cision</w:t>
      </w:r>
      <w:r w:rsidR="00C74533">
        <w:rPr>
          <w:u w:val="single"/>
        </w:rPr>
        <w:t xml:space="preserve"> des dispositions de l’article L.212-</w:t>
      </w:r>
      <w:r w:rsidR="00471C91">
        <w:rPr>
          <w:u w:val="single"/>
        </w:rPr>
        <w:t>1</w:t>
      </w:r>
      <w:r w:rsidR="00BA6D82">
        <w:rPr>
          <w:u w:val="single"/>
        </w:rPr>
        <w:t xml:space="preserve"> </w:t>
      </w:r>
      <w:r w:rsidR="00AA19CC">
        <w:rPr>
          <w:u w:val="single"/>
        </w:rPr>
        <w:t>alinéa 1</w:t>
      </w:r>
      <w:r w:rsidR="00AA19CC" w:rsidRPr="00AA19CC">
        <w:rPr>
          <w:u w:val="single"/>
          <w:vertAlign w:val="superscript"/>
        </w:rPr>
        <w:t>er</w:t>
      </w:r>
      <w:r w:rsidR="00BA6D82">
        <w:rPr>
          <w:u w:val="single"/>
        </w:rPr>
        <w:t xml:space="preserve"> du Code de la </w:t>
      </w:r>
      <w:r w:rsidR="00492B7F">
        <w:rPr>
          <w:u w:val="single"/>
        </w:rPr>
        <w:t>sécurité</w:t>
      </w:r>
      <w:r w:rsidR="00BA6D82">
        <w:rPr>
          <w:u w:val="single"/>
        </w:rPr>
        <w:t xml:space="preserve"> intérieure</w:t>
      </w:r>
    </w:p>
    <w:p w14:paraId="0F940C66" w14:textId="77777777" w:rsidR="00295168" w:rsidRPr="00115BF8" w:rsidRDefault="00295168" w:rsidP="00044502">
      <w:pPr>
        <w:jc w:val="both"/>
        <w:rPr>
          <w:u w:val="single"/>
        </w:rPr>
      </w:pPr>
    </w:p>
    <w:p w14:paraId="7C41EF95" w14:textId="587DD18F" w:rsidR="00EF5A27" w:rsidRDefault="00477C8D" w:rsidP="00044502">
      <w:pPr>
        <w:jc w:val="both"/>
        <w:rPr>
          <w:rStyle w:val="StrongEmphasis"/>
          <w:b w:val="0"/>
          <w:bCs w:val="0"/>
          <w:color w:val="000000"/>
        </w:rPr>
      </w:pPr>
      <w:r w:rsidRPr="00115BF8">
        <w:t>La loi du 24 aout 2021</w:t>
      </w:r>
      <w:r w:rsidR="00F96C8B">
        <w:rPr>
          <w:rStyle w:val="Appelnotedebasdep"/>
        </w:rPr>
        <w:footnoteReference w:id="27"/>
      </w:r>
      <w:r w:rsidRPr="00115BF8">
        <w:t xml:space="preserve"> </w:t>
      </w:r>
      <w:r w:rsidR="00C75F8A" w:rsidRPr="00115BF8">
        <w:t>a étendu le champ d’application du 1</w:t>
      </w:r>
      <w:r w:rsidR="00C75F8A" w:rsidRPr="00115BF8">
        <w:rPr>
          <w:vertAlign w:val="superscript"/>
        </w:rPr>
        <w:t>er</w:t>
      </w:r>
      <w:r w:rsidR="00C75F8A" w:rsidRPr="00115BF8">
        <w:t xml:space="preserve"> alinéa de l’article L</w:t>
      </w:r>
      <w:r w:rsidR="008006F0">
        <w:t>.</w:t>
      </w:r>
      <w:r w:rsidR="00C75F8A" w:rsidRPr="00115BF8">
        <w:t>212-1 du Code de la sécurité intérieure</w:t>
      </w:r>
      <w:r w:rsidR="00F96C8B">
        <w:t xml:space="preserve"> </w:t>
      </w:r>
      <w:r w:rsidR="00C75F8A" w:rsidRPr="00115BF8">
        <w:t>en prévoyant la possibilité de dissoudre des associations ou groupements qui provoqueraient « à des agissements violents à l’encontre des personnes ou des biens ».</w:t>
      </w:r>
      <w:r w:rsidR="00F96C8B">
        <w:t xml:space="preserve"> </w:t>
      </w:r>
      <w:r w:rsidR="0014469C" w:rsidRPr="00115BF8">
        <w:t>La notion de provocation recouvre deux acceptions distinctes : la provocation explicite et la provocation implicite</w:t>
      </w:r>
      <w:r w:rsidR="009835C5" w:rsidRPr="00115BF8">
        <w:rPr>
          <w:rStyle w:val="Appelnotedebasdep"/>
        </w:rPr>
        <w:footnoteReference w:id="28"/>
      </w:r>
      <w:r w:rsidR="0014469C" w:rsidRPr="00115BF8">
        <w:t xml:space="preserve">. Cette interprétation </w:t>
      </w:r>
      <w:r w:rsidR="001E563F" w:rsidRPr="00115BF8">
        <w:t xml:space="preserve">confère à l’autorité administrative une marge d’appréciation particulièrement étendue </w:t>
      </w:r>
      <w:r w:rsidR="002C3837">
        <w:t xml:space="preserve">et </w:t>
      </w:r>
      <w:r w:rsidR="0097400D" w:rsidRPr="00115BF8">
        <w:t xml:space="preserve">permet </w:t>
      </w:r>
      <w:r w:rsidR="006C75D2">
        <w:t xml:space="preserve">par </w:t>
      </w:r>
      <w:r w:rsidR="005A5C00">
        <w:t xml:space="preserve">conséquent </w:t>
      </w:r>
      <w:r w:rsidR="0097400D" w:rsidRPr="00115BF8">
        <w:t xml:space="preserve">de dissoudre une organisation sans qu’elle ait expressément appelé à la commission d’agissements violents. </w:t>
      </w:r>
      <w:r w:rsidR="00C7731C" w:rsidRPr="00115BF8">
        <w:t>Depuis son entrée en vigueur, ce nouveau fondement est régulièrement mobilisé pour justifier des dissolutions</w:t>
      </w:r>
      <w:r w:rsidR="00373AA2">
        <w:t>,</w:t>
      </w:r>
      <w:r w:rsidR="00C7731C" w:rsidRPr="00115BF8">
        <w:t xml:space="preserve"> en raison notamment de l</w:t>
      </w:r>
      <w:r w:rsidR="00781CBA">
        <w:t>a largesse</w:t>
      </w:r>
      <w:r w:rsidR="00C7731C" w:rsidRPr="00115BF8">
        <w:t xml:space="preserve"> des notions « d’agissements » et de « provocation</w:t>
      </w:r>
      <w:r w:rsidR="00FC7B0B">
        <w:t> » qui</w:t>
      </w:r>
      <w:r w:rsidR="00781CBA">
        <w:t xml:space="preserve"> </w:t>
      </w:r>
      <w:r w:rsidR="00817C6F">
        <w:t xml:space="preserve">peuvent </w:t>
      </w:r>
      <w:r w:rsidR="00FE05C9">
        <w:t xml:space="preserve">dès lors </w:t>
      </w:r>
      <w:r w:rsidR="00817C6F">
        <w:t xml:space="preserve">être </w:t>
      </w:r>
      <w:r w:rsidR="00316A73">
        <w:t>appliquées</w:t>
      </w:r>
      <w:r w:rsidR="00FC7B0B">
        <w:t xml:space="preserve"> </w:t>
      </w:r>
      <w:r w:rsidR="003475F3">
        <w:t>à</w:t>
      </w:r>
      <w:r w:rsidR="0029220C">
        <w:t xml:space="preserve"> </w:t>
      </w:r>
      <w:r w:rsidR="00380C05">
        <w:t xml:space="preserve">des situations extrêmement diverses. </w:t>
      </w:r>
      <w:r w:rsidR="00D41276">
        <w:t xml:space="preserve">Par exemple, </w:t>
      </w:r>
      <w:r w:rsidR="00A0009F">
        <w:t>ont</w:t>
      </w:r>
      <w:r w:rsidR="00775DAF">
        <w:t xml:space="preserve"> pu être considéré</w:t>
      </w:r>
      <w:r w:rsidR="00C97BDE">
        <w:t xml:space="preserve">s </w:t>
      </w:r>
      <w:r w:rsidR="00775DAF">
        <w:t xml:space="preserve">comme constituant </w:t>
      </w:r>
      <w:r w:rsidR="00C97BDE">
        <w:t xml:space="preserve">des provocations </w:t>
      </w:r>
      <w:r w:rsidR="00D42A92">
        <w:t xml:space="preserve">la </w:t>
      </w:r>
      <w:r w:rsidR="00D42191">
        <w:t>non-modération</w:t>
      </w:r>
      <w:r w:rsidR="00D42A92">
        <w:t xml:space="preserve"> de commentaires qui incitent explicitement à commettre des actes de violences</w:t>
      </w:r>
      <w:r w:rsidR="00775DAF">
        <w:rPr>
          <w:rStyle w:val="Appelnotedebasdep"/>
          <w:color w:val="000000"/>
        </w:rPr>
        <w:footnoteReference w:id="29"/>
      </w:r>
      <w:r w:rsidR="00D42A92">
        <w:t>,</w:t>
      </w:r>
      <w:r w:rsidR="002702FF">
        <w:t xml:space="preserve"> le fait</w:t>
      </w:r>
      <w:r w:rsidR="00B97212">
        <w:t xml:space="preserve"> de légitimer publiquement des</w:t>
      </w:r>
      <w:r w:rsidR="00EF5A27">
        <w:rPr>
          <w:rStyle w:val="StrongEmphasis"/>
          <w:b w:val="0"/>
          <w:bCs w:val="0"/>
          <w:color w:val="000000"/>
        </w:rPr>
        <w:t xml:space="preserve"> agissements violent</w:t>
      </w:r>
      <w:r w:rsidR="0082064B">
        <w:rPr>
          <w:rStyle w:val="StrongEmphasis"/>
          <w:b w:val="0"/>
          <w:bCs w:val="0"/>
          <w:color w:val="000000"/>
        </w:rPr>
        <w:t>s</w:t>
      </w:r>
      <w:r w:rsidR="0051407A">
        <w:rPr>
          <w:rStyle w:val="Appelnotedebasdep"/>
          <w:color w:val="000000"/>
        </w:rPr>
        <w:footnoteReference w:id="30"/>
      </w:r>
      <w:r w:rsidR="00EF5A27">
        <w:rPr>
          <w:rStyle w:val="StrongEmphasis"/>
          <w:b w:val="0"/>
          <w:bCs w:val="0"/>
          <w:color w:val="000000"/>
        </w:rPr>
        <w:t xml:space="preserve">, </w:t>
      </w:r>
      <w:r w:rsidR="008F5F37">
        <w:rPr>
          <w:rStyle w:val="StrongEmphasis"/>
          <w:b w:val="0"/>
          <w:bCs w:val="0"/>
          <w:color w:val="000000"/>
        </w:rPr>
        <w:t>de relayer sur les réseaux sociaux du contenu provenant d’autres organisations qui incitent à des agissements violents</w:t>
      </w:r>
      <w:r w:rsidR="007D6DF3">
        <w:rPr>
          <w:rStyle w:val="Appelnotedebasdep"/>
          <w:color w:val="000000"/>
        </w:rPr>
        <w:footnoteReference w:id="31"/>
      </w:r>
      <w:r w:rsidR="008F5F37">
        <w:rPr>
          <w:rStyle w:val="StrongEmphasis"/>
          <w:b w:val="0"/>
          <w:bCs w:val="0"/>
          <w:color w:val="000000"/>
        </w:rPr>
        <w:t xml:space="preserve">, </w:t>
      </w:r>
      <w:r w:rsidR="00463BA2">
        <w:rPr>
          <w:rStyle w:val="StrongEmphasis"/>
          <w:b w:val="0"/>
          <w:bCs w:val="0"/>
          <w:color w:val="000000"/>
        </w:rPr>
        <w:t xml:space="preserve">de relayer </w:t>
      </w:r>
      <w:r w:rsidR="00851D55">
        <w:rPr>
          <w:rStyle w:val="StrongEmphasis"/>
          <w:b w:val="0"/>
          <w:bCs w:val="0"/>
          <w:color w:val="000000"/>
        </w:rPr>
        <w:t xml:space="preserve">régulièrement </w:t>
      </w:r>
      <w:r w:rsidR="00463BA2">
        <w:rPr>
          <w:rStyle w:val="StrongEmphasis"/>
          <w:b w:val="0"/>
          <w:bCs w:val="0"/>
          <w:color w:val="000000"/>
        </w:rPr>
        <w:t xml:space="preserve">sur les réseaux </w:t>
      </w:r>
      <w:r w:rsidR="00463BA2">
        <w:rPr>
          <w:rStyle w:val="StrongEmphasis"/>
          <w:b w:val="0"/>
          <w:bCs w:val="0"/>
          <w:color w:val="000000"/>
        </w:rPr>
        <w:lastRenderedPageBreak/>
        <w:t xml:space="preserve">des vidéos </w:t>
      </w:r>
      <w:r w:rsidR="00F92EDD">
        <w:rPr>
          <w:rStyle w:val="StrongEmphasis"/>
          <w:b w:val="0"/>
          <w:bCs w:val="0"/>
          <w:color w:val="000000"/>
        </w:rPr>
        <w:t>de</w:t>
      </w:r>
      <w:r w:rsidR="001F52CC">
        <w:rPr>
          <w:rStyle w:val="StrongEmphasis"/>
          <w:b w:val="0"/>
          <w:bCs w:val="0"/>
          <w:color w:val="000000"/>
        </w:rPr>
        <w:t xml:space="preserve">s photos et vidéos mettant en </w:t>
      </w:r>
      <w:r w:rsidR="00F92EDD">
        <w:rPr>
          <w:rStyle w:val="StrongEmphasis"/>
          <w:b w:val="0"/>
          <w:bCs w:val="0"/>
          <w:color w:val="000000"/>
        </w:rPr>
        <w:t>scène</w:t>
      </w:r>
      <w:r w:rsidR="001F52CC">
        <w:rPr>
          <w:rStyle w:val="StrongEmphasis"/>
          <w:b w:val="0"/>
          <w:bCs w:val="0"/>
          <w:color w:val="000000"/>
        </w:rPr>
        <w:t xml:space="preserve"> </w:t>
      </w:r>
      <w:r w:rsidR="00F92EDD">
        <w:rPr>
          <w:rStyle w:val="StrongEmphasis"/>
          <w:b w:val="0"/>
          <w:bCs w:val="0"/>
          <w:color w:val="000000"/>
        </w:rPr>
        <w:t>d</w:t>
      </w:r>
      <w:r w:rsidR="001F52CC">
        <w:rPr>
          <w:rStyle w:val="StrongEmphasis"/>
          <w:b w:val="0"/>
          <w:bCs w:val="0"/>
          <w:color w:val="000000"/>
        </w:rPr>
        <w:t xml:space="preserve">es </w:t>
      </w:r>
      <w:r w:rsidR="00F92EDD">
        <w:rPr>
          <w:rStyle w:val="StrongEmphasis"/>
          <w:b w:val="0"/>
          <w:bCs w:val="0"/>
          <w:color w:val="000000"/>
        </w:rPr>
        <w:t>émeutes</w:t>
      </w:r>
      <w:r w:rsidR="00557D01">
        <w:rPr>
          <w:rStyle w:val="StrongEmphasis"/>
          <w:b w:val="0"/>
          <w:bCs w:val="0"/>
          <w:color w:val="000000"/>
        </w:rPr>
        <w:t xml:space="preserve"> – </w:t>
      </w:r>
      <w:r w:rsidR="00233061">
        <w:rPr>
          <w:rStyle w:val="StrongEmphasis"/>
          <w:b w:val="0"/>
          <w:bCs w:val="0"/>
          <w:color w:val="000000"/>
        </w:rPr>
        <w:t>ces publications étant regardées comme appelant « au moins implicitement » à la commission de violences semblables</w:t>
      </w:r>
      <w:r w:rsidR="00670D23">
        <w:rPr>
          <w:rStyle w:val="Appelnotedebasdep"/>
          <w:color w:val="000000"/>
        </w:rPr>
        <w:footnoteReference w:id="32"/>
      </w:r>
      <w:r w:rsidR="00F0231F">
        <w:rPr>
          <w:rStyle w:val="StrongEmphasis"/>
          <w:b w:val="0"/>
          <w:bCs w:val="0"/>
          <w:color w:val="000000"/>
        </w:rPr>
        <w:t xml:space="preserve">. </w:t>
      </w:r>
    </w:p>
    <w:p w14:paraId="75FA3990" w14:textId="77777777" w:rsidR="007D6DF3" w:rsidRDefault="007D6DF3" w:rsidP="00044502">
      <w:pPr>
        <w:jc w:val="both"/>
        <w:rPr>
          <w:color w:val="000000"/>
        </w:rPr>
      </w:pPr>
    </w:p>
    <w:p w14:paraId="1772EEB5" w14:textId="687712CD" w:rsidR="00B76DE1" w:rsidRPr="00517652" w:rsidRDefault="00FD7854" w:rsidP="00044502">
      <w:pPr>
        <w:jc w:val="both"/>
        <w:rPr>
          <w:color w:val="000000"/>
        </w:rPr>
      </w:pPr>
      <w:r>
        <w:rPr>
          <w:color w:val="000000"/>
        </w:rPr>
        <w:t>Le mécanisme d’imputabilité de l’article L</w:t>
      </w:r>
      <w:r w:rsidR="008006F0">
        <w:rPr>
          <w:color w:val="000000"/>
        </w:rPr>
        <w:t>.</w:t>
      </w:r>
      <w:r>
        <w:rPr>
          <w:color w:val="000000"/>
        </w:rPr>
        <w:t xml:space="preserve">212-1-1 du Code de la sécurité intérieure </w:t>
      </w:r>
      <w:r w:rsidR="00B76DE1">
        <w:rPr>
          <w:color w:val="000000"/>
        </w:rPr>
        <w:t xml:space="preserve">conduit </w:t>
      </w:r>
      <w:r w:rsidR="002B5591">
        <w:rPr>
          <w:color w:val="000000"/>
        </w:rPr>
        <w:t>là aussi</w:t>
      </w:r>
      <w:r w:rsidR="00615F4C">
        <w:rPr>
          <w:color w:val="000000"/>
        </w:rPr>
        <w:t xml:space="preserve"> </w:t>
      </w:r>
      <w:r w:rsidR="00B76DE1">
        <w:rPr>
          <w:color w:val="000000"/>
        </w:rPr>
        <w:t>à</w:t>
      </w:r>
      <w:r w:rsidR="00BC5783">
        <w:rPr>
          <w:color w:val="000000"/>
        </w:rPr>
        <w:t xml:space="preserve"> considérer </w:t>
      </w:r>
      <w:r w:rsidR="00B76DE1">
        <w:rPr>
          <w:color w:val="000000"/>
        </w:rPr>
        <w:t xml:space="preserve">que l’absence de modération </w:t>
      </w:r>
      <w:r w:rsidR="00353B59">
        <w:rPr>
          <w:color w:val="000000"/>
        </w:rPr>
        <w:t xml:space="preserve">de commentaires appelant à la violence peut, à elle seule, caractériser une provocation à des agissements violents à l’encontre des personnes ou des biens. </w:t>
      </w:r>
      <w:r w:rsidR="00E132F5">
        <w:rPr>
          <w:color w:val="000000"/>
        </w:rPr>
        <w:t xml:space="preserve">Il repose </w:t>
      </w:r>
      <w:r w:rsidR="00A55DC8">
        <w:rPr>
          <w:color w:val="000000"/>
        </w:rPr>
        <w:t xml:space="preserve">ainsi </w:t>
      </w:r>
      <w:r w:rsidR="00E132F5">
        <w:rPr>
          <w:color w:val="000000"/>
        </w:rPr>
        <w:t xml:space="preserve">sur l’idée </w:t>
      </w:r>
      <w:r w:rsidR="00893E49">
        <w:rPr>
          <w:color w:val="000000"/>
        </w:rPr>
        <w:t xml:space="preserve">d’une </w:t>
      </w:r>
      <w:r w:rsidR="00AA690F">
        <w:rPr>
          <w:color w:val="000000"/>
        </w:rPr>
        <w:t xml:space="preserve">certaine </w:t>
      </w:r>
      <w:r w:rsidR="00893E49">
        <w:rPr>
          <w:color w:val="000000"/>
        </w:rPr>
        <w:t>performativité d</w:t>
      </w:r>
      <w:r w:rsidR="00AA690F">
        <w:rPr>
          <w:color w:val="000000"/>
        </w:rPr>
        <w:t>e</w:t>
      </w:r>
      <w:r w:rsidR="00A55DC8">
        <w:rPr>
          <w:color w:val="000000"/>
        </w:rPr>
        <w:t xml:space="preserve">s </w:t>
      </w:r>
      <w:r w:rsidR="00AA690F">
        <w:rPr>
          <w:color w:val="000000"/>
        </w:rPr>
        <w:t xml:space="preserve">discours dont le maintien en ligne </w:t>
      </w:r>
      <w:r w:rsidR="00A55DC8">
        <w:rPr>
          <w:color w:val="000000"/>
        </w:rPr>
        <w:t xml:space="preserve">favoriserait le </w:t>
      </w:r>
      <w:r w:rsidR="00ED3016">
        <w:rPr>
          <w:color w:val="000000"/>
        </w:rPr>
        <w:t xml:space="preserve">passage à l’acte. </w:t>
      </w:r>
      <w:r w:rsidR="00CB400B">
        <w:t xml:space="preserve">Les organisations </w:t>
      </w:r>
      <w:r w:rsidR="004220FD">
        <w:t>doivent dès lors</w:t>
      </w:r>
      <w:r w:rsidR="000C3910">
        <w:t xml:space="preserve"> sans cesse </w:t>
      </w:r>
      <w:r w:rsidR="00CB400B">
        <w:t xml:space="preserve">adapter leur ligne éditoriale, modérer leurs publications et </w:t>
      </w:r>
      <w:r w:rsidR="000C3910">
        <w:t>s</w:t>
      </w:r>
      <w:r w:rsidR="00CB400B">
        <w:t xml:space="preserve">upprimer les contenus susceptibles d'être interprétés comme une approbation implicite de la violence, au risque de produire un effet d'autocensure sur l'expression de positions </w:t>
      </w:r>
      <w:r w:rsidR="0035198A">
        <w:t>contestataires</w:t>
      </w:r>
      <w:r w:rsidR="00CB400B">
        <w:t xml:space="preserve"> à l'égard </w:t>
      </w:r>
      <w:r w:rsidR="00D474B5">
        <w:t xml:space="preserve">de l’État. </w:t>
      </w:r>
      <w:r w:rsidR="00EF00CE">
        <w:t>Plus encore, cet impératif est imposé à toute forme d’organisation, sans une nécessaire prise en compte de leur taille et de leurs capacités organisationnelles.</w:t>
      </w:r>
    </w:p>
    <w:p w14:paraId="3861BC21" w14:textId="77777777" w:rsidR="00B76DE1" w:rsidRPr="00891596" w:rsidRDefault="00B76DE1" w:rsidP="00044502">
      <w:pPr>
        <w:jc w:val="both"/>
        <w:rPr>
          <w:color w:val="000000"/>
          <w:u w:val="single"/>
        </w:rPr>
      </w:pPr>
    </w:p>
    <w:p w14:paraId="5B7D257B" w14:textId="3EB98C8D" w:rsidR="009835C5" w:rsidRPr="00891596" w:rsidRDefault="00650ED4" w:rsidP="00044502">
      <w:pPr>
        <w:jc w:val="both"/>
        <w:rPr>
          <w:u w:val="single"/>
        </w:rPr>
      </w:pPr>
      <w:r w:rsidRPr="00891596">
        <w:rPr>
          <w:u w:val="single"/>
        </w:rPr>
        <w:t xml:space="preserve">L’imprécision des dispositions suscitées contrevient </w:t>
      </w:r>
      <w:r w:rsidR="00CE1096" w:rsidRPr="00891596">
        <w:rPr>
          <w:u w:val="single"/>
        </w:rPr>
        <w:t xml:space="preserve">par conséquent </w:t>
      </w:r>
      <w:r w:rsidRPr="00891596">
        <w:rPr>
          <w:u w:val="single"/>
        </w:rPr>
        <w:t xml:space="preserve">au paragraphe n°43 qui rappelle l’exigence </w:t>
      </w:r>
      <w:r w:rsidR="00491C48" w:rsidRPr="00891596">
        <w:rPr>
          <w:u w:val="single"/>
        </w:rPr>
        <w:t xml:space="preserve">de la condition de légalité, </w:t>
      </w:r>
      <w:r w:rsidR="006B26C9" w:rsidRPr="00891596">
        <w:rPr>
          <w:u w:val="single"/>
        </w:rPr>
        <w:t xml:space="preserve">qui </w:t>
      </w:r>
      <w:r w:rsidR="008D05EA" w:rsidRPr="00891596">
        <w:rPr>
          <w:u w:val="single"/>
        </w:rPr>
        <w:t>implique</w:t>
      </w:r>
      <w:r w:rsidR="002A0EA4" w:rsidRPr="00891596">
        <w:rPr>
          <w:u w:val="single"/>
        </w:rPr>
        <w:t xml:space="preserve"> notamment que la base juridique des restrictions au droit à la liberté d’association soit claire et précise</w:t>
      </w:r>
      <w:r w:rsidR="00D5334A" w:rsidRPr="00891596">
        <w:rPr>
          <w:u w:val="single"/>
        </w:rPr>
        <w:t xml:space="preserve">. En cela, des « définitions ouvertes » </w:t>
      </w:r>
      <w:r w:rsidR="00817910" w:rsidRPr="00891596">
        <w:rPr>
          <w:u w:val="single"/>
        </w:rPr>
        <w:t xml:space="preserve">contenues dans </w:t>
      </w:r>
      <w:r w:rsidR="00B170DE" w:rsidRPr="00891596">
        <w:rPr>
          <w:u w:val="single"/>
        </w:rPr>
        <w:t xml:space="preserve">une </w:t>
      </w:r>
      <w:r w:rsidR="00817910" w:rsidRPr="00891596">
        <w:rPr>
          <w:u w:val="single"/>
        </w:rPr>
        <w:t xml:space="preserve">loi fournissant la base pour la dissolution </w:t>
      </w:r>
      <w:r w:rsidR="00B170DE" w:rsidRPr="00891596">
        <w:rPr>
          <w:u w:val="single"/>
        </w:rPr>
        <w:t>d’une organisation</w:t>
      </w:r>
      <w:r w:rsidR="00BA15FD" w:rsidRPr="00891596">
        <w:rPr>
          <w:u w:val="single"/>
        </w:rPr>
        <w:t>,</w:t>
      </w:r>
      <w:r w:rsidR="00FF44AA" w:rsidRPr="00891596">
        <w:rPr>
          <w:u w:val="single"/>
        </w:rPr>
        <w:t xml:space="preserve"> telles que celles « d’agissements »</w:t>
      </w:r>
      <w:r w:rsidR="007B2805" w:rsidRPr="00891596">
        <w:rPr>
          <w:u w:val="single"/>
        </w:rPr>
        <w:t xml:space="preserve"> et de « provocation »</w:t>
      </w:r>
      <w:r w:rsidR="00736534" w:rsidRPr="00891596">
        <w:rPr>
          <w:u w:val="single"/>
        </w:rPr>
        <w:t>,</w:t>
      </w:r>
      <w:r w:rsidR="00B170DE" w:rsidRPr="00891596">
        <w:rPr>
          <w:u w:val="single"/>
        </w:rPr>
        <w:t xml:space="preserve"> ne peuvent satisfaire </w:t>
      </w:r>
      <w:r w:rsidR="00491C48" w:rsidRPr="00891596">
        <w:rPr>
          <w:u w:val="single"/>
        </w:rPr>
        <w:t xml:space="preserve">à la condition de </w:t>
      </w:r>
      <w:r w:rsidR="00B261B1" w:rsidRPr="00891596">
        <w:rPr>
          <w:u w:val="single"/>
        </w:rPr>
        <w:t xml:space="preserve">légalité. </w:t>
      </w:r>
    </w:p>
    <w:p w14:paraId="4583A359" w14:textId="2EA43B58" w:rsidR="00AC00A3" w:rsidRPr="00115BF8" w:rsidRDefault="00322D9A" w:rsidP="00044502">
      <w:pPr>
        <w:jc w:val="both"/>
        <w:rPr>
          <w:u w:val="single"/>
        </w:rPr>
      </w:pPr>
      <w:r w:rsidRPr="00115BF8">
        <w:rPr>
          <w:u w:val="single"/>
        </w:rPr>
        <w:br/>
      </w:r>
      <w:r w:rsidR="00AC00A3" w:rsidRPr="00115BF8">
        <w:rPr>
          <w:u w:val="single"/>
        </w:rPr>
        <w:t>V</w:t>
      </w:r>
      <w:r w:rsidRPr="00115BF8">
        <w:rPr>
          <w:u w:val="single"/>
        </w:rPr>
        <w:t xml:space="preserve"> – </w:t>
      </w:r>
      <w:r w:rsidR="00CC7CA2">
        <w:rPr>
          <w:u w:val="single"/>
        </w:rPr>
        <w:t>Le développement des dissolutions fondées sur des risques et non des atteintes</w:t>
      </w:r>
    </w:p>
    <w:p w14:paraId="0D0AD300" w14:textId="77777777" w:rsidR="00D80C66" w:rsidRDefault="00D80C66" w:rsidP="00044502">
      <w:pPr>
        <w:jc w:val="both"/>
        <w:rPr>
          <w:u w:val="single"/>
        </w:rPr>
      </w:pPr>
    </w:p>
    <w:p w14:paraId="0EC71EC6" w14:textId="2F607A18" w:rsidR="008D2597" w:rsidRPr="00115BF8" w:rsidRDefault="008D2597" w:rsidP="008D2597">
      <w:pPr>
        <w:jc w:val="both"/>
      </w:pPr>
      <w:r>
        <w:t>Les motivations des décrets de dissolutions, mais également des jurisprudence</w:t>
      </w:r>
      <w:r w:rsidR="007F6A0E">
        <w:t>s</w:t>
      </w:r>
      <w:r>
        <w:t xml:space="preserve"> rejetant les recours contre ces décisions, se fondent particulièrement non </w:t>
      </w:r>
      <w:r w:rsidR="0056433F">
        <w:t xml:space="preserve">sur </w:t>
      </w:r>
      <w:r>
        <w:t xml:space="preserve">des atteintes, ou des actes positifs commis par l’association visée, mais </w:t>
      </w:r>
      <w:r w:rsidR="0056433F">
        <w:t>sur</w:t>
      </w:r>
      <w:r>
        <w:t xml:space="preserve"> des risques résultant de relations – vérifiées, ou non – avec d’autres organisations. </w:t>
      </w:r>
      <w:r w:rsidR="00307A1C">
        <w:t>Ainsi, on peut lire dans la décision du Conseil d’État</w:t>
      </w:r>
      <w:r w:rsidR="003A0F47">
        <w:t xml:space="preserve"> </w:t>
      </w:r>
      <w:r w:rsidR="00307A1C">
        <w:t xml:space="preserve">sur la dissolution du </w:t>
      </w:r>
      <w:r w:rsidR="00307A1C" w:rsidRPr="00307A1C">
        <w:t xml:space="preserve">Collectif contre l'islamophobie en </w:t>
      </w:r>
      <w:r w:rsidR="00307A1C">
        <w:t xml:space="preserve">France : </w:t>
      </w:r>
      <w:r w:rsidR="00307A1C" w:rsidRPr="00307A1C">
        <w:rPr>
          <w:i/>
          <w:iCs/>
        </w:rPr>
        <w:t>« Le CCIF entretenait toujours, à la date du décret attaqué, des liens étroits avec des tenants d'un islamisme radical invitant à se soustraire à certaines lois de la République</w:t>
      </w:r>
      <w:r w:rsidR="009D3EC3" w:rsidRPr="009D3EC3">
        <w:t xml:space="preserve"> </w:t>
      </w:r>
      <w:r w:rsidR="00307A1C" w:rsidRPr="009D3EC3">
        <w:t>»</w:t>
      </w:r>
      <w:r w:rsidR="003A0F47" w:rsidRPr="003A0F47">
        <w:rPr>
          <w:rStyle w:val="Appelnotedebasdep"/>
        </w:rPr>
        <w:t xml:space="preserve"> </w:t>
      </w:r>
      <w:r w:rsidR="003A0F47">
        <w:rPr>
          <w:rStyle w:val="Appelnotedebasdep"/>
        </w:rPr>
        <w:footnoteReference w:id="33"/>
      </w:r>
      <w:r w:rsidR="003A0F47">
        <w:t xml:space="preserve"> .</w:t>
      </w:r>
      <w:r w:rsidR="00307A1C" w:rsidRPr="00307A1C">
        <w:rPr>
          <w:i/>
          <w:iCs/>
        </w:rPr>
        <w:t xml:space="preserve"> </w:t>
      </w:r>
    </w:p>
    <w:p w14:paraId="69686088" w14:textId="77777777" w:rsidR="008D598B" w:rsidRPr="00115BF8" w:rsidRDefault="008D598B" w:rsidP="00307A1C">
      <w:pPr>
        <w:jc w:val="both"/>
      </w:pPr>
    </w:p>
    <w:p w14:paraId="1FA4DA75" w14:textId="15A65799" w:rsidR="00AC00A3" w:rsidRPr="003A0F47" w:rsidRDefault="00307A1C" w:rsidP="00307A1C">
      <w:pPr>
        <w:jc w:val="both"/>
      </w:pPr>
      <w:r>
        <w:t xml:space="preserve">Cette motivation entre en contradiction avec le paragraphe n°46 du commentaire n°38 sur l’article 22, en ce qu’il indique que </w:t>
      </w:r>
      <w:r w:rsidRPr="00307A1C">
        <w:rPr>
          <w:i/>
          <w:iCs/>
        </w:rPr>
        <w:t>« </w:t>
      </w:r>
      <w:r w:rsidR="00EF00CE">
        <w:rPr>
          <w:i/>
          <w:iCs/>
        </w:rPr>
        <w:t>l</w:t>
      </w:r>
      <w:r w:rsidR="00AC00A3" w:rsidRPr="00307A1C">
        <w:rPr>
          <w:i/>
          <w:iCs/>
        </w:rPr>
        <w:t>’existence d’une justification raisonnable et objective pour limiter la liberté d’association n’est pas suffisante, et l’État partie doit en outre démontrer que l’interdiction d</w:t>
      </w:r>
      <w:r w:rsidR="003A0F47">
        <w:rPr>
          <w:i/>
          <w:iCs/>
        </w:rPr>
        <w:t>e</w:t>
      </w:r>
      <w:r w:rsidR="00AC00A3" w:rsidRPr="00307A1C">
        <w:rPr>
          <w:i/>
          <w:iCs/>
        </w:rPr>
        <w:t xml:space="preserve"> l’association et les poursuites pénales à l’encontre des individus pour leur appartenance de telles organisations sont en fait nécessaires pour écarter </w:t>
      </w:r>
      <w:r w:rsidR="00AC00A3" w:rsidRPr="00307A1C">
        <w:rPr>
          <w:b/>
          <w:bCs/>
          <w:i/>
          <w:iCs/>
          <w:u w:val="single"/>
        </w:rPr>
        <w:t>un danger réel, et non seulement hypothétique</w:t>
      </w:r>
      <w:r w:rsidR="00AC00A3" w:rsidRPr="00307A1C">
        <w:rPr>
          <w:i/>
          <w:iCs/>
        </w:rPr>
        <w:t>, pour la sécurité nationale ou l’ordre démocratique, et que des mesures moins intrusives seraient insuffisantes pour atteindre cet objectif</w:t>
      </w:r>
      <w:r w:rsidRPr="00307A1C">
        <w:rPr>
          <w:i/>
          <w:iCs/>
        </w:rPr>
        <w:t> </w:t>
      </w:r>
      <w:r w:rsidRPr="003A0F47">
        <w:t>»</w:t>
      </w:r>
      <w:r w:rsidR="003A0F47">
        <w:t xml:space="preserve"> [nous soulignons]. </w:t>
      </w:r>
    </w:p>
    <w:p w14:paraId="7EE86096" w14:textId="77777777" w:rsidR="00307A1C" w:rsidRDefault="00307A1C" w:rsidP="00307A1C">
      <w:pPr>
        <w:jc w:val="both"/>
      </w:pPr>
    </w:p>
    <w:p w14:paraId="38079CFF" w14:textId="086DA637" w:rsidR="00307A1C" w:rsidRDefault="00307A1C" w:rsidP="00307A1C">
      <w:pPr>
        <w:jc w:val="both"/>
      </w:pPr>
      <w:r>
        <w:t xml:space="preserve">Le motif reposant sur des liens </w:t>
      </w:r>
      <w:r w:rsidR="00EF00CE">
        <w:t xml:space="preserve">– avérés, ou non </w:t>
      </w:r>
      <w:r w:rsidR="003A0F47">
        <w:t xml:space="preserve">– </w:t>
      </w:r>
      <w:r>
        <w:t>est hypothétique et doit être considéré comme inopérant face à une restriction</w:t>
      </w:r>
      <w:r w:rsidR="00EF00CE">
        <w:t xml:space="preserve"> de</w:t>
      </w:r>
      <w:r>
        <w:t xml:space="preserve"> la liberté d’association.</w:t>
      </w:r>
    </w:p>
    <w:p w14:paraId="4F70E2F0" w14:textId="0FF214EC" w:rsidR="00EF00CE" w:rsidRDefault="00EF00CE" w:rsidP="00307A1C">
      <w:pPr>
        <w:jc w:val="both"/>
        <w:rPr>
          <w:i/>
          <w:iCs/>
        </w:rPr>
      </w:pPr>
      <w:r>
        <w:br/>
      </w:r>
      <w:r w:rsidR="00DE182F">
        <w:t>Par ailleurs, plusieurs organisations de luttes en soutien au peuple palestinien</w:t>
      </w:r>
      <w:r w:rsidR="00FB7F6B">
        <w:t>,</w:t>
      </w:r>
      <w:r w:rsidR="00DE182F">
        <w:t xml:space="preserve"> victime de colonisation et de crimes de guerre</w:t>
      </w:r>
      <w:r w:rsidR="00FB7F6B">
        <w:t>,</w:t>
      </w:r>
      <w:r w:rsidR="00DE182F">
        <w:t xml:space="preserve"> </w:t>
      </w:r>
      <w:r w:rsidR="003A0F47">
        <w:t>ont été visées</w:t>
      </w:r>
      <w:r w:rsidR="00DE182F">
        <w:t xml:space="preserve"> par des décrets de dissolution. Ces décrets sont fondés sur une incitation à la haine qui résulte en l’espèce des mots d’ordre de ces collectifs. Par exemple,</w:t>
      </w:r>
      <w:r>
        <w:t xml:space="preserve"> le décret de dissolution du groupement de fait « Collectif Palestine Vaincra »</w:t>
      </w:r>
      <w:r w:rsidR="00DE182F">
        <w:rPr>
          <w:rStyle w:val="Appelnotedebasdep"/>
        </w:rPr>
        <w:footnoteReference w:id="34"/>
      </w:r>
      <w:r>
        <w:t xml:space="preserve"> démontre</w:t>
      </w:r>
      <w:r w:rsidR="00DE182F">
        <w:t>, en ce sens,</w:t>
      </w:r>
      <w:r>
        <w:t xml:space="preserve"> l’extension des critères relatifs à l’incitation à la haine au sens </w:t>
      </w:r>
      <w:r>
        <w:lastRenderedPageBreak/>
        <w:t xml:space="preserve">de l’alinéa 6 de l’article L.212-1 du Code de la sécurité intérieure : </w:t>
      </w:r>
      <w:r w:rsidRPr="00EF00CE">
        <w:rPr>
          <w:i/>
          <w:iCs/>
        </w:rPr>
        <w:t>« il apparaît que, sous couvert de la défense du peuple palestinien, le CPV cultive le sentiment d'oppression des « peuples musulmans » face à ce qu'il présente comme « l'impérialisme et le sionisme mondial » et le « colonialisme » dans l'objectif de diffuser l'idée d'une islamophobie à l'échelle internationale, incite à la haine, à la discrimination et à la violence envers des personnes en raison de leur origine juive, cautionne les agissements d'organisations reconnues comme terroristes et y incite </w:t>
      </w:r>
      <w:r w:rsidRPr="00EF00CE">
        <w:t xml:space="preserve">(…) </w:t>
      </w:r>
      <w:r w:rsidRPr="003A0F47">
        <w:t>»</w:t>
      </w:r>
      <w:r w:rsidR="003A0F47">
        <w:rPr>
          <w:i/>
          <w:iCs/>
        </w:rPr>
        <w:t>.</w:t>
      </w:r>
      <w:r w:rsidR="00DE182F">
        <w:rPr>
          <w:i/>
          <w:iCs/>
        </w:rPr>
        <w:t xml:space="preserve"> </w:t>
      </w:r>
      <w:r w:rsidR="00DE182F">
        <w:t xml:space="preserve">Le Conseil d’État saisi d’un recours contre ce décret avait rejeté cette motivation : </w:t>
      </w:r>
      <w:r w:rsidR="00DE182F" w:rsidRPr="00DE182F">
        <w:rPr>
          <w:i/>
          <w:iCs/>
        </w:rPr>
        <w:t>« Si l'antisionisme militant du groupement ne le conduit pas à tenir lui-même des propos à caractère antisémite, et si ses prises de position n'excèdent pas, en tant que telles, les limites de la liberté d'expression garantie par l'article 10 de la convention européenne de sauvegarde des droits de l'homme et des libertés fondamentales </w:t>
      </w:r>
      <w:r w:rsidR="00DE182F" w:rsidRPr="003A0F47">
        <w:t>»</w:t>
      </w:r>
      <w:r w:rsidR="003A0F47" w:rsidRPr="003A0F47">
        <w:rPr>
          <w:rStyle w:val="Appelnotedebasdep"/>
        </w:rPr>
        <w:t xml:space="preserve"> </w:t>
      </w:r>
      <w:r w:rsidR="003A0F47">
        <w:rPr>
          <w:rStyle w:val="Appelnotedebasdep"/>
        </w:rPr>
        <w:footnoteReference w:id="35"/>
      </w:r>
      <w:r w:rsidR="003A0F47">
        <w:t>.</w:t>
      </w:r>
    </w:p>
    <w:p w14:paraId="0E96EF1F" w14:textId="77777777" w:rsidR="00307A1C" w:rsidRDefault="00307A1C" w:rsidP="00307A1C">
      <w:pPr>
        <w:jc w:val="both"/>
      </w:pPr>
    </w:p>
    <w:p w14:paraId="4F5BC205" w14:textId="26832D86" w:rsidR="00DE182F" w:rsidRPr="00891596" w:rsidRDefault="00DE182F" w:rsidP="00307A1C">
      <w:pPr>
        <w:jc w:val="both"/>
        <w:rPr>
          <w:u w:val="single"/>
        </w:rPr>
      </w:pPr>
      <w:r w:rsidRPr="00891596">
        <w:rPr>
          <w:u w:val="single"/>
        </w:rPr>
        <w:t>Il résulte de ce contrôle du juge administratif, que la décision prise était fondée sur une appréciation extensive du motif d’incitation à la haine, voire interprétative, qui rentrait en violation avec la protection de la liberté d’expression. De fait, il app</w:t>
      </w:r>
      <w:r w:rsidR="003A0F47" w:rsidRPr="00891596">
        <w:rPr>
          <w:u w:val="single"/>
        </w:rPr>
        <w:t>araît</w:t>
      </w:r>
      <w:r w:rsidRPr="00891596">
        <w:rPr>
          <w:u w:val="single"/>
        </w:rPr>
        <w:t xml:space="preserve"> que l’alinéa 6 de l’article L.212-1 du Code de la sécurité intérieure permet dans son actuelle rédaction une interprétation hypothétique des dangers sur lesquels sont fondés les restrictions de la liberté d’association. Il contrevient en ce sens au paragraphe n°46 précité.</w:t>
      </w:r>
    </w:p>
    <w:p w14:paraId="570E3CA1" w14:textId="77777777" w:rsidR="00CB4FB7" w:rsidRDefault="00CB4FB7" w:rsidP="00044502">
      <w:pPr>
        <w:jc w:val="both"/>
      </w:pPr>
    </w:p>
    <w:p w14:paraId="2B21277F" w14:textId="77777777" w:rsidR="00980EC8" w:rsidRDefault="00980EC8" w:rsidP="00044502">
      <w:pPr>
        <w:jc w:val="both"/>
      </w:pPr>
    </w:p>
    <w:p w14:paraId="20C06757" w14:textId="77777777" w:rsidR="00980EC8" w:rsidRDefault="00980EC8" w:rsidP="00044502">
      <w:pPr>
        <w:jc w:val="both"/>
      </w:pPr>
    </w:p>
    <w:p w14:paraId="6398E805" w14:textId="77777777" w:rsidR="00980EC8" w:rsidRDefault="00980EC8" w:rsidP="00044502">
      <w:pPr>
        <w:jc w:val="both"/>
      </w:pPr>
    </w:p>
    <w:p w14:paraId="25E2D083" w14:textId="3EDF67E1" w:rsidR="00980EC8" w:rsidRDefault="00980EC8" w:rsidP="00044502">
      <w:pPr>
        <w:jc w:val="both"/>
      </w:pPr>
      <w:r>
        <w:t xml:space="preserve">Juliette Guilbaud – Doctorante en droit public (Sujet de thèse : la dissolution administrative d’associations) – Université Paris Cité </w:t>
      </w:r>
    </w:p>
    <w:p w14:paraId="4F8269FE" w14:textId="77777777" w:rsidR="00427BAD" w:rsidRDefault="00427BAD" w:rsidP="00044502">
      <w:pPr>
        <w:jc w:val="both"/>
      </w:pPr>
    </w:p>
    <w:p w14:paraId="58C6569D" w14:textId="02F44835" w:rsidR="00980EC8" w:rsidRPr="00115BF8" w:rsidRDefault="00980EC8" w:rsidP="00044502">
      <w:pPr>
        <w:jc w:val="both"/>
      </w:pPr>
      <w:r>
        <w:t>Youri Krassoulia – Avocat au barreau de Paris</w:t>
      </w:r>
    </w:p>
    <w:sectPr w:rsidR="00980EC8" w:rsidRPr="00115BF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CFF4C4" w14:textId="77777777" w:rsidR="00AE5AA9" w:rsidRDefault="00AE5AA9" w:rsidP="009D4F55">
      <w:r>
        <w:separator/>
      </w:r>
    </w:p>
  </w:endnote>
  <w:endnote w:type="continuationSeparator" w:id="0">
    <w:p w14:paraId="21705C33" w14:textId="77777777" w:rsidR="00AE5AA9" w:rsidRDefault="00AE5AA9" w:rsidP="009D4F55">
      <w:r>
        <w:continuationSeparator/>
      </w:r>
    </w:p>
  </w:endnote>
  <w:endnote w:type="continuationNotice" w:id="1">
    <w:p w14:paraId="53A47DFF" w14:textId="77777777" w:rsidR="00AE5AA9" w:rsidRDefault="00AE5A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OpenSymbol">
    <w:altName w:val="Calibri"/>
    <w:panose1 w:val="020B0604020202020204"/>
    <w:charset w:val="00"/>
    <w:family w:val="auto"/>
    <w:pitch w:val="default"/>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536FEF" w14:textId="77777777" w:rsidR="00AE5AA9" w:rsidRDefault="00AE5AA9" w:rsidP="009D4F55">
      <w:r>
        <w:separator/>
      </w:r>
    </w:p>
  </w:footnote>
  <w:footnote w:type="continuationSeparator" w:id="0">
    <w:p w14:paraId="42D5B0CF" w14:textId="77777777" w:rsidR="00AE5AA9" w:rsidRDefault="00AE5AA9" w:rsidP="009D4F55">
      <w:r>
        <w:continuationSeparator/>
      </w:r>
    </w:p>
  </w:footnote>
  <w:footnote w:type="continuationNotice" w:id="1">
    <w:p w14:paraId="09B2C59A" w14:textId="77777777" w:rsidR="00AE5AA9" w:rsidRDefault="00AE5AA9"/>
  </w:footnote>
  <w:footnote w:id="2">
    <w:p w14:paraId="376BFC54" w14:textId="294229AC" w:rsidR="0077207D" w:rsidRPr="00276A0B" w:rsidRDefault="0077207D" w:rsidP="00276A0B">
      <w:pPr>
        <w:pStyle w:val="Notedebasdepage"/>
        <w:jc w:val="both"/>
      </w:pPr>
      <w:r w:rsidRPr="00276A0B">
        <w:rPr>
          <w:rStyle w:val="Appelnotedebasdep"/>
        </w:rPr>
        <w:footnoteRef/>
      </w:r>
      <w:r w:rsidRPr="00276A0B">
        <w:t xml:space="preserve"> </w:t>
      </w:r>
      <w:r w:rsidR="006A10A2" w:rsidRPr="00276A0B">
        <w:t>Conseil constitutionnel, Décision n°71-44 DC</w:t>
      </w:r>
      <w:r w:rsidR="0094153A" w:rsidRPr="00276A0B">
        <w:t>,</w:t>
      </w:r>
      <w:r w:rsidR="006A10A2" w:rsidRPr="00276A0B">
        <w:t xml:space="preserve"> 16 juillet 1971. </w:t>
      </w:r>
    </w:p>
  </w:footnote>
  <w:footnote w:id="3">
    <w:p w14:paraId="489615AD" w14:textId="133748AC" w:rsidR="008523E7" w:rsidRPr="00276A0B" w:rsidRDefault="008523E7" w:rsidP="00276A0B">
      <w:pPr>
        <w:pStyle w:val="Notedebasdepage"/>
        <w:jc w:val="both"/>
      </w:pPr>
      <w:r w:rsidRPr="00276A0B">
        <w:rPr>
          <w:rStyle w:val="Appelnotedebasdep"/>
        </w:rPr>
        <w:footnoteRef/>
      </w:r>
      <w:r w:rsidRPr="00276A0B">
        <w:t xml:space="preserve"> </w:t>
      </w:r>
      <w:r w:rsidR="00E25E1C" w:rsidRPr="00276A0B">
        <w:t>Loi du 1</w:t>
      </w:r>
      <w:r w:rsidR="00E25E1C" w:rsidRPr="00276A0B">
        <w:rPr>
          <w:vertAlign w:val="superscript"/>
        </w:rPr>
        <w:t>er</w:t>
      </w:r>
      <w:r w:rsidR="00E25E1C" w:rsidRPr="00276A0B">
        <w:t xml:space="preserve"> juillet 1901 relative au contrat d’association, article 3. </w:t>
      </w:r>
    </w:p>
  </w:footnote>
  <w:footnote w:id="4">
    <w:p w14:paraId="16D64C63" w14:textId="36C2631B" w:rsidR="00E61760" w:rsidRPr="00276A0B" w:rsidRDefault="00E61760" w:rsidP="00276A0B">
      <w:pPr>
        <w:pStyle w:val="Notedebasdepage"/>
        <w:jc w:val="both"/>
      </w:pPr>
      <w:r w:rsidRPr="00276A0B">
        <w:rPr>
          <w:rStyle w:val="Appelnotedebasdep"/>
        </w:rPr>
        <w:footnoteRef/>
      </w:r>
      <w:r w:rsidRPr="00276A0B">
        <w:t xml:space="preserve"> </w:t>
      </w:r>
      <w:r w:rsidR="00E25E1C" w:rsidRPr="00276A0B">
        <w:rPr>
          <w:i/>
          <w:iCs/>
        </w:rPr>
        <w:t>Ibidem.</w:t>
      </w:r>
      <w:r w:rsidR="008353E9" w:rsidRPr="00276A0B">
        <w:t xml:space="preserve">, article 7. </w:t>
      </w:r>
    </w:p>
  </w:footnote>
  <w:footnote w:id="5">
    <w:p w14:paraId="362EBC42" w14:textId="4C46E5CA" w:rsidR="009D4F55" w:rsidRPr="00276A0B" w:rsidRDefault="009D4F55" w:rsidP="00276A0B">
      <w:pPr>
        <w:pStyle w:val="Notedebasdepage"/>
        <w:jc w:val="both"/>
      </w:pPr>
      <w:r w:rsidRPr="00276A0B">
        <w:rPr>
          <w:rStyle w:val="Appelnotedebasdep"/>
        </w:rPr>
        <w:footnoteRef/>
      </w:r>
      <w:r w:rsidRPr="00276A0B">
        <w:t xml:space="preserve"> Aujourd’hui codifiée à l’article L212-1 du </w:t>
      </w:r>
      <w:r w:rsidR="008353E9" w:rsidRPr="00276A0B">
        <w:t>C</w:t>
      </w:r>
      <w:r w:rsidRPr="00276A0B">
        <w:t xml:space="preserve">ode de </w:t>
      </w:r>
      <w:r w:rsidR="0084607B" w:rsidRPr="00276A0B">
        <w:t xml:space="preserve">la </w:t>
      </w:r>
      <w:r w:rsidRPr="00276A0B">
        <w:t xml:space="preserve">sécurité intérieure. </w:t>
      </w:r>
    </w:p>
  </w:footnote>
  <w:footnote w:id="6">
    <w:p w14:paraId="0871F68E" w14:textId="1F4D2D79" w:rsidR="005B5FC0" w:rsidRPr="00276A0B" w:rsidRDefault="005B5FC0" w:rsidP="00276A0B">
      <w:pPr>
        <w:pStyle w:val="Notedebasdepage"/>
        <w:jc w:val="both"/>
      </w:pPr>
      <w:r w:rsidRPr="00276A0B">
        <w:rPr>
          <w:rStyle w:val="Appelnotedebasdep"/>
        </w:rPr>
        <w:footnoteRef/>
      </w:r>
      <w:r w:rsidRPr="00276A0B">
        <w:t xml:space="preserve"> </w:t>
      </w:r>
      <w:r w:rsidR="0084607B" w:rsidRPr="00276A0B">
        <w:t xml:space="preserve">Les organisations 1°) qui provoquent des manifestations armées dans la rue ; 2°) </w:t>
      </w:r>
      <w:r w:rsidR="00B96F49" w:rsidRPr="00276A0B">
        <w:t xml:space="preserve">qui revêtent la forme de groupes de combat ou de milices privées ; 3°) qui </w:t>
      </w:r>
      <w:r w:rsidR="003B444E" w:rsidRPr="00276A0B">
        <w:t>auraient pour but de porter atteinte à l’intégrité du territoire national ou d’attenter par la force à la forme rép</w:t>
      </w:r>
      <w:r w:rsidR="001F1B87" w:rsidRPr="00276A0B">
        <w:t>ublicaine du gouvernement</w:t>
      </w:r>
      <w:r w:rsidR="00323933" w:rsidRPr="00276A0B">
        <w:t>.</w:t>
      </w:r>
    </w:p>
  </w:footnote>
  <w:footnote w:id="7">
    <w:p w14:paraId="7E4DF91B" w14:textId="25D13D41" w:rsidR="00D43813" w:rsidRPr="00276A0B" w:rsidRDefault="00D43813" w:rsidP="00276A0B">
      <w:pPr>
        <w:pStyle w:val="Notedebasdepage"/>
        <w:jc w:val="both"/>
      </w:pPr>
      <w:r w:rsidRPr="00276A0B">
        <w:rPr>
          <w:rStyle w:val="Appelnotedebasdep"/>
        </w:rPr>
        <w:footnoteRef/>
      </w:r>
      <w:r w:rsidRPr="00276A0B">
        <w:t xml:space="preserve"> </w:t>
      </w:r>
      <w:r w:rsidR="0010345E" w:rsidRPr="00276A0B">
        <w:t>Loi n° 2021-1109 du 24 août 2021 confortant le respect des principes de la République.</w:t>
      </w:r>
    </w:p>
  </w:footnote>
  <w:footnote w:id="8">
    <w:p w14:paraId="61EE9EA1" w14:textId="5CF8C84B" w:rsidR="002F7B01" w:rsidRPr="00276A0B" w:rsidRDefault="002F7B01" w:rsidP="00276A0B">
      <w:pPr>
        <w:pStyle w:val="Notedebasdepage"/>
        <w:jc w:val="both"/>
      </w:pPr>
      <w:r w:rsidRPr="00276A0B">
        <w:rPr>
          <w:rStyle w:val="Appelnotedebasdep"/>
        </w:rPr>
        <w:footnoteRef/>
      </w:r>
      <w:r w:rsidRPr="00276A0B">
        <w:t xml:space="preserve"> Stéphanie Hennette Vauchez, « Lutte contre les séparatismes et liberté d’association », Études, 2022, n° 9, p. 57 – 68.</w:t>
      </w:r>
    </w:p>
  </w:footnote>
  <w:footnote w:id="9">
    <w:p w14:paraId="5D595219" w14:textId="63A4BA69" w:rsidR="00276A0B" w:rsidRPr="00276A0B" w:rsidRDefault="00276A0B" w:rsidP="00276A0B">
      <w:pPr>
        <w:pStyle w:val="Notedebasdepage"/>
        <w:jc w:val="both"/>
      </w:pPr>
      <w:r w:rsidRPr="00276A0B">
        <w:rPr>
          <w:rStyle w:val="Appelnotedebasdep"/>
        </w:rPr>
        <w:footnoteRef/>
      </w:r>
      <w:r w:rsidRPr="00276A0B">
        <w:t xml:space="preserve"> Code la sécurité intérieure, article L212-1-1. </w:t>
      </w:r>
    </w:p>
  </w:footnote>
  <w:footnote w:id="10">
    <w:p w14:paraId="705646B3" w14:textId="53111778" w:rsidR="00F56D87" w:rsidRPr="004B7CFA" w:rsidRDefault="00F56D87" w:rsidP="00A068F6">
      <w:pPr>
        <w:pStyle w:val="Notedebasdepage"/>
        <w:tabs>
          <w:tab w:val="left" w:pos="904"/>
        </w:tabs>
        <w:rPr>
          <w:i/>
          <w:iCs/>
        </w:rPr>
      </w:pPr>
      <w:r>
        <w:rPr>
          <w:rStyle w:val="Appelnotedebasdep"/>
        </w:rPr>
        <w:footnoteRef/>
      </w:r>
      <w:r>
        <w:t xml:space="preserve"> </w:t>
      </w:r>
      <w:r w:rsidR="004B7CFA">
        <w:t xml:space="preserve">Décret du 30 mars 2022 portant dissolution d’un groupement de fait, </w:t>
      </w:r>
      <w:r w:rsidR="00A068F6" w:rsidRPr="004B7CFA">
        <w:rPr>
          <w:i/>
          <w:iCs/>
        </w:rPr>
        <w:t>GALE</w:t>
      </w:r>
      <w:r w:rsidR="004B7CFA">
        <w:rPr>
          <w:i/>
          <w:iCs/>
        </w:rPr>
        <w:t>.</w:t>
      </w:r>
    </w:p>
  </w:footnote>
  <w:footnote w:id="11">
    <w:p w14:paraId="476F9F51" w14:textId="6A0BDBDC" w:rsidR="00F56D87" w:rsidRPr="004B7CFA" w:rsidRDefault="00F56D87">
      <w:pPr>
        <w:pStyle w:val="Notedebasdepage"/>
        <w:rPr>
          <w:i/>
          <w:iCs/>
        </w:rPr>
      </w:pPr>
      <w:r>
        <w:rPr>
          <w:rStyle w:val="Appelnotedebasdep"/>
        </w:rPr>
        <w:footnoteRef/>
      </w:r>
      <w:r>
        <w:t xml:space="preserve"> </w:t>
      </w:r>
      <w:r w:rsidR="00173AF9">
        <w:t xml:space="preserve">Il est notamment reproché aux organisations des </w:t>
      </w:r>
      <w:r w:rsidR="00B6797F">
        <w:t>interpellations ou condamnations pénales de</w:t>
      </w:r>
      <w:r w:rsidR="00173AF9">
        <w:t>s</w:t>
      </w:r>
      <w:r w:rsidR="00B6797F">
        <w:t xml:space="preserve"> membres</w:t>
      </w:r>
      <w:r w:rsidR="00FA2CAD">
        <w:t xml:space="preserve"> : </w:t>
      </w:r>
      <w:r w:rsidR="004B7CFA">
        <w:t xml:space="preserve">Décret du 12 juin 2025 portant dissolution du groupement de fait </w:t>
      </w:r>
      <w:r w:rsidR="004B7CFA" w:rsidRPr="004B7CFA">
        <w:rPr>
          <w:i/>
          <w:iCs/>
        </w:rPr>
        <w:t xml:space="preserve">« La </w:t>
      </w:r>
      <w:r w:rsidR="004B7CFA">
        <w:rPr>
          <w:i/>
          <w:iCs/>
        </w:rPr>
        <w:t>j</w:t>
      </w:r>
      <w:r w:rsidR="00FA2CAD" w:rsidRPr="004B7CFA">
        <w:rPr>
          <w:i/>
          <w:iCs/>
        </w:rPr>
        <w:t xml:space="preserve">eune </w:t>
      </w:r>
      <w:r w:rsidR="004B7CFA" w:rsidRPr="004B7CFA">
        <w:rPr>
          <w:i/>
          <w:iCs/>
        </w:rPr>
        <w:t>G</w:t>
      </w:r>
      <w:r w:rsidR="00FA2CAD" w:rsidRPr="004B7CFA">
        <w:rPr>
          <w:i/>
          <w:iCs/>
        </w:rPr>
        <w:t>arde</w:t>
      </w:r>
      <w:r w:rsidR="004B7CFA" w:rsidRPr="004B7CFA">
        <w:rPr>
          <w:i/>
          <w:iCs/>
        </w:rPr>
        <w:t> »</w:t>
      </w:r>
      <w:r w:rsidR="00FA2CAD">
        <w:t xml:space="preserve"> ; </w:t>
      </w:r>
      <w:r w:rsidR="004B7CFA">
        <w:t xml:space="preserve">décret du 23 novembre 2022 portant dissolution d’une association, </w:t>
      </w:r>
      <w:r w:rsidR="004B7CFA" w:rsidRPr="004B7CFA">
        <w:rPr>
          <w:i/>
          <w:iCs/>
        </w:rPr>
        <w:t>B</w:t>
      </w:r>
      <w:r w:rsidR="00FA2CAD" w:rsidRPr="004B7CFA">
        <w:rPr>
          <w:i/>
          <w:iCs/>
        </w:rPr>
        <w:t xml:space="preserve">loc </w:t>
      </w:r>
      <w:r w:rsidR="004B7CFA" w:rsidRPr="004B7CFA">
        <w:rPr>
          <w:i/>
          <w:iCs/>
        </w:rPr>
        <w:t>L</w:t>
      </w:r>
      <w:r w:rsidR="00FA2CAD" w:rsidRPr="004B7CFA">
        <w:rPr>
          <w:i/>
          <w:iCs/>
        </w:rPr>
        <w:t>orrain</w:t>
      </w:r>
      <w:r w:rsidR="004B7CFA" w:rsidRPr="004B7CFA">
        <w:rPr>
          <w:i/>
          <w:iCs/>
        </w:rPr>
        <w:t>.</w:t>
      </w:r>
    </w:p>
  </w:footnote>
  <w:footnote w:id="12">
    <w:p w14:paraId="4C139663" w14:textId="6EE74704" w:rsidR="00F56D87" w:rsidRPr="003A0F47" w:rsidRDefault="00F56D87">
      <w:pPr>
        <w:pStyle w:val="Notedebasdepage"/>
        <w:rPr>
          <w:i/>
          <w:iCs/>
        </w:rPr>
      </w:pPr>
      <w:r>
        <w:rPr>
          <w:rStyle w:val="Appelnotedebasdep"/>
        </w:rPr>
        <w:footnoteRef/>
      </w:r>
      <w:r>
        <w:t xml:space="preserve"> </w:t>
      </w:r>
      <w:r w:rsidR="00BF6650">
        <w:t xml:space="preserve">Décret </w:t>
      </w:r>
      <w:r w:rsidR="00344757">
        <w:t>du 12 décembre 2025</w:t>
      </w:r>
      <w:r w:rsidR="004B7CFA">
        <w:t xml:space="preserve"> portant dissolution de l’association « </w:t>
      </w:r>
      <w:r w:rsidR="00344757" w:rsidRPr="003A0F47">
        <w:rPr>
          <w:i/>
          <w:iCs/>
        </w:rPr>
        <w:t>I</w:t>
      </w:r>
      <w:r w:rsidR="0018194A" w:rsidRPr="003A0F47">
        <w:rPr>
          <w:i/>
          <w:iCs/>
        </w:rPr>
        <w:t>nstitut</w:t>
      </w:r>
      <w:r w:rsidR="004B7CFA">
        <w:rPr>
          <w:i/>
          <w:iCs/>
        </w:rPr>
        <w:t xml:space="preserve"> E</w:t>
      </w:r>
      <w:r w:rsidR="0018194A" w:rsidRPr="003A0F47">
        <w:rPr>
          <w:i/>
          <w:iCs/>
        </w:rPr>
        <w:t>uropéen de</w:t>
      </w:r>
      <w:r w:rsidR="004B7CFA">
        <w:rPr>
          <w:i/>
          <w:iCs/>
        </w:rPr>
        <w:t xml:space="preserve"> S</w:t>
      </w:r>
      <w:r w:rsidR="0018194A" w:rsidRPr="003A0F47">
        <w:rPr>
          <w:i/>
          <w:iCs/>
        </w:rPr>
        <w:t xml:space="preserve">ciences </w:t>
      </w:r>
      <w:r w:rsidR="004B7CFA">
        <w:rPr>
          <w:i/>
          <w:iCs/>
        </w:rPr>
        <w:t>H</w:t>
      </w:r>
      <w:r w:rsidR="0018194A" w:rsidRPr="003A0F47">
        <w:rPr>
          <w:i/>
          <w:iCs/>
        </w:rPr>
        <w:t>umaines</w:t>
      </w:r>
      <w:r w:rsidR="004B7CFA">
        <w:rPr>
          <w:i/>
          <w:iCs/>
        </w:rPr>
        <w:t> »</w:t>
      </w:r>
      <w:r w:rsidR="003A0F47" w:rsidRPr="003A0F47">
        <w:rPr>
          <w:i/>
          <w:iCs/>
        </w:rPr>
        <w:t>.</w:t>
      </w:r>
    </w:p>
  </w:footnote>
  <w:footnote w:id="13">
    <w:p w14:paraId="2A7ED73B" w14:textId="2AB8D3F7" w:rsidR="00F56D87" w:rsidRDefault="00F56D87">
      <w:pPr>
        <w:pStyle w:val="Notedebasdepage"/>
      </w:pPr>
      <w:r>
        <w:rPr>
          <w:rStyle w:val="Appelnotedebasdep"/>
        </w:rPr>
        <w:footnoteRef/>
      </w:r>
      <w:r>
        <w:t xml:space="preserve"> </w:t>
      </w:r>
      <w:r w:rsidR="00517D4F">
        <w:t>Décret du 2 décembre 2020</w:t>
      </w:r>
      <w:r w:rsidR="004B7CFA">
        <w:t xml:space="preserve"> portant dissolution d’un groupement de fait,</w:t>
      </w:r>
      <w:r w:rsidR="00517D4F">
        <w:t xml:space="preserve"> </w:t>
      </w:r>
      <w:r w:rsidR="00517D4F" w:rsidRPr="003A0F47">
        <w:rPr>
          <w:i/>
          <w:iCs/>
        </w:rPr>
        <w:t>CCIF</w:t>
      </w:r>
      <w:r w:rsidR="00517D4F">
        <w:t xml:space="preserve">.  </w:t>
      </w:r>
    </w:p>
  </w:footnote>
  <w:footnote w:id="14">
    <w:p w14:paraId="66916680" w14:textId="79DB3D4D" w:rsidR="00434FBD" w:rsidRPr="00F33DD6" w:rsidRDefault="00434FBD">
      <w:pPr>
        <w:pStyle w:val="Notedebasdepage"/>
      </w:pPr>
      <w:r>
        <w:rPr>
          <w:rStyle w:val="Appelnotedebasdep"/>
        </w:rPr>
        <w:footnoteRef/>
      </w:r>
      <w:r>
        <w:t xml:space="preserve"> </w:t>
      </w:r>
      <w:r w:rsidR="00BC346E">
        <w:t>Décret du 9 mars 2022</w:t>
      </w:r>
      <w:r w:rsidR="004B7CFA">
        <w:t xml:space="preserve"> portant dissolution d’un groupement de fait, </w:t>
      </w:r>
      <w:r w:rsidR="00BC346E" w:rsidRPr="003A0F47">
        <w:rPr>
          <w:i/>
          <w:iCs/>
        </w:rPr>
        <w:t>Collectif Palestine Vaincra</w:t>
      </w:r>
      <w:r w:rsidR="00F33DD6">
        <w:t xml:space="preserve"> ; CE, 20 février 2025, </w:t>
      </w:r>
      <w:r w:rsidR="00F33DD6">
        <w:rPr>
          <w:i/>
          <w:iCs/>
        </w:rPr>
        <w:t xml:space="preserve">Collectif Palestine Vaincra, </w:t>
      </w:r>
      <w:r w:rsidR="00F33DD6">
        <w:t>n°</w:t>
      </w:r>
      <w:r w:rsidR="003A0F47">
        <w:t>462981</w:t>
      </w:r>
      <w:r w:rsidR="00F33DD6">
        <w:t>.</w:t>
      </w:r>
    </w:p>
  </w:footnote>
  <w:footnote w:id="15">
    <w:p w14:paraId="01881F55" w14:textId="3594C01B" w:rsidR="004B7CFA" w:rsidRPr="009D3EC3" w:rsidRDefault="00434FBD" w:rsidP="004B7CFA">
      <w:pPr>
        <w:pStyle w:val="Notedebasdepage"/>
        <w:rPr>
          <w:i/>
          <w:iCs/>
        </w:rPr>
      </w:pPr>
      <w:r>
        <w:rPr>
          <w:rStyle w:val="Appelnotedebasdep"/>
        </w:rPr>
        <w:footnoteRef/>
      </w:r>
      <w:r>
        <w:t xml:space="preserve"> </w:t>
      </w:r>
      <w:r w:rsidR="009D3EC3">
        <w:rPr>
          <w:i/>
          <w:iCs/>
        </w:rPr>
        <w:t>Ibidem.</w:t>
      </w:r>
    </w:p>
    <w:p w14:paraId="5C56DCAF" w14:textId="5E26B0A8" w:rsidR="00434FBD" w:rsidRDefault="00434FBD">
      <w:pPr>
        <w:pStyle w:val="Notedebasdepage"/>
      </w:pPr>
    </w:p>
  </w:footnote>
  <w:footnote w:id="16">
    <w:p w14:paraId="11C9F6C6" w14:textId="571965B9" w:rsidR="009C0176" w:rsidRPr="00276A0B" w:rsidRDefault="009C0176" w:rsidP="00276A0B">
      <w:pPr>
        <w:pStyle w:val="Notedebasdepage"/>
        <w:jc w:val="both"/>
        <w:rPr>
          <w:i/>
          <w:iCs/>
        </w:rPr>
      </w:pPr>
      <w:r w:rsidRPr="00276A0B">
        <w:rPr>
          <w:rStyle w:val="Appelnotedebasdep"/>
        </w:rPr>
        <w:footnoteRef/>
      </w:r>
      <w:r w:rsidRPr="00276A0B">
        <w:t xml:space="preserve"> Loi n°2015-912 du 24 juillet 2015 </w:t>
      </w:r>
      <w:r w:rsidRPr="00276A0B">
        <w:rPr>
          <w:i/>
          <w:iCs/>
        </w:rPr>
        <w:t xml:space="preserve">relative au renseignement. </w:t>
      </w:r>
    </w:p>
  </w:footnote>
  <w:footnote w:id="17">
    <w:p w14:paraId="5E0AB29E" w14:textId="2A61CAEE" w:rsidR="002C4211" w:rsidRPr="00276A0B" w:rsidRDefault="002C4211" w:rsidP="00276A0B">
      <w:pPr>
        <w:pStyle w:val="Notedebasdepage"/>
        <w:jc w:val="both"/>
      </w:pPr>
      <w:r w:rsidRPr="00276A0B">
        <w:rPr>
          <w:rStyle w:val="Appelnotedebasdep"/>
        </w:rPr>
        <w:footnoteRef/>
      </w:r>
      <w:r w:rsidRPr="00276A0B">
        <w:t xml:space="preserve"> </w:t>
      </w:r>
      <w:r w:rsidR="00E47F10" w:rsidRPr="00276A0B">
        <w:t>Code de la sécurité intérieure, a</w:t>
      </w:r>
      <w:r w:rsidRPr="00276A0B">
        <w:t>rticle L</w:t>
      </w:r>
      <w:r w:rsidR="008006F0">
        <w:t>.</w:t>
      </w:r>
      <w:r w:rsidRPr="00276A0B">
        <w:t>811-3</w:t>
      </w:r>
      <w:r w:rsidR="00E47F10" w:rsidRPr="00276A0B">
        <w:t xml:space="preserve">, alinéa 5. </w:t>
      </w:r>
    </w:p>
  </w:footnote>
  <w:footnote w:id="18">
    <w:p w14:paraId="5F560C6E" w14:textId="13A9AFAF" w:rsidR="00F363B5" w:rsidRPr="00276A0B" w:rsidRDefault="00F363B5" w:rsidP="00276A0B">
      <w:pPr>
        <w:pStyle w:val="Notedebasdepage"/>
        <w:jc w:val="both"/>
      </w:pPr>
      <w:r w:rsidRPr="00276A0B">
        <w:rPr>
          <w:rStyle w:val="Appelnotedebasdep"/>
        </w:rPr>
        <w:footnoteRef/>
      </w:r>
      <w:r w:rsidRPr="00276A0B">
        <w:t xml:space="preserve"> Conseil d’État, </w:t>
      </w:r>
      <w:r w:rsidR="00C20C6F" w:rsidRPr="00276A0B">
        <w:t xml:space="preserve">9 novembre 2023, </w:t>
      </w:r>
      <w:r w:rsidR="00C20C6F" w:rsidRPr="00276A0B">
        <w:rPr>
          <w:i/>
          <w:iCs/>
        </w:rPr>
        <w:t xml:space="preserve">Les Soulèvements de la Terre, </w:t>
      </w:r>
      <w:r w:rsidR="00C20C6F" w:rsidRPr="00276A0B">
        <w:t xml:space="preserve">n°476384, cons. 16. </w:t>
      </w:r>
    </w:p>
  </w:footnote>
  <w:footnote w:id="19">
    <w:p w14:paraId="54D1B079" w14:textId="38380B5E" w:rsidR="00B30F9C" w:rsidRPr="00B30F9C" w:rsidRDefault="00B30F9C">
      <w:pPr>
        <w:pStyle w:val="Notedebasdepage"/>
      </w:pPr>
      <w:r>
        <w:rPr>
          <w:rStyle w:val="Appelnotedebasdep"/>
        </w:rPr>
        <w:footnoteRef/>
      </w:r>
      <w:r>
        <w:t xml:space="preserve"> </w:t>
      </w:r>
      <w:r>
        <w:rPr>
          <w:i/>
          <w:iCs/>
        </w:rPr>
        <w:t>Ibidem.</w:t>
      </w:r>
      <w:r>
        <w:t xml:space="preserve">, cons. 17 ; </w:t>
      </w:r>
      <w:r w:rsidR="008006F0">
        <w:t xml:space="preserve">Code de la sécurité intérieure, article L.841-2. </w:t>
      </w:r>
    </w:p>
  </w:footnote>
  <w:footnote w:id="20">
    <w:p w14:paraId="7699811A" w14:textId="345F1E1D" w:rsidR="00AC7A0D" w:rsidRPr="00276A0B" w:rsidRDefault="00AC7A0D" w:rsidP="00276A0B">
      <w:pPr>
        <w:pStyle w:val="Notedebasdepage"/>
        <w:jc w:val="both"/>
      </w:pPr>
      <w:r w:rsidRPr="00276A0B">
        <w:rPr>
          <w:rStyle w:val="Appelnotedebasdep"/>
        </w:rPr>
        <w:footnoteRef/>
      </w:r>
      <w:r w:rsidRPr="00276A0B">
        <w:t xml:space="preserve"> </w:t>
      </w:r>
      <w:r w:rsidR="00B35D12" w:rsidRPr="00276A0B">
        <w:t>Observation générale n°38</w:t>
      </w:r>
      <w:r w:rsidR="0011071E" w:rsidRPr="00276A0B">
        <w:t xml:space="preserve"> (2026)</w:t>
      </w:r>
      <w:r w:rsidR="00B35D12" w:rsidRPr="00276A0B">
        <w:t xml:space="preserve">, par. </w:t>
      </w:r>
      <w:r w:rsidRPr="00276A0B">
        <w:t>30</w:t>
      </w:r>
      <w:r w:rsidR="0011071E" w:rsidRPr="00276A0B">
        <w:t xml:space="preserve">. </w:t>
      </w:r>
    </w:p>
  </w:footnote>
  <w:footnote w:id="21">
    <w:p w14:paraId="552B6C15" w14:textId="0FDFA2A9" w:rsidR="00946F7B" w:rsidRPr="00276A0B" w:rsidRDefault="00946F7B" w:rsidP="00276A0B">
      <w:pPr>
        <w:pStyle w:val="Notedebasdepage"/>
        <w:jc w:val="both"/>
      </w:pPr>
      <w:r w:rsidRPr="00276A0B">
        <w:rPr>
          <w:rStyle w:val="Appelnotedebasdep"/>
        </w:rPr>
        <w:footnoteRef/>
      </w:r>
      <w:r w:rsidRPr="00276A0B">
        <w:t xml:space="preserve"> </w:t>
      </w:r>
      <w:r w:rsidRPr="00276A0B">
        <w:rPr>
          <w:i/>
          <w:iCs/>
        </w:rPr>
        <w:t xml:space="preserve">Ibidem, </w:t>
      </w:r>
      <w:r w:rsidRPr="00276A0B">
        <w:t>par. 33</w:t>
      </w:r>
      <w:r w:rsidR="00957423" w:rsidRPr="00276A0B">
        <w:t xml:space="preserve"> et 34. </w:t>
      </w:r>
    </w:p>
  </w:footnote>
  <w:footnote w:id="22">
    <w:p w14:paraId="5E7CB037" w14:textId="4415C20D" w:rsidR="00A943DD" w:rsidRPr="00276A0B" w:rsidRDefault="00A943DD" w:rsidP="00276A0B">
      <w:pPr>
        <w:pStyle w:val="Notedebasdepage"/>
        <w:jc w:val="both"/>
      </w:pPr>
      <w:r w:rsidRPr="00276A0B">
        <w:rPr>
          <w:rStyle w:val="Appelnotedebasdep"/>
        </w:rPr>
        <w:footnoteRef/>
      </w:r>
      <w:r w:rsidRPr="00276A0B">
        <w:t xml:space="preserve"> </w:t>
      </w:r>
      <w:r w:rsidRPr="00276A0B">
        <w:rPr>
          <w:i/>
          <w:iCs/>
        </w:rPr>
        <w:t xml:space="preserve">Ibidem, </w:t>
      </w:r>
      <w:r w:rsidRPr="00276A0B">
        <w:t>par. 35.</w:t>
      </w:r>
    </w:p>
  </w:footnote>
  <w:footnote w:id="23">
    <w:p w14:paraId="0E16722E" w14:textId="65AAE057" w:rsidR="00DB1E47" w:rsidRPr="00276A0B" w:rsidRDefault="00DB1E47" w:rsidP="00276A0B">
      <w:pPr>
        <w:pStyle w:val="Notedebasdepage"/>
        <w:jc w:val="both"/>
      </w:pPr>
      <w:r w:rsidRPr="00276A0B">
        <w:rPr>
          <w:rStyle w:val="Appelnotedebasdep"/>
        </w:rPr>
        <w:footnoteRef/>
      </w:r>
      <w:r w:rsidRPr="00276A0B">
        <w:t xml:space="preserve"> </w:t>
      </w:r>
      <w:r w:rsidRPr="00276A0B">
        <w:rPr>
          <w:i/>
          <w:iCs/>
        </w:rPr>
        <w:t xml:space="preserve">Ibidem, </w:t>
      </w:r>
      <w:r w:rsidRPr="00276A0B">
        <w:t xml:space="preserve">par. 39 et 40. </w:t>
      </w:r>
    </w:p>
  </w:footnote>
  <w:footnote w:id="24">
    <w:p w14:paraId="346E255F" w14:textId="6640EAA0" w:rsidR="008E7CBF" w:rsidRDefault="008E7CBF">
      <w:pPr>
        <w:pStyle w:val="Notedebasdepage"/>
      </w:pPr>
      <w:r>
        <w:rPr>
          <w:rStyle w:val="Appelnotedebasdep"/>
        </w:rPr>
        <w:footnoteRef/>
      </w:r>
      <w:r>
        <w:t xml:space="preserve"> </w:t>
      </w:r>
      <w:r w:rsidRPr="008E7CBF">
        <w:t xml:space="preserve">V. B.-L. </w:t>
      </w:r>
      <w:proofErr w:type="spellStart"/>
      <w:r w:rsidRPr="008E7CBF">
        <w:t>Combrade</w:t>
      </w:r>
      <w:proofErr w:type="spellEnd"/>
      <w:r w:rsidRPr="008E7CBF">
        <w:t>, « Les notes blanches des services de renseignement », RFDA, 27 déc. 2019, p. 1103-1115.</w:t>
      </w:r>
    </w:p>
  </w:footnote>
  <w:footnote w:id="25">
    <w:p w14:paraId="4A0EE806" w14:textId="4648DDE7" w:rsidR="008E7CBF" w:rsidRDefault="008E7CBF">
      <w:pPr>
        <w:pStyle w:val="Notedebasdepage"/>
      </w:pPr>
      <w:r>
        <w:rPr>
          <w:rStyle w:val="Appelnotedebasdep"/>
        </w:rPr>
        <w:footnoteRef/>
      </w:r>
      <w:r>
        <w:t xml:space="preserve"> </w:t>
      </w:r>
      <w:r w:rsidRPr="008E7CBF">
        <w:t>CE, sect., 3 mars 2003, n° 238662, Ministre de l'intérieur c/ Rakhimov, Lebon p. 75</w:t>
      </w:r>
    </w:p>
  </w:footnote>
  <w:footnote w:id="26">
    <w:p w14:paraId="44F4B249" w14:textId="4A1497D9" w:rsidR="00086E2B" w:rsidRDefault="00086E2B">
      <w:pPr>
        <w:pStyle w:val="Notedebasdepage"/>
      </w:pPr>
      <w:r>
        <w:rPr>
          <w:rStyle w:val="Appelnotedebasdep"/>
        </w:rPr>
        <w:footnoteRef/>
      </w:r>
      <w:r>
        <w:t xml:space="preserve"> </w:t>
      </w:r>
      <w:r w:rsidRPr="00086E2B">
        <w:t xml:space="preserve">Conseil d'État, </w:t>
      </w:r>
      <w:r>
        <w:t xml:space="preserve">8 février 2023, </w:t>
      </w:r>
      <w:r w:rsidRPr="00086E2B">
        <w:rPr>
          <w:i/>
          <w:iCs/>
        </w:rPr>
        <w:t>Al Qalam</w:t>
      </w:r>
      <w:r w:rsidRPr="00086E2B">
        <w:t>, n°462120</w:t>
      </w:r>
      <w:r w:rsidR="0026490E">
        <w:t xml:space="preserve"> ; Conseil d’État, 9 novembre 2023, </w:t>
      </w:r>
      <w:r w:rsidR="0026490E">
        <w:rPr>
          <w:i/>
          <w:iCs/>
        </w:rPr>
        <w:t>Les Soulèvements de la Terre,</w:t>
      </w:r>
      <w:r w:rsidR="0026490E">
        <w:t xml:space="preserve"> n°476384.</w:t>
      </w:r>
    </w:p>
  </w:footnote>
  <w:footnote w:id="27">
    <w:p w14:paraId="4906BBF9" w14:textId="334B70F2" w:rsidR="00F96C8B" w:rsidRPr="00F56D87" w:rsidRDefault="00F96C8B" w:rsidP="00F56D87">
      <w:pPr>
        <w:pStyle w:val="Notedebasdepage"/>
        <w:jc w:val="both"/>
      </w:pPr>
      <w:r>
        <w:rPr>
          <w:rStyle w:val="Appelnotedebasdep"/>
        </w:rPr>
        <w:footnoteRef/>
      </w:r>
      <w:r>
        <w:t xml:space="preserve"> </w:t>
      </w:r>
      <w:r w:rsidR="00F56D87" w:rsidRPr="00276A0B">
        <w:t>Loi n° 2021-1109 du 24 août 2021 confortant le respect des principes de la République.</w:t>
      </w:r>
    </w:p>
  </w:footnote>
  <w:footnote w:id="28">
    <w:p w14:paraId="2A3E1963" w14:textId="5A78B471" w:rsidR="009835C5" w:rsidRPr="00DC3A2C" w:rsidRDefault="009835C5">
      <w:pPr>
        <w:pStyle w:val="Notedebasdepage"/>
      </w:pPr>
      <w:r>
        <w:rPr>
          <w:rStyle w:val="Appelnotedebasdep"/>
        </w:rPr>
        <w:footnoteRef/>
      </w:r>
      <w:r>
        <w:t xml:space="preserve"> </w:t>
      </w:r>
      <w:r w:rsidR="00544F10">
        <w:t xml:space="preserve">Conseil d’État, </w:t>
      </w:r>
      <w:r w:rsidR="00871936">
        <w:t xml:space="preserve">9 novembre 2023, </w:t>
      </w:r>
      <w:r w:rsidR="00DC3A2C">
        <w:rPr>
          <w:i/>
          <w:iCs/>
        </w:rPr>
        <w:t>Les Soulèvements de la Terre,</w:t>
      </w:r>
      <w:r w:rsidR="00DC3A2C">
        <w:t xml:space="preserve"> n°476</w:t>
      </w:r>
      <w:r w:rsidR="00871936">
        <w:t>384.</w:t>
      </w:r>
    </w:p>
  </w:footnote>
  <w:footnote w:id="29">
    <w:p w14:paraId="3B1CEACB" w14:textId="6E406719" w:rsidR="00775DAF" w:rsidRPr="00465597" w:rsidRDefault="00775DAF" w:rsidP="00775DAF">
      <w:pPr>
        <w:pStyle w:val="Notedebasdepage"/>
      </w:pPr>
      <w:r>
        <w:rPr>
          <w:rStyle w:val="Appelnotedebasdep"/>
        </w:rPr>
        <w:footnoteRef/>
      </w:r>
      <w:r>
        <w:t xml:space="preserve"> </w:t>
      </w:r>
      <w:r w:rsidR="006B2E39">
        <w:t xml:space="preserve">Conseil d’État, </w:t>
      </w:r>
      <w:r w:rsidR="002C0D72">
        <w:t>30 avril 2024, J</w:t>
      </w:r>
      <w:r>
        <w:t>eune garde</w:t>
      </w:r>
      <w:r w:rsidR="002C0D72">
        <w:t>, n°</w:t>
      </w:r>
      <w:r w:rsidR="00980EC8">
        <w:t>506860</w:t>
      </w:r>
      <w:r w:rsidR="00610456">
        <w:t xml:space="preserve"> ; Conseil d’État, </w:t>
      </w:r>
      <w:r w:rsidR="00465597">
        <w:t xml:space="preserve">9 novembre 2023, </w:t>
      </w:r>
      <w:r w:rsidR="00465597" w:rsidRPr="00465597">
        <w:rPr>
          <w:i/>
          <w:iCs/>
        </w:rPr>
        <w:t>GALE</w:t>
      </w:r>
      <w:r w:rsidR="00465597">
        <w:rPr>
          <w:i/>
          <w:iCs/>
        </w:rPr>
        <w:t xml:space="preserve">, </w:t>
      </w:r>
      <w:r w:rsidR="00465597">
        <w:t xml:space="preserve">n°464412. </w:t>
      </w:r>
    </w:p>
  </w:footnote>
  <w:footnote w:id="30">
    <w:p w14:paraId="01361639" w14:textId="26861EA3" w:rsidR="0051407A" w:rsidRPr="0051407A" w:rsidRDefault="0051407A">
      <w:pPr>
        <w:pStyle w:val="Notedebasdepage"/>
        <w:rPr>
          <w:i/>
          <w:iCs/>
        </w:rPr>
      </w:pPr>
      <w:r>
        <w:rPr>
          <w:rStyle w:val="Appelnotedebasdep"/>
        </w:rPr>
        <w:footnoteRef/>
      </w:r>
      <w:r>
        <w:t xml:space="preserve"> </w:t>
      </w:r>
      <w:r>
        <w:rPr>
          <w:i/>
          <w:iCs/>
        </w:rPr>
        <w:t>Ibidem.</w:t>
      </w:r>
    </w:p>
  </w:footnote>
  <w:footnote w:id="31">
    <w:p w14:paraId="2ED4B2EA" w14:textId="0041FD1F" w:rsidR="007D6DF3" w:rsidRDefault="007D6DF3">
      <w:pPr>
        <w:pStyle w:val="Notedebasdepage"/>
      </w:pPr>
      <w:r>
        <w:rPr>
          <w:rStyle w:val="Appelnotedebasdep"/>
        </w:rPr>
        <w:footnoteRef/>
      </w:r>
      <w:r>
        <w:t xml:space="preserve"> Conseil d’État, 9 novembre 2023, </w:t>
      </w:r>
      <w:r>
        <w:rPr>
          <w:i/>
          <w:iCs/>
        </w:rPr>
        <w:t>Les Soulèvements de la Terre,</w:t>
      </w:r>
      <w:r>
        <w:t xml:space="preserve"> n°476384.</w:t>
      </w:r>
    </w:p>
  </w:footnote>
  <w:footnote w:id="32">
    <w:p w14:paraId="4E670B71" w14:textId="689E2794" w:rsidR="00670D23" w:rsidRPr="00670D23" w:rsidRDefault="00670D23">
      <w:pPr>
        <w:pStyle w:val="Notedebasdepage"/>
      </w:pPr>
      <w:r>
        <w:rPr>
          <w:rStyle w:val="Appelnotedebasdep"/>
        </w:rPr>
        <w:footnoteRef/>
      </w:r>
      <w:r>
        <w:t xml:space="preserve"> Conseil d’État, 2 avril 2024, </w:t>
      </w:r>
      <w:r>
        <w:rPr>
          <w:i/>
          <w:iCs/>
        </w:rPr>
        <w:t xml:space="preserve">Bloc Lorrain, </w:t>
      </w:r>
      <w:r>
        <w:t>n°</w:t>
      </w:r>
      <w:r w:rsidR="0026490E" w:rsidRPr="0026490E">
        <w:t>470790</w:t>
      </w:r>
      <w:r w:rsidR="00980EC8">
        <w:t>.</w:t>
      </w:r>
    </w:p>
  </w:footnote>
  <w:footnote w:id="33">
    <w:p w14:paraId="24DF1FC9" w14:textId="50001543" w:rsidR="003A0F47" w:rsidRDefault="003A0F47" w:rsidP="003A0F47">
      <w:pPr>
        <w:pStyle w:val="Notedebasdepage"/>
      </w:pPr>
      <w:r>
        <w:rPr>
          <w:rStyle w:val="Appelnotedebasdep"/>
        </w:rPr>
        <w:footnoteRef/>
      </w:r>
      <w:r>
        <w:t xml:space="preserve"> Conseil d’État, 24 septembre 2021, </w:t>
      </w:r>
      <w:r w:rsidRPr="00DE182F">
        <w:rPr>
          <w:i/>
          <w:iCs/>
        </w:rPr>
        <w:t>CCI</w:t>
      </w:r>
      <w:r>
        <w:rPr>
          <w:i/>
          <w:iCs/>
        </w:rPr>
        <w:t>F</w:t>
      </w:r>
      <w:r>
        <w:t>, n°</w:t>
      </w:r>
      <w:r w:rsidRPr="00307A1C">
        <w:t>449215</w:t>
      </w:r>
      <w:r>
        <w:t>.</w:t>
      </w:r>
    </w:p>
  </w:footnote>
  <w:footnote w:id="34">
    <w:p w14:paraId="30D42C24" w14:textId="0B9072BC" w:rsidR="00DE182F" w:rsidRDefault="00DE182F">
      <w:pPr>
        <w:pStyle w:val="Notedebasdepage"/>
      </w:pPr>
      <w:r>
        <w:rPr>
          <w:rStyle w:val="Appelnotedebasdep"/>
        </w:rPr>
        <w:footnoteRef/>
      </w:r>
      <w:r>
        <w:t xml:space="preserve"> </w:t>
      </w:r>
      <w:r w:rsidR="009D3EC3">
        <w:t xml:space="preserve">Décret du 9 mars 2022 portant dissolution d’un groupement de fait, </w:t>
      </w:r>
      <w:r w:rsidR="009D3EC3" w:rsidRPr="003A0F47">
        <w:rPr>
          <w:i/>
          <w:iCs/>
        </w:rPr>
        <w:t>Collectif Palestine Vaincra</w:t>
      </w:r>
      <w:r w:rsidR="009D3EC3">
        <w:t>.</w:t>
      </w:r>
    </w:p>
  </w:footnote>
  <w:footnote w:id="35">
    <w:p w14:paraId="4119919E" w14:textId="548623E2" w:rsidR="003A0F47" w:rsidRDefault="003A0F47" w:rsidP="003A0F47">
      <w:pPr>
        <w:pStyle w:val="Notedebasdepage"/>
      </w:pPr>
      <w:r>
        <w:rPr>
          <w:rStyle w:val="Appelnotedebasdep"/>
        </w:rPr>
        <w:footnoteRef/>
      </w:r>
      <w:r>
        <w:t xml:space="preserve"> Conseil d’État, 20 février 2025, </w:t>
      </w:r>
      <w:r w:rsidRPr="00DE182F">
        <w:rPr>
          <w:i/>
          <w:iCs/>
        </w:rPr>
        <w:t>Collectif Palestine Vaincra</w:t>
      </w:r>
      <w:r>
        <w:t>, n°</w:t>
      </w:r>
      <w:r w:rsidRPr="00DE182F">
        <w:t>462981</w:t>
      </w:r>
      <w:r w:rsidR="00980EC8">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1E0CBA"/>
    <w:multiLevelType w:val="multilevel"/>
    <w:tmpl w:val="D714B42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41B91546"/>
    <w:multiLevelType w:val="hybridMultilevel"/>
    <w:tmpl w:val="AED6EFAC"/>
    <w:lvl w:ilvl="0" w:tplc="FBBADAB4">
      <w:start w:val="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16591106">
    <w:abstractNumId w:val="1"/>
  </w:num>
  <w:num w:numId="2" w16cid:durableId="17070956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3E3"/>
    <w:rsid w:val="000018DE"/>
    <w:rsid w:val="00016944"/>
    <w:rsid w:val="000206E5"/>
    <w:rsid w:val="000313E3"/>
    <w:rsid w:val="00035A35"/>
    <w:rsid w:val="0003797B"/>
    <w:rsid w:val="00044502"/>
    <w:rsid w:val="000655BC"/>
    <w:rsid w:val="00067E2F"/>
    <w:rsid w:val="000733EF"/>
    <w:rsid w:val="00076971"/>
    <w:rsid w:val="00081167"/>
    <w:rsid w:val="00086E2B"/>
    <w:rsid w:val="0009141A"/>
    <w:rsid w:val="000A5F6F"/>
    <w:rsid w:val="000A6101"/>
    <w:rsid w:val="000B152E"/>
    <w:rsid w:val="000B5C92"/>
    <w:rsid w:val="000B6428"/>
    <w:rsid w:val="000C3910"/>
    <w:rsid w:val="000C4FE1"/>
    <w:rsid w:val="000C7CF6"/>
    <w:rsid w:val="000E27CB"/>
    <w:rsid w:val="000F01A0"/>
    <w:rsid w:val="000F3A84"/>
    <w:rsid w:val="00100C1F"/>
    <w:rsid w:val="0010345E"/>
    <w:rsid w:val="00103F62"/>
    <w:rsid w:val="0011071E"/>
    <w:rsid w:val="00115BF8"/>
    <w:rsid w:val="00117682"/>
    <w:rsid w:val="0012438A"/>
    <w:rsid w:val="00125081"/>
    <w:rsid w:val="00137889"/>
    <w:rsid w:val="001407D8"/>
    <w:rsid w:val="0014469C"/>
    <w:rsid w:val="00147779"/>
    <w:rsid w:val="00153D4B"/>
    <w:rsid w:val="00153D9D"/>
    <w:rsid w:val="001553A3"/>
    <w:rsid w:val="0016348B"/>
    <w:rsid w:val="001636C1"/>
    <w:rsid w:val="00163ECE"/>
    <w:rsid w:val="0016501C"/>
    <w:rsid w:val="0016748C"/>
    <w:rsid w:val="00173AF9"/>
    <w:rsid w:val="00173EED"/>
    <w:rsid w:val="0017730D"/>
    <w:rsid w:val="001811D6"/>
    <w:rsid w:val="0018194A"/>
    <w:rsid w:val="00187388"/>
    <w:rsid w:val="0018796A"/>
    <w:rsid w:val="00195437"/>
    <w:rsid w:val="001C0023"/>
    <w:rsid w:val="001C02F4"/>
    <w:rsid w:val="001C3D96"/>
    <w:rsid w:val="001D23BE"/>
    <w:rsid w:val="001D46DB"/>
    <w:rsid w:val="001D56D1"/>
    <w:rsid w:val="001D66EC"/>
    <w:rsid w:val="001D6ECE"/>
    <w:rsid w:val="001D7D49"/>
    <w:rsid w:val="001E563F"/>
    <w:rsid w:val="001F1B87"/>
    <w:rsid w:val="001F52CC"/>
    <w:rsid w:val="001F65E3"/>
    <w:rsid w:val="002065EC"/>
    <w:rsid w:val="00210FA8"/>
    <w:rsid w:val="002146A3"/>
    <w:rsid w:val="00221E3B"/>
    <w:rsid w:val="002271BA"/>
    <w:rsid w:val="00231325"/>
    <w:rsid w:val="00233061"/>
    <w:rsid w:val="0024521A"/>
    <w:rsid w:val="00256BD4"/>
    <w:rsid w:val="0026490E"/>
    <w:rsid w:val="002702FF"/>
    <w:rsid w:val="0027055F"/>
    <w:rsid w:val="0027149A"/>
    <w:rsid w:val="002730F2"/>
    <w:rsid w:val="00276A0B"/>
    <w:rsid w:val="00281B4E"/>
    <w:rsid w:val="0029220C"/>
    <w:rsid w:val="002923C6"/>
    <w:rsid w:val="00295168"/>
    <w:rsid w:val="00296C85"/>
    <w:rsid w:val="002A0EA4"/>
    <w:rsid w:val="002A73A4"/>
    <w:rsid w:val="002B0D1D"/>
    <w:rsid w:val="002B11A8"/>
    <w:rsid w:val="002B5591"/>
    <w:rsid w:val="002C0D72"/>
    <w:rsid w:val="002C3837"/>
    <w:rsid w:val="002C4211"/>
    <w:rsid w:val="002C62AD"/>
    <w:rsid w:val="002E3D9C"/>
    <w:rsid w:val="002E6B2F"/>
    <w:rsid w:val="002F7B01"/>
    <w:rsid w:val="003047E6"/>
    <w:rsid w:val="003063DA"/>
    <w:rsid w:val="00307199"/>
    <w:rsid w:val="00307A1C"/>
    <w:rsid w:val="003101FC"/>
    <w:rsid w:val="00310265"/>
    <w:rsid w:val="00311DCF"/>
    <w:rsid w:val="00316A73"/>
    <w:rsid w:val="00322D9A"/>
    <w:rsid w:val="00322EFC"/>
    <w:rsid w:val="00323933"/>
    <w:rsid w:val="00324CBC"/>
    <w:rsid w:val="00325DC3"/>
    <w:rsid w:val="00336962"/>
    <w:rsid w:val="00341644"/>
    <w:rsid w:val="00344757"/>
    <w:rsid w:val="003475F3"/>
    <w:rsid w:val="00350BAE"/>
    <w:rsid w:val="0035198A"/>
    <w:rsid w:val="003530DD"/>
    <w:rsid w:val="00353B59"/>
    <w:rsid w:val="003620B2"/>
    <w:rsid w:val="003711B2"/>
    <w:rsid w:val="00373AA2"/>
    <w:rsid w:val="00380C05"/>
    <w:rsid w:val="00392703"/>
    <w:rsid w:val="00397057"/>
    <w:rsid w:val="003A0F47"/>
    <w:rsid w:val="003A2A40"/>
    <w:rsid w:val="003A3B8A"/>
    <w:rsid w:val="003A61F8"/>
    <w:rsid w:val="003B444E"/>
    <w:rsid w:val="003C0333"/>
    <w:rsid w:val="003C04B6"/>
    <w:rsid w:val="003D0485"/>
    <w:rsid w:val="003D5DBE"/>
    <w:rsid w:val="003D7BAD"/>
    <w:rsid w:val="003E510C"/>
    <w:rsid w:val="003F26FE"/>
    <w:rsid w:val="0040336F"/>
    <w:rsid w:val="00421E9F"/>
    <w:rsid w:val="004220FD"/>
    <w:rsid w:val="00427BAD"/>
    <w:rsid w:val="00431C35"/>
    <w:rsid w:val="00431ECC"/>
    <w:rsid w:val="00434FBD"/>
    <w:rsid w:val="004354E7"/>
    <w:rsid w:val="0044297A"/>
    <w:rsid w:val="00444075"/>
    <w:rsid w:val="00444E5D"/>
    <w:rsid w:val="00460D73"/>
    <w:rsid w:val="00463BA2"/>
    <w:rsid w:val="00465597"/>
    <w:rsid w:val="004676BA"/>
    <w:rsid w:val="00471154"/>
    <w:rsid w:val="00471C91"/>
    <w:rsid w:val="00477C8D"/>
    <w:rsid w:val="00490576"/>
    <w:rsid w:val="004907E3"/>
    <w:rsid w:val="00491C48"/>
    <w:rsid w:val="00492B7F"/>
    <w:rsid w:val="00492FB2"/>
    <w:rsid w:val="004A58A1"/>
    <w:rsid w:val="004A7C52"/>
    <w:rsid w:val="004B1882"/>
    <w:rsid w:val="004B515A"/>
    <w:rsid w:val="004B7CFA"/>
    <w:rsid w:val="004C0167"/>
    <w:rsid w:val="004C349D"/>
    <w:rsid w:val="004C58EB"/>
    <w:rsid w:val="004C5C6D"/>
    <w:rsid w:val="004D7BB9"/>
    <w:rsid w:val="004E1AF4"/>
    <w:rsid w:val="004E4627"/>
    <w:rsid w:val="004E7AC4"/>
    <w:rsid w:val="004F0BE7"/>
    <w:rsid w:val="004F40B1"/>
    <w:rsid w:val="004F5020"/>
    <w:rsid w:val="00500796"/>
    <w:rsid w:val="00501487"/>
    <w:rsid w:val="00501ED4"/>
    <w:rsid w:val="00502CDA"/>
    <w:rsid w:val="00502D57"/>
    <w:rsid w:val="0050331D"/>
    <w:rsid w:val="005135F3"/>
    <w:rsid w:val="0051407A"/>
    <w:rsid w:val="005143A9"/>
    <w:rsid w:val="00516396"/>
    <w:rsid w:val="00517652"/>
    <w:rsid w:val="00517D4F"/>
    <w:rsid w:val="00521BB9"/>
    <w:rsid w:val="005353B9"/>
    <w:rsid w:val="00540114"/>
    <w:rsid w:val="00544F10"/>
    <w:rsid w:val="0054504C"/>
    <w:rsid w:val="00551DFF"/>
    <w:rsid w:val="0055234D"/>
    <w:rsid w:val="00556959"/>
    <w:rsid w:val="00557D01"/>
    <w:rsid w:val="00562261"/>
    <w:rsid w:val="0056433F"/>
    <w:rsid w:val="005652AB"/>
    <w:rsid w:val="005658AA"/>
    <w:rsid w:val="00565A3E"/>
    <w:rsid w:val="00566050"/>
    <w:rsid w:val="005666BB"/>
    <w:rsid w:val="00566C3A"/>
    <w:rsid w:val="00570EDF"/>
    <w:rsid w:val="00571D3E"/>
    <w:rsid w:val="0057235A"/>
    <w:rsid w:val="0057622C"/>
    <w:rsid w:val="00580B44"/>
    <w:rsid w:val="00582338"/>
    <w:rsid w:val="00584CEB"/>
    <w:rsid w:val="005856C4"/>
    <w:rsid w:val="005918DF"/>
    <w:rsid w:val="005930C7"/>
    <w:rsid w:val="005A5C00"/>
    <w:rsid w:val="005B56BC"/>
    <w:rsid w:val="005B5FC0"/>
    <w:rsid w:val="005D297A"/>
    <w:rsid w:val="005D3695"/>
    <w:rsid w:val="005D4811"/>
    <w:rsid w:val="005D75D8"/>
    <w:rsid w:val="005E1481"/>
    <w:rsid w:val="005E1E93"/>
    <w:rsid w:val="00600A65"/>
    <w:rsid w:val="006016C8"/>
    <w:rsid w:val="006036B4"/>
    <w:rsid w:val="006064F5"/>
    <w:rsid w:val="00610456"/>
    <w:rsid w:val="0061552D"/>
    <w:rsid w:val="00615F4C"/>
    <w:rsid w:val="00616663"/>
    <w:rsid w:val="00624BC7"/>
    <w:rsid w:val="00625D56"/>
    <w:rsid w:val="006274AD"/>
    <w:rsid w:val="006350D7"/>
    <w:rsid w:val="006400E0"/>
    <w:rsid w:val="00650ED4"/>
    <w:rsid w:val="006660C6"/>
    <w:rsid w:val="00670D23"/>
    <w:rsid w:val="00674DD1"/>
    <w:rsid w:val="00676F73"/>
    <w:rsid w:val="00685B8E"/>
    <w:rsid w:val="0069130F"/>
    <w:rsid w:val="006A10A2"/>
    <w:rsid w:val="006A4B5D"/>
    <w:rsid w:val="006B26C9"/>
    <w:rsid w:val="006B2E39"/>
    <w:rsid w:val="006B659F"/>
    <w:rsid w:val="006C0A7E"/>
    <w:rsid w:val="006C75D2"/>
    <w:rsid w:val="006D4696"/>
    <w:rsid w:val="006D6698"/>
    <w:rsid w:val="006D718A"/>
    <w:rsid w:val="006E2523"/>
    <w:rsid w:val="006E6695"/>
    <w:rsid w:val="006F422F"/>
    <w:rsid w:val="006F4646"/>
    <w:rsid w:val="006F673C"/>
    <w:rsid w:val="006F7A40"/>
    <w:rsid w:val="0070027C"/>
    <w:rsid w:val="007008EF"/>
    <w:rsid w:val="00723006"/>
    <w:rsid w:val="00731D4D"/>
    <w:rsid w:val="00732545"/>
    <w:rsid w:val="00732C5A"/>
    <w:rsid w:val="00736534"/>
    <w:rsid w:val="00737046"/>
    <w:rsid w:val="00740A3A"/>
    <w:rsid w:val="007419EE"/>
    <w:rsid w:val="00743C4D"/>
    <w:rsid w:val="00746D88"/>
    <w:rsid w:val="00746F2C"/>
    <w:rsid w:val="00752E4D"/>
    <w:rsid w:val="0077207D"/>
    <w:rsid w:val="00775DAF"/>
    <w:rsid w:val="00781CBA"/>
    <w:rsid w:val="007852F0"/>
    <w:rsid w:val="007966D0"/>
    <w:rsid w:val="007A063E"/>
    <w:rsid w:val="007A6715"/>
    <w:rsid w:val="007B2805"/>
    <w:rsid w:val="007D6D77"/>
    <w:rsid w:val="007D6DF3"/>
    <w:rsid w:val="007E0CBD"/>
    <w:rsid w:val="007E3CB4"/>
    <w:rsid w:val="007E502A"/>
    <w:rsid w:val="007E6518"/>
    <w:rsid w:val="007F00D5"/>
    <w:rsid w:val="007F471D"/>
    <w:rsid w:val="007F6A0E"/>
    <w:rsid w:val="0080063B"/>
    <w:rsid w:val="008006F0"/>
    <w:rsid w:val="0080071E"/>
    <w:rsid w:val="00801CA8"/>
    <w:rsid w:val="0080279A"/>
    <w:rsid w:val="00805E73"/>
    <w:rsid w:val="00810D09"/>
    <w:rsid w:val="00812F08"/>
    <w:rsid w:val="008137BE"/>
    <w:rsid w:val="00813D1D"/>
    <w:rsid w:val="00814DF6"/>
    <w:rsid w:val="008167B7"/>
    <w:rsid w:val="00817910"/>
    <w:rsid w:val="00817C6F"/>
    <w:rsid w:val="0082064B"/>
    <w:rsid w:val="00824015"/>
    <w:rsid w:val="00833EE7"/>
    <w:rsid w:val="008353E9"/>
    <w:rsid w:val="00835EE9"/>
    <w:rsid w:val="00844C78"/>
    <w:rsid w:val="0084607B"/>
    <w:rsid w:val="00851D55"/>
    <w:rsid w:val="008523E7"/>
    <w:rsid w:val="00855994"/>
    <w:rsid w:val="008567EC"/>
    <w:rsid w:val="00856DD9"/>
    <w:rsid w:val="00860742"/>
    <w:rsid w:val="00861E94"/>
    <w:rsid w:val="00864204"/>
    <w:rsid w:val="00864AC8"/>
    <w:rsid w:val="008660FC"/>
    <w:rsid w:val="00871936"/>
    <w:rsid w:val="008825AA"/>
    <w:rsid w:val="00884A8B"/>
    <w:rsid w:val="00886AC5"/>
    <w:rsid w:val="00890525"/>
    <w:rsid w:val="00891596"/>
    <w:rsid w:val="00892EA5"/>
    <w:rsid w:val="008934CC"/>
    <w:rsid w:val="00893E49"/>
    <w:rsid w:val="00895A1D"/>
    <w:rsid w:val="00896067"/>
    <w:rsid w:val="008979A6"/>
    <w:rsid w:val="008B14A3"/>
    <w:rsid w:val="008B456C"/>
    <w:rsid w:val="008B6CC1"/>
    <w:rsid w:val="008C0454"/>
    <w:rsid w:val="008C0D18"/>
    <w:rsid w:val="008C2497"/>
    <w:rsid w:val="008C24D1"/>
    <w:rsid w:val="008C41AA"/>
    <w:rsid w:val="008C68B8"/>
    <w:rsid w:val="008D05EA"/>
    <w:rsid w:val="008D0BF2"/>
    <w:rsid w:val="008D14B3"/>
    <w:rsid w:val="008D2597"/>
    <w:rsid w:val="008D598B"/>
    <w:rsid w:val="008E00EF"/>
    <w:rsid w:val="008E0F27"/>
    <w:rsid w:val="008E5E1F"/>
    <w:rsid w:val="008E6726"/>
    <w:rsid w:val="008E6F02"/>
    <w:rsid w:val="008E7CBF"/>
    <w:rsid w:val="008F10C7"/>
    <w:rsid w:val="008F5F37"/>
    <w:rsid w:val="008F716F"/>
    <w:rsid w:val="00901876"/>
    <w:rsid w:val="00903530"/>
    <w:rsid w:val="009051AD"/>
    <w:rsid w:val="00905F01"/>
    <w:rsid w:val="009166C8"/>
    <w:rsid w:val="00917120"/>
    <w:rsid w:val="0094153A"/>
    <w:rsid w:val="0094349B"/>
    <w:rsid w:val="009436C5"/>
    <w:rsid w:val="00946DEE"/>
    <w:rsid w:val="00946F7B"/>
    <w:rsid w:val="00947ABE"/>
    <w:rsid w:val="00950EAA"/>
    <w:rsid w:val="00951011"/>
    <w:rsid w:val="00956046"/>
    <w:rsid w:val="00957423"/>
    <w:rsid w:val="00960809"/>
    <w:rsid w:val="00967445"/>
    <w:rsid w:val="00967682"/>
    <w:rsid w:val="0097400D"/>
    <w:rsid w:val="00980EC8"/>
    <w:rsid w:val="009835C5"/>
    <w:rsid w:val="009927F5"/>
    <w:rsid w:val="009937FC"/>
    <w:rsid w:val="009975C4"/>
    <w:rsid w:val="009A221D"/>
    <w:rsid w:val="009A47BF"/>
    <w:rsid w:val="009A61C3"/>
    <w:rsid w:val="009A6B6F"/>
    <w:rsid w:val="009A7BEC"/>
    <w:rsid w:val="009B7F63"/>
    <w:rsid w:val="009C0176"/>
    <w:rsid w:val="009D3EC3"/>
    <w:rsid w:val="009D4F55"/>
    <w:rsid w:val="009D7340"/>
    <w:rsid w:val="009D7411"/>
    <w:rsid w:val="009E661F"/>
    <w:rsid w:val="009F1F3B"/>
    <w:rsid w:val="009F5029"/>
    <w:rsid w:val="00A0009F"/>
    <w:rsid w:val="00A01BB8"/>
    <w:rsid w:val="00A02844"/>
    <w:rsid w:val="00A068F6"/>
    <w:rsid w:val="00A1495C"/>
    <w:rsid w:val="00A15183"/>
    <w:rsid w:val="00A23AB3"/>
    <w:rsid w:val="00A27416"/>
    <w:rsid w:val="00A4490A"/>
    <w:rsid w:val="00A55DC8"/>
    <w:rsid w:val="00A624A4"/>
    <w:rsid w:val="00A72C78"/>
    <w:rsid w:val="00A7583C"/>
    <w:rsid w:val="00A812A3"/>
    <w:rsid w:val="00A81881"/>
    <w:rsid w:val="00A82C3A"/>
    <w:rsid w:val="00A943DD"/>
    <w:rsid w:val="00A95887"/>
    <w:rsid w:val="00A977DF"/>
    <w:rsid w:val="00AA19CC"/>
    <w:rsid w:val="00AA21BD"/>
    <w:rsid w:val="00AA3A68"/>
    <w:rsid w:val="00AA690F"/>
    <w:rsid w:val="00AA7914"/>
    <w:rsid w:val="00AB023F"/>
    <w:rsid w:val="00AC00A3"/>
    <w:rsid w:val="00AC7A0D"/>
    <w:rsid w:val="00AE5AA9"/>
    <w:rsid w:val="00AE5B1A"/>
    <w:rsid w:val="00AF2D0A"/>
    <w:rsid w:val="00AF310E"/>
    <w:rsid w:val="00AF486A"/>
    <w:rsid w:val="00AF722D"/>
    <w:rsid w:val="00B02DBB"/>
    <w:rsid w:val="00B129F3"/>
    <w:rsid w:val="00B170DE"/>
    <w:rsid w:val="00B261B1"/>
    <w:rsid w:val="00B306A1"/>
    <w:rsid w:val="00B30F9C"/>
    <w:rsid w:val="00B34B7A"/>
    <w:rsid w:val="00B35D12"/>
    <w:rsid w:val="00B450F2"/>
    <w:rsid w:val="00B4742D"/>
    <w:rsid w:val="00B47CBA"/>
    <w:rsid w:val="00B50AA3"/>
    <w:rsid w:val="00B56817"/>
    <w:rsid w:val="00B6797F"/>
    <w:rsid w:val="00B71314"/>
    <w:rsid w:val="00B73A11"/>
    <w:rsid w:val="00B7616A"/>
    <w:rsid w:val="00B76DE1"/>
    <w:rsid w:val="00B93D95"/>
    <w:rsid w:val="00B96F49"/>
    <w:rsid w:val="00B97212"/>
    <w:rsid w:val="00BA15FD"/>
    <w:rsid w:val="00BA2835"/>
    <w:rsid w:val="00BA3BB9"/>
    <w:rsid w:val="00BA6D82"/>
    <w:rsid w:val="00BB68F9"/>
    <w:rsid w:val="00BB69EC"/>
    <w:rsid w:val="00BC18E1"/>
    <w:rsid w:val="00BC346E"/>
    <w:rsid w:val="00BC5783"/>
    <w:rsid w:val="00BD3646"/>
    <w:rsid w:val="00BD4091"/>
    <w:rsid w:val="00BE2025"/>
    <w:rsid w:val="00BF1093"/>
    <w:rsid w:val="00BF36D3"/>
    <w:rsid w:val="00BF65B8"/>
    <w:rsid w:val="00BF6650"/>
    <w:rsid w:val="00C032F7"/>
    <w:rsid w:val="00C10D7D"/>
    <w:rsid w:val="00C1240A"/>
    <w:rsid w:val="00C17F8A"/>
    <w:rsid w:val="00C20C6F"/>
    <w:rsid w:val="00C22053"/>
    <w:rsid w:val="00C341FB"/>
    <w:rsid w:val="00C35100"/>
    <w:rsid w:val="00C439CC"/>
    <w:rsid w:val="00C44D28"/>
    <w:rsid w:val="00C46F5C"/>
    <w:rsid w:val="00C47769"/>
    <w:rsid w:val="00C5098D"/>
    <w:rsid w:val="00C51252"/>
    <w:rsid w:val="00C5183A"/>
    <w:rsid w:val="00C5410B"/>
    <w:rsid w:val="00C64003"/>
    <w:rsid w:val="00C64F53"/>
    <w:rsid w:val="00C67C17"/>
    <w:rsid w:val="00C74533"/>
    <w:rsid w:val="00C75F8A"/>
    <w:rsid w:val="00C76E1B"/>
    <w:rsid w:val="00C7731C"/>
    <w:rsid w:val="00C87C10"/>
    <w:rsid w:val="00C950A0"/>
    <w:rsid w:val="00C97BDE"/>
    <w:rsid w:val="00CA56F9"/>
    <w:rsid w:val="00CA67C6"/>
    <w:rsid w:val="00CB12BD"/>
    <w:rsid w:val="00CB284A"/>
    <w:rsid w:val="00CB400B"/>
    <w:rsid w:val="00CB4FB7"/>
    <w:rsid w:val="00CC04C2"/>
    <w:rsid w:val="00CC6843"/>
    <w:rsid w:val="00CC7CA2"/>
    <w:rsid w:val="00CD4315"/>
    <w:rsid w:val="00CD691D"/>
    <w:rsid w:val="00CE1096"/>
    <w:rsid w:val="00CE40B8"/>
    <w:rsid w:val="00CE5671"/>
    <w:rsid w:val="00CE7F57"/>
    <w:rsid w:val="00CF090E"/>
    <w:rsid w:val="00CF5736"/>
    <w:rsid w:val="00CF6ADE"/>
    <w:rsid w:val="00D050C2"/>
    <w:rsid w:val="00D124ED"/>
    <w:rsid w:val="00D130DF"/>
    <w:rsid w:val="00D1773A"/>
    <w:rsid w:val="00D304B4"/>
    <w:rsid w:val="00D34FB9"/>
    <w:rsid w:val="00D41038"/>
    <w:rsid w:val="00D41276"/>
    <w:rsid w:val="00D41397"/>
    <w:rsid w:val="00D42191"/>
    <w:rsid w:val="00D42A92"/>
    <w:rsid w:val="00D43813"/>
    <w:rsid w:val="00D44144"/>
    <w:rsid w:val="00D4646D"/>
    <w:rsid w:val="00D474B5"/>
    <w:rsid w:val="00D5170B"/>
    <w:rsid w:val="00D52B67"/>
    <w:rsid w:val="00D5334A"/>
    <w:rsid w:val="00D5549D"/>
    <w:rsid w:val="00D60D62"/>
    <w:rsid w:val="00D638C0"/>
    <w:rsid w:val="00D76C48"/>
    <w:rsid w:val="00D80C66"/>
    <w:rsid w:val="00D81BAC"/>
    <w:rsid w:val="00D841B9"/>
    <w:rsid w:val="00DA0EDB"/>
    <w:rsid w:val="00DA2298"/>
    <w:rsid w:val="00DA6347"/>
    <w:rsid w:val="00DA63F1"/>
    <w:rsid w:val="00DB1E47"/>
    <w:rsid w:val="00DB57BB"/>
    <w:rsid w:val="00DC0074"/>
    <w:rsid w:val="00DC0914"/>
    <w:rsid w:val="00DC0B5D"/>
    <w:rsid w:val="00DC3A2C"/>
    <w:rsid w:val="00DC63D3"/>
    <w:rsid w:val="00DC7A76"/>
    <w:rsid w:val="00DD172E"/>
    <w:rsid w:val="00DD5805"/>
    <w:rsid w:val="00DD6093"/>
    <w:rsid w:val="00DD6116"/>
    <w:rsid w:val="00DE182F"/>
    <w:rsid w:val="00DE22F0"/>
    <w:rsid w:val="00DF1562"/>
    <w:rsid w:val="00DF49FD"/>
    <w:rsid w:val="00DF5A07"/>
    <w:rsid w:val="00E067AA"/>
    <w:rsid w:val="00E10CDB"/>
    <w:rsid w:val="00E132F5"/>
    <w:rsid w:val="00E1782E"/>
    <w:rsid w:val="00E25E1C"/>
    <w:rsid w:val="00E273F1"/>
    <w:rsid w:val="00E34822"/>
    <w:rsid w:val="00E40A48"/>
    <w:rsid w:val="00E47F10"/>
    <w:rsid w:val="00E51057"/>
    <w:rsid w:val="00E56EBC"/>
    <w:rsid w:val="00E5770C"/>
    <w:rsid w:val="00E61760"/>
    <w:rsid w:val="00E64222"/>
    <w:rsid w:val="00E6765C"/>
    <w:rsid w:val="00E74185"/>
    <w:rsid w:val="00E76A73"/>
    <w:rsid w:val="00E8360C"/>
    <w:rsid w:val="00E90965"/>
    <w:rsid w:val="00E94E9F"/>
    <w:rsid w:val="00EB09B6"/>
    <w:rsid w:val="00EC091B"/>
    <w:rsid w:val="00EC5526"/>
    <w:rsid w:val="00ED3016"/>
    <w:rsid w:val="00ED3DFC"/>
    <w:rsid w:val="00EE2D9D"/>
    <w:rsid w:val="00EF00CE"/>
    <w:rsid w:val="00EF454D"/>
    <w:rsid w:val="00EF4AD8"/>
    <w:rsid w:val="00EF5142"/>
    <w:rsid w:val="00EF5A27"/>
    <w:rsid w:val="00F0231F"/>
    <w:rsid w:val="00F05674"/>
    <w:rsid w:val="00F0603C"/>
    <w:rsid w:val="00F17C4D"/>
    <w:rsid w:val="00F30E82"/>
    <w:rsid w:val="00F33DD6"/>
    <w:rsid w:val="00F363B5"/>
    <w:rsid w:val="00F37624"/>
    <w:rsid w:val="00F40D4F"/>
    <w:rsid w:val="00F443AC"/>
    <w:rsid w:val="00F478EC"/>
    <w:rsid w:val="00F56D87"/>
    <w:rsid w:val="00F576FC"/>
    <w:rsid w:val="00F60D0C"/>
    <w:rsid w:val="00F637CC"/>
    <w:rsid w:val="00F65133"/>
    <w:rsid w:val="00F74D82"/>
    <w:rsid w:val="00F77928"/>
    <w:rsid w:val="00F8135E"/>
    <w:rsid w:val="00F81E82"/>
    <w:rsid w:val="00F85159"/>
    <w:rsid w:val="00F91FFE"/>
    <w:rsid w:val="00F92EDD"/>
    <w:rsid w:val="00F94B2F"/>
    <w:rsid w:val="00F96C8B"/>
    <w:rsid w:val="00FA2CAD"/>
    <w:rsid w:val="00FB09F1"/>
    <w:rsid w:val="00FB7478"/>
    <w:rsid w:val="00FB7F6B"/>
    <w:rsid w:val="00FC7B0B"/>
    <w:rsid w:val="00FC7B11"/>
    <w:rsid w:val="00FD044E"/>
    <w:rsid w:val="00FD0883"/>
    <w:rsid w:val="00FD4C92"/>
    <w:rsid w:val="00FD5A72"/>
    <w:rsid w:val="00FD7854"/>
    <w:rsid w:val="00FE05C9"/>
    <w:rsid w:val="00FE484E"/>
    <w:rsid w:val="00FF44AA"/>
    <w:rsid w:val="00FF46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F334573"/>
  <w15:chartTrackingRefBased/>
  <w15:docId w15:val="{15D0A4E9-C8C0-4A41-B8DE-ABD65712A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B6F"/>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0313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313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313E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313E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313E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313E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313E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313E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313E3"/>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313E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313E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313E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313E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313E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313E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313E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313E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313E3"/>
    <w:rPr>
      <w:rFonts w:eastAsiaTheme="majorEastAsia" w:cstheme="majorBidi"/>
      <w:color w:val="272727" w:themeColor="text1" w:themeTint="D8"/>
    </w:rPr>
  </w:style>
  <w:style w:type="paragraph" w:styleId="Titre">
    <w:name w:val="Title"/>
    <w:basedOn w:val="Normal"/>
    <w:next w:val="Normal"/>
    <w:link w:val="TitreCar"/>
    <w:uiPriority w:val="10"/>
    <w:qFormat/>
    <w:rsid w:val="000313E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313E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313E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313E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313E3"/>
    <w:pPr>
      <w:spacing w:before="160"/>
      <w:jc w:val="center"/>
    </w:pPr>
    <w:rPr>
      <w:i/>
      <w:iCs/>
      <w:color w:val="404040" w:themeColor="text1" w:themeTint="BF"/>
    </w:rPr>
  </w:style>
  <w:style w:type="character" w:customStyle="1" w:styleId="CitationCar">
    <w:name w:val="Citation Car"/>
    <w:basedOn w:val="Policepardfaut"/>
    <w:link w:val="Citation"/>
    <w:uiPriority w:val="29"/>
    <w:rsid w:val="000313E3"/>
    <w:rPr>
      <w:i/>
      <w:iCs/>
      <w:color w:val="404040" w:themeColor="text1" w:themeTint="BF"/>
    </w:rPr>
  </w:style>
  <w:style w:type="paragraph" w:styleId="Paragraphedeliste">
    <w:name w:val="List Paragraph"/>
    <w:basedOn w:val="Normal"/>
    <w:uiPriority w:val="34"/>
    <w:qFormat/>
    <w:rsid w:val="000313E3"/>
    <w:pPr>
      <w:ind w:left="720"/>
      <w:contextualSpacing/>
    </w:pPr>
  </w:style>
  <w:style w:type="character" w:styleId="Accentuationintense">
    <w:name w:val="Intense Emphasis"/>
    <w:basedOn w:val="Policepardfaut"/>
    <w:uiPriority w:val="21"/>
    <w:qFormat/>
    <w:rsid w:val="000313E3"/>
    <w:rPr>
      <w:i/>
      <w:iCs/>
      <w:color w:val="0F4761" w:themeColor="accent1" w:themeShade="BF"/>
    </w:rPr>
  </w:style>
  <w:style w:type="paragraph" w:styleId="Citationintense">
    <w:name w:val="Intense Quote"/>
    <w:basedOn w:val="Normal"/>
    <w:next w:val="Normal"/>
    <w:link w:val="CitationintenseCar"/>
    <w:uiPriority w:val="30"/>
    <w:qFormat/>
    <w:rsid w:val="000313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313E3"/>
    <w:rPr>
      <w:i/>
      <w:iCs/>
      <w:color w:val="0F4761" w:themeColor="accent1" w:themeShade="BF"/>
    </w:rPr>
  </w:style>
  <w:style w:type="character" w:styleId="Rfrenceintense">
    <w:name w:val="Intense Reference"/>
    <w:basedOn w:val="Policepardfaut"/>
    <w:uiPriority w:val="32"/>
    <w:qFormat/>
    <w:rsid w:val="000313E3"/>
    <w:rPr>
      <w:b/>
      <w:bCs/>
      <w:smallCaps/>
      <w:color w:val="0F4761" w:themeColor="accent1" w:themeShade="BF"/>
      <w:spacing w:val="5"/>
    </w:rPr>
  </w:style>
  <w:style w:type="paragraph" w:styleId="Notedebasdepage">
    <w:name w:val="footnote text"/>
    <w:aliases w:val="5_G,Footnote Text Char Char Char Char Char,Footnote Text Char Char Char Char,Footnote reference,FA Fu,Footnote Text Char Char Char,Footnote Reference1, Char,Char,ft,Style 27,Char Char Char Char Char,Style 11, Char Char Char"/>
    <w:basedOn w:val="Normal"/>
    <w:link w:val="NotedebasdepageCar"/>
    <w:uiPriority w:val="99"/>
    <w:unhideWhenUsed/>
    <w:qFormat/>
    <w:rsid w:val="009D4F55"/>
    <w:rPr>
      <w:sz w:val="20"/>
      <w:szCs w:val="20"/>
    </w:rPr>
  </w:style>
  <w:style w:type="character" w:customStyle="1" w:styleId="NotedebasdepageCar">
    <w:name w:val="Note de bas de page Car"/>
    <w:aliases w:val="5_G Car,Footnote Text Char Char Char Char Char Car,Footnote Text Char Char Char Char Car,Footnote reference Car,FA Fu Car,Footnote Text Char Char Char Car,Footnote Reference1 Car, Char Car,Char Car,ft Car,Style 27 Car"/>
    <w:basedOn w:val="Policepardfaut"/>
    <w:link w:val="Notedebasdepage"/>
    <w:uiPriority w:val="99"/>
    <w:qFormat/>
    <w:rsid w:val="009D4F55"/>
    <w:rPr>
      <w:sz w:val="20"/>
      <w:szCs w:val="20"/>
    </w:rPr>
  </w:style>
  <w:style w:type="character" w:styleId="Appelnotedebasdep">
    <w:name w:val="footnote reference"/>
    <w:aliases w:val="4_G,Footnote number,ftref,Footnotes refss,Style 10,referencia nota al pie,BVI fnr,Footnote text,4_Footnote text,callout,Fago Fußnotenzeichen,16 Point,Superscript 6 Point,Footnote,Footnote symbol,f,Footnote Refernece,Ref,callou"/>
    <w:basedOn w:val="Policepardfaut"/>
    <w:link w:val="Appelnotedebasde"/>
    <w:unhideWhenUsed/>
    <w:qFormat/>
    <w:rsid w:val="009D4F55"/>
    <w:rPr>
      <w:vertAlign w:val="superscript"/>
    </w:rPr>
  </w:style>
  <w:style w:type="paragraph" w:customStyle="1" w:styleId="isselectedend">
    <w:name w:val="isselectedend"/>
    <w:basedOn w:val="Normal"/>
    <w:rsid w:val="0077207D"/>
    <w:pPr>
      <w:spacing w:before="100" w:beforeAutospacing="1" w:after="100" w:afterAutospacing="1"/>
    </w:pPr>
  </w:style>
  <w:style w:type="paragraph" w:styleId="NormalWeb">
    <w:name w:val="Normal (Web)"/>
    <w:basedOn w:val="Normal"/>
    <w:uiPriority w:val="99"/>
    <w:semiHidden/>
    <w:unhideWhenUsed/>
    <w:rsid w:val="0077207D"/>
    <w:pPr>
      <w:spacing w:before="100" w:beforeAutospacing="1" w:after="100" w:afterAutospacing="1"/>
    </w:pPr>
  </w:style>
  <w:style w:type="paragraph" w:customStyle="1" w:styleId="Date1">
    <w:name w:val="Date1"/>
    <w:basedOn w:val="Normal"/>
    <w:rsid w:val="009A6B6F"/>
    <w:pPr>
      <w:spacing w:before="100" w:beforeAutospacing="1" w:after="100" w:afterAutospacing="1"/>
    </w:pPr>
  </w:style>
  <w:style w:type="character" w:styleId="Lienhypertexte">
    <w:name w:val="Hyperlink"/>
    <w:basedOn w:val="Policepardfaut"/>
    <w:uiPriority w:val="99"/>
    <w:semiHidden/>
    <w:unhideWhenUsed/>
    <w:rsid w:val="009A6B6F"/>
    <w:rPr>
      <w:color w:val="0000FF"/>
      <w:u w:val="single"/>
    </w:rPr>
  </w:style>
  <w:style w:type="paragraph" w:customStyle="1" w:styleId="Standard">
    <w:name w:val="Standard"/>
    <w:rsid w:val="00EF5A27"/>
    <w:pPr>
      <w:widowControl w:val="0"/>
      <w:suppressAutoHyphens/>
      <w:autoSpaceDN w:val="0"/>
      <w:spacing w:after="0" w:line="240" w:lineRule="auto"/>
      <w:textAlignment w:val="baseline"/>
    </w:pPr>
    <w:rPr>
      <w:rFonts w:ascii="Times New Roman" w:eastAsia="Arial Unicode MS" w:hAnsi="Times New Roman" w:cs="Arial Unicode MS"/>
      <w:kern w:val="3"/>
      <w:lang w:eastAsia="zh-CN" w:bidi="hi-IN"/>
      <w14:ligatures w14:val="none"/>
    </w:rPr>
  </w:style>
  <w:style w:type="character" w:customStyle="1" w:styleId="StrongEmphasis">
    <w:name w:val="Strong Emphasis"/>
    <w:rsid w:val="00EF5A27"/>
    <w:rPr>
      <w:b/>
      <w:bCs/>
    </w:rPr>
  </w:style>
  <w:style w:type="paragraph" w:styleId="En-tte">
    <w:name w:val="header"/>
    <w:basedOn w:val="Normal"/>
    <w:link w:val="En-tteCar"/>
    <w:uiPriority w:val="99"/>
    <w:semiHidden/>
    <w:unhideWhenUsed/>
    <w:rsid w:val="00C46F5C"/>
    <w:pPr>
      <w:tabs>
        <w:tab w:val="center" w:pos="4536"/>
        <w:tab w:val="right" w:pos="9072"/>
      </w:tabs>
    </w:pPr>
  </w:style>
  <w:style w:type="character" w:customStyle="1" w:styleId="En-tteCar">
    <w:name w:val="En-tête Car"/>
    <w:basedOn w:val="Policepardfaut"/>
    <w:link w:val="En-tte"/>
    <w:uiPriority w:val="99"/>
    <w:semiHidden/>
    <w:rsid w:val="00C46F5C"/>
    <w:rPr>
      <w:rFonts w:ascii="Times New Roman" w:eastAsia="Times New Roman" w:hAnsi="Times New Roman" w:cs="Times New Roman"/>
      <w:kern w:val="0"/>
      <w:lang w:eastAsia="fr-FR"/>
      <w14:ligatures w14:val="none"/>
    </w:rPr>
  </w:style>
  <w:style w:type="paragraph" w:styleId="Pieddepage">
    <w:name w:val="footer"/>
    <w:basedOn w:val="Normal"/>
    <w:link w:val="PieddepageCar"/>
    <w:uiPriority w:val="99"/>
    <w:semiHidden/>
    <w:unhideWhenUsed/>
    <w:rsid w:val="00C46F5C"/>
    <w:pPr>
      <w:tabs>
        <w:tab w:val="center" w:pos="4536"/>
        <w:tab w:val="right" w:pos="9072"/>
      </w:tabs>
    </w:pPr>
  </w:style>
  <w:style w:type="character" w:customStyle="1" w:styleId="PieddepageCar">
    <w:name w:val="Pied de page Car"/>
    <w:basedOn w:val="Policepardfaut"/>
    <w:link w:val="Pieddepage"/>
    <w:uiPriority w:val="99"/>
    <w:semiHidden/>
    <w:rsid w:val="00C46F5C"/>
    <w:rPr>
      <w:rFonts w:ascii="Times New Roman" w:eastAsia="Times New Roman" w:hAnsi="Times New Roman" w:cs="Times New Roman"/>
      <w:kern w:val="0"/>
      <w:lang w:eastAsia="fr-FR"/>
      <w14:ligatures w14:val="none"/>
    </w:rPr>
  </w:style>
  <w:style w:type="paragraph" w:customStyle="1" w:styleId="Appelnotedebasde">
    <w:name w:val="Appel note de bas de"/>
    <w:aliases w:val="Appel note de bas de page Char Char Char Char Char Char Char Char,Appel note de bas de page Char2 Char Char Char Char Char Char Char Char Char Char,Appel note de bas de page Char1"/>
    <w:basedOn w:val="Normal"/>
    <w:link w:val="Appelnotedebasdep"/>
    <w:rsid w:val="002C62AD"/>
    <w:pPr>
      <w:spacing w:before="120" w:after="120"/>
    </w:pPr>
    <w:rPr>
      <w:rFonts w:asciiTheme="minorHAnsi" w:eastAsiaTheme="minorHAnsi" w:hAnsiTheme="minorHAnsi" w:cstheme="minorBidi"/>
      <w:kern w:val="2"/>
      <w:vertAlign w:val="superscript"/>
      <w:lang w:eastAsia="en-US"/>
      <w14:ligatures w14:val="standardContextual"/>
    </w:rPr>
  </w:style>
  <w:style w:type="character" w:styleId="Marquedecommentaire">
    <w:name w:val="annotation reference"/>
    <w:basedOn w:val="Policepardfaut"/>
    <w:uiPriority w:val="99"/>
    <w:semiHidden/>
    <w:unhideWhenUsed/>
    <w:rsid w:val="00CF6ADE"/>
    <w:rPr>
      <w:sz w:val="16"/>
      <w:szCs w:val="16"/>
    </w:rPr>
  </w:style>
  <w:style w:type="paragraph" w:styleId="Commentaire">
    <w:name w:val="annotation text"/>
    <w:basedOn w:val="Normal"/>
    <w:link w:val="CommentaireCar"/>
    <w:uiPriority w:val="99"/>
    <w:semiHidden/>
    <w:unhideWhenUsed/>
    <w:rsid w:val="00CF6ADE"/>
    <w:rPr>
      <w:sz w:val="20"/>
      <w:szCs w:val="20"/>
    </w:rPr>
  </w:style>
  <w:style w:type="character" w:customStyle="1" w:styleId="CommentaireCar">
    <w:name w:val="Commentaire Car"/>
    <w:basedOn w:val="Policepardfaut"/>
    <w:link w:val="Commentaire"/>
    <w:uiPriority w:val="99"/>
    <w:semiHidden/>
    <w:rsid w:val="00CF6ADE"/>
    <w:rPr>
      <w:rFonts w:ascii="Times New Roman" w:eastAsia="Times New Roman" w:hAnsi="Times New Roman" w:cs="Times New Roman"/>
      <w:kern w:val="0"/>
      <w:sz w:val="20"/>
      <w:szCs w:val="20"/>
      <w:lang w:eastAsia="fr-FR"/>
      <w14:ligatures w14:val="none"/>
    </w:rPr>
  </w:style>
  <w:style w:type="paragraph" w:styleId="Objetducommentaire">
    <w:name w:val="annotation subject"/>
    <w:basedOn w:val="Commentaire"/>
    <w:next w:val="Commentaire"/>
    <w:link w:val="ObjetducommentaireCar"/>
    <w:uiPriority w:val="99"/>
    <w:semiHidden/>
    <w:unhideWhenUsed/>
    <w:rsid w:val="00CF6ADE"/>
    <w:rPr>
      <w:b/>
      <w:bCs/>
    </w:rPr>
  </w:style>
  <w:style w:type="character" w:customStyle="1" w:styleId="ObjetducommentaireCar">
    <w:name w:val="Objet du commentaire Car"/>
    <w:basedOn w:val="CommentaireCar"/>
    <w:link w:val="Objetducommentaire"/>
    <w:uiPriority w:val="99"/>
    <w:semiHidden/>
    <w:rsid w:val="00CF6ADE"/>
    <w:rPr>
      <w:rFonts w:ascii="Times New Roman" w:eastAsia="Times New Roman" w:hAnsi="Times New Roman" w:cs="Times New Roman"/>
      <w:b/>
      <w:bCs/>
      <w:kern w:val="0"/>
      <w:sz w:val="20"/>
      <w:szCs w:val="2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1</AIcounter>
    <Category xmlns="d42e65b2-cf21-49c1-b27d-d23f90380c0e">Individuals</Category>
    <Filename xmlns="d42e65b2-cf21-49c1-b27d-d23f90380c0e" xsi:nil="true"/>
    <Doctype xmlns="d42e65b2-cf21-49c1-b27d-d23f90380c0e">input</Doctype>
    <Contributor xmlns="d42e65b2-cf21-49c1-b27d-d23f90380c0e">Juliette Guilbaud and Youri Krassoulia</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D1B639FE-2468-4075-8E3C-7D3EB50A6871}"/>
</file>

<file path=customXml/itemProps2.xml><?xml version="1.0" encoding="utf-8"?>
<ds:datastoreItem xmlns:ds="http://schemas.openxmlformats.org/officeDocument/2006/customXml" ds:itemID="{CED58A12-F0E7-4330-91E1-347FDC872D2F}"/>
</file>

<file path=customXml/itemProps3.xml><?xml version="1.0" encoding="utf-8"?>
<ds:datastoreItem xmlns:ds="http://schemas.openxmlformats.org/officeDocument/2006/customXml" ds:itemID="{4CB90B88-3F4D-458D-AFF9-165CEA1AB68F}"/>
</file>

<file path=docProps/app.xml><?xml version="1.0" encoding="utf-8"?>
<Properties xmlns="http://schemas.openxmlformats.org/officeDocument/2006/extended-properties" xmlns:vt="http://schemas.openxmlformats.org/officeDocument/2006/docPropsVTypes">
  <Template>Normal.dotm</Template>
  <TotalTime>0</TotalTime>
  <Pages>7</Pages>
  <Words>3310</Words>
  <Characters>18209</Characters>
  <Application>Microsoft Office Word</Application>
  <DocSecurity>0</DocSecurity>
  <Lines>151</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Guilbaud</dc:creator>
  <cp:keywords/>
  <dc:description/>
  <cp:lastModifiedBy>computer</cp:lastModifiedBy>
  <cp:revision>4</cp:revision>
  <dcterms:created xsi:type="dcterms:W3CDTF">2026-07-15T17:10:00Z</dcterms:created>
  <dcterms:modified xsi:type="dcterms:W3CDTF">2026-07-15T17:17:00Z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