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CE1D" w14:textId="72304037" w:rsidR="003618CC" w:rsidRPr="000E7426" w:rsidRDefault="003618CC" w:rsidP="000E7426">
      <w:pPr>
        <w:spacing w:line="360" w:lineRule="auto"/>
        <w:jc w:val="center"/>
        <w:rPr>
          <w:rFonts w:ascii="Book Antiqua" w:hAnsi="Book Antiqua" w:cs="Calibri"/>
          <w:b/>
          <w:bCs/>
          <w:sz w:val="28"/>
          <w:szCs w:val="28"/>
        </w:rPr>
      </w:pPr>
      <w:r w:rsidRPr="000E7426">
        <w:rPr>
          <w:rFonts w:ascii="Book Antiqua" w:hAnsi="Book Antiqua" w:cs="Calibri"/>
          <w:b/>
          <w:bCs/>
          <w:sz w:val="28"/>
          <w:szCs w:val="28"/>
        </w:rPr>
        <w:t>Submission of Ireland</w:t>
      </w:r>
      <w:r w:rsidR="000E7426" w:rsidRPr="000E7426">
        <w:rPr>
          <w:rFonts w:ascii="Book Antiqua" w:hAnsi="Book Antiqua" w:cs="Calibri"/>
          <w:b/>
          <w:bCs/>
          <w:sz w:val="28"/>
          <w:szCs w:val="28"/>
        </w:rPr>
        <w:t xml:space="preserve"> on </w:t>
      </w:r>
      <w:r w:rsidRPr="000E7426">
        <w:rPr>
          <w:rFonts w:ascii="Book Antiqua" w:hAnsi="Book Antiqua" w:cs="Calibri"/>
          <w:b/>
          <w:bCs/>
          <w:sz w:val="28"/>
          <w:szCs w:val="28"/>
        </w:rPr>
        <w:t>Draft General Comment No. 38 on Article 22 (</w:t>
      </w:r>
      <w:r w:rsidR="008A251A">
        <w:rPr>
          <w:rFonts w:ascii="Book Antiqua" w:hAnsi="Book Antiqua" w:cs="Calibri"/>
          <w:b/>
          <w:bCs/>
          <w:sz w:val="28"/>
          <w:szCs w:val="28"/>
        </w:rPr>
        <w:t xml:space="preserve">on the right to </w:t>
      </w:r>
      <w:r w:rsidRPr="000E7426">
        <w:rPr>
          <w:rFonts w:ascii="Book Antiqua" w:hAnsi="Book Antiqua" w:cs="Calibri"/>
          <w:b/>
          <w:bCs/>
          <w:sz w:val="28"/>
          <w:szCs w:val="28"/>
        </w:rPr>
        <w:t>freedom of association) of the International Covenant on Civil and Political rights</w:t>
      </w:r>
    </w:p>
    <w:p w14:paraId="647F6205" w14:textId="77777777" w:rsidR="00AE1824" w:rsidRPr="005C2FD2" w:rsidRDefault="00AE1824" w:rsidP="005C2FD2">
      <w:pPr>
        <w:pStyle w:val="ListParagraph"/>
        <w:numPr>
          <w:ilvl w:val="0"/>
          <w:numId w:val="1"/>
        </w:numPr>
        <w:spacing w:line="360" w:lineRule="auto"/>
        <w:rPr>
          <w:rFonts w:ascii="Book Antiqua" w:hAnsi="Book Antiqua" w:cs="Calibri"/>
          <w:b/>
          <w:bCs/>
        </w:rPr>
      </w:pPr>
      <w:r w:rsidRPr="005C2FD2">
        <w:rPr>
          <w:rFonts w:ascii="Book Antiqua" w:hAnsi="Book Antiqua" w:cs="Calibri"/>
          <w:b/>
          <w:bCs/>
        </w:rPr>
        <w:t xml:space="preserve">General remarks </w:t>
      </w:r>
    </w:p>
    <w:p w14:paraId="5E4CA192" w14:textId="504D7EE0" w:rsidR="00AE1824" w:rsidRPr="005C2FD2" w:rsidRDefault="006D16BF" w:rsidP="005C2FD2">
      <w:pPr>
        <w:spacing w:line="360" w:lineRule="auto"/>
        <w:ind w:left="360"/>
        <w:jc w:val="both"/>
        <w:rPr>
          <w:rFonts w:ascii="Calibri" w:hAnsi="Calibri" w:cs="Calibri"/>
        </w:rPr>
      </w:pPr>
      <w:r w:rsidRPr="005C2FD2">
        <w:rPr>
          <w:rFonts w:ascii="Calibri" w:hAnsi="Calibri" w:cs="Calibri"/>
        </w:rPr>
        <w:t xml:space="preserve">Ireland </w:t>
      </w:r>
      <w:r w:rsidR="004711D9" w:rsidRPr="005C2FD2">
        <w:rPr>
          <w:rFonts w:ascii="Calibri" w:hAnsi="Calibri" w:cs="Calibri"/>
        </w:rPr>
        <w:t xml:space="preserve">notes </w:t>
      </w:r>
      <w:r w:rsidRPr="005C2FD2">
        <w:rPr>
          <w:rFonts w:ascii="Calibri" w:hAnsi="Calibri" w:cs="Calibri"/>
        </w:rPr>
        <w:t>the Committee’s work to clarify the nature and scope of the right to freedom of association and appreciates the opportunity to offer observations on the draft General Comment.</w:t>
      </w:r>
      <w:r w:rsidR="00D7331F" w:rsidRPr="005C2FD2">
        <w:rPr>
          <w:rFonts w:ascii="Calibri" w:hAnsi="Calibri" w:cs="Calibri"/>
        </w:rPr>
        <w:t xml:space="preserve"> Ireland also </w:t>
      </w:r>
      <w:r w:rsidR="004711D9" w:rsidRPr="005C2FD2">
        <w:rPr>
          <w:rFonts w:ascii="Calibri" w:hAnsi="Calibri" w:cs="Calibri"/>
        </w:rPr>
        <w:t xml:space="preserve">notes </w:t>
      </w:r>
      <w:r w:rsidR="00D7331F" w:rsidRPr="005C2FD2">
        <w:rPr>
          <w:rFonts w:ascii="Calibri" w:hAnsi="Calibri" w:cs="Calibri"/>
        </w:rPr>
        <w:t>the recognition of the significant role played by trade unions in enabling workers to protect and advance their interests.</w:t>
      </w:r>
    </w:p>
    <w:p w14:paraId="5B3D060D" w14:textId="2E49E11F" w:rsidR="006D16BF" w:rsidRPr="005C2FD2" w:rsidRDefault="006D16BF" w:rsidP="005C2FD2">
      <w:pPr>
        <w:spacing w:line="360" w:lineRule="auto"/>
        <w:ind w:left="360"/>
        <w:jc w:val="both"/>
        <w:rPr>
          <w:rFonts w:ascii="Calibri" w:hAnsi="Calibri" w:cs="Calibri"/>
        </w:rPr>
      </w:pPr>
      <w:r w:rsidRPr="005C2FD2">
        <w:rPr>
          <w:rFonts w:ascii="Calibri" w:hAnsi="Calibri" w:cs="Calibri"/>
        </w:rPr>
        <w:t>Freedom of association is a fundamental component of an open</w:t>
      </w:r>
      <w:r w:rsidR="00AE1824" w:rsidRPr="005C2FD2">
        <w:rPr>
          <w:rFonts w:ascii="Calibri" w:hAnsi="Calibri" w:cs="Calibri"/>
        </w:rPr>
        <w:t xml:space="preserve"> </w:t>
      </w:r>
      <w:r w:rsidRPr="005C2FD2">
        <w:rPr>
          <w:rFonts w:ascii="Calibri" w:hAnsi="Calibri" w:cs="Calibri"/>
        </w:rPr>
        <w:t xml:space="preserve">and democratic society. In Ireland, the right of citizens to form associations and unions is expressly protected by Article 40.6.1°(iii) of the Irish Constitution, subject to the regulation and control of the exercise of that right in the public interest. </w:t>
      </w:r>
    </w:p>
    <w:p w14:paraId="100E6CEC" w14:textId="57466F91" w:rsidR="00A046DC" w:rsidRPr="005C2FD2" w:rsidRDefault="00A046DC" w:rsidP="005C2FD2">
      <w:pPr>
        <w:spacing w:line="360" w:lineRule="auto"/>
        <w:ind w:left="360"/>
        <w:jc w:val="both"/>
        <w:rPr>
          <w:rFonts w:ascii="Calibri" w:hAnsi="Calibri" w:cs="Calibri"/>
        </w:rPr>
      </w:pPr>
      <w:r w:rsidRPr="005C2FD2">
        <w:rPr>
          <w:rFonts w:ascii="Calibri" w:hAnsi="Calibri" w:cs="Calibri"/>
        </w:rPr>
        <w:t>Ireland recognises that industrial relations systems vary considerably across States, reflecting distinct legal frameworks, institutional arrangements and established national practices. Any revisions to the draft General Comment should reflect this diversity and, insofar as possible, respect the differing practices of State</w:t>
      </w:r>
      <w:r w:rsidR="00715C17" w:rsidRPr="005C2FD2">
        <w:rPr>
          <w:rFonts w:ascii="Calibri" w:hAnsi="Calibri" w:cs="Calibri"/>
        </w:rPr>
        <w:t xml:space="preserve"> </w:t>
      </w:r>
      <w:r w:rsidRPr="005C2FD2">
        <w:rPr>
          <w:rFonts w:ascii="Calibri" w:hAnsi="Calibri" w:cs="Calibri"/>
        </w:rPr>
        <w:t>parties.</w:t>
      </w:r>
    </w:p>
    <w:p w14:paraId="750AC0CE" w14:textId="19CBDC82" w:rsidR="00A046DC" w:rsidRPr="005C2FD2" w:rsidRDefault="004954EF" w:rsidP="005C2FD2">
      <w:pPr>
        <w:spacing w:line="360" w:lineRule="auto"/>
        <w:ind w:left="360"/>
        <w:jc w:val="both"/>
        <w:rPr>
          <w:rFonts w:ascii="Calibri" w:hAnsi="Calibri" w:cs="Calibri"/>
        </w:rPr>
      </w:pPr>
      <w:r w:rsidRPr="005C2FD2">
        <w:rPr>
          <w:rFonts w:ascii="Calibri" w:hAnsi="Calibri" w:cs="Calibri"/>
        </w:rPr>
        <w:t>Furthermore, Ireland recognises that the right to strike is not absolute. The imposition of lawful restrictions on members of the armed forces and the police</w:t>
      </w:r>
      <w:r w:rsidR="00A046DC" w:rsidRPr="005C2FD2">
        <w:rPr>
          <w:rFonts w:ascii="Calibri" w:hAnsi="Calibri" w:cs="Calibri"/>
        </w:rPr>
        <w:t xml:space="preserve"> may be justified by requirements relating to discipline, political impartiality, operational effectiveness, national security and public safety. </w:t>
      </w:r>
      <w:r w:rsidRPr="005C2FD2">
        <w:rPr>
          <w:rFonts w:ascii="Calibri" w:hAnsi="Calibri" w:cs="Calibri"/>
        </w:rPr>
        <w:t xml:space="preserve"> Ireland notes that Article 22(2) already expressly permits the imposition of lawful restrictions on members of the armed forces and the police in their exercise of freedom of association.</w:t>
      </w:r>
      <w:r w:rsidR="00A046DC" w:rsidRPr="005C2FD2">
        <w:rPr>
          <w:rFonts w:ascii="Calibri" w:hAnsi="Calibri" w:cs="Calibri"/>
        </w:rPr>
        <w:t xml:space="preserve"> Ireland considers the retention of this provision essential to enabling State parties to safeguard operational effectiveness, discipline, public safety and the maintenance of public order.</w:t>
      </w:r>
    </w:p>
    <w:p w14:paraId="0C0B3C13" w14:textId="5D4F5AF0" w:rsidR="004954EF" w:rsidRPr="005C2FD2" w:rsidRDefault="004954EF" w:rsidP="005C2FD2">
      <w:pPr>
        <w:spacing w:line="360" w:lineRule="auto"/>
        <w:ind w:left="360"/>
        <w:jc w:val="both"/>
        <w:rPr>
          <w:rFonts w:ascii="Calibri" w:hAnsi="Calibri" w:cs="Calibri"/>
        </w:rPr>
      </w:pPr>
    </w:p>
    <w:p w14:paraId="48609AB4" w14:textId="72EAFCEB" w:rsidR="005C2FD2" w:rsidRPr="005C2FD2" w:rsidRDefault="005C2FD2" w:rsidP="005C2FD2">
      <w:pPr>
        <w:spacing w:line="360" w:lineRule="auto"/>
        <w:ind w:left="360"/>
        <w:jc w:val="both"/>
        <w:rPr>
          <w:rFonts w:ascii="Calibri" w:hAnsi="Calibri" w:cs="Calibri"/>
        </w:rPr>
      </w:pPr>
    </w:p>
    <w:p w14:paraId="3BF5B4BD" w14:textId="23F51024" w:rsidR="005C2FD2" w:rsidRPr="005C2FD2" w:rsidRDefault="005C2FD2" w:rsidP="005C2FD2">
      <w:pPr>
        <w:spacing w:line="360" w:lineRule="auto"/>
        <w:ind w:left="360"/>
        <w:jc w:val="both"/>
        <w:rPr>
          <w:rFonts w:ascii="Calibri" w:hAnsi="Calibri" w:cs="Calibri"/>
        </w:rPr>
      </w:pPr>
    </w:p>
    <w:p w14:paraId="61EEF62C" w14:textId="2D5A026E" w:rsidR="004954EF" w:rsidRPr="005C2FD2" w:rsidRDefault="004954EF" w:rsidP="005C2FD2">
      <w:pPr>
        <w:spacing w:line="360" w:lineRule="auto"/>
        <w:jc w:val="both"/>
        <w:rPr>
          <w:rFonts w:ascii="Calibri" w:hAnsi="Calibri" w:cs="Calibri"/>
        </w:rPr>
      </w:pPr>
    </w:p>
    <w:p w14:paraId="7B2E647E" w14:textId="4FBBB6FF" w:rsidR="003618CC" w:rsidRPr="005C2FD2" w:rsidRDefault="00D7331F" w:rsidP="005C2FD2">
      <w:pPr>
        <w:pStyle w:val="ListParagraph"/>
        <w:numPr>
          <w:ilvl w:val="0"/>
          <w:numId w:val="1"/>
        </w:numPr>
        <w:spacing w:line="360" w:lineRule="auto"/>
        <w:jc w:val="both"/>
        <w:rPr>
          <w:rFonts w:ascii="Book Antiqua" w:hAnsi="Book Antiqua" w:cs="Calibri"/>
          <w:b/>
          <w:bCs/>
        </w:rPr>
      </w:pPr>
      <w:r w:rsidRPr="005C2FD2">
        <w:rPr>
          <w:rFonts w:ascii="Book Antiqua" w:hAnsi="Book Antiqua" w:cs="Calibri"/>
          <w:b/>
          <w:bCs/>
        </w:rPr>
        <w:lastRenderedPageBreak/>
        <w:t xml:space="preserve">Scope of freedom of association </w:t>
      </w:r>
    </w:p>
    <w:p w14:paraId="5EA4E886" w14:textId="07197F9B" w:rsidR="00556C03" w:rsidRPr="005C2FD2" w:rsidRDefault="004061B3" w:rsidP="005C2FD2">
      <w:pPr>
        <w:spacing w:line="360" w:lineRule="auto"/>
        <w:jc w:val="both"/>
        <w:rPr>
          <w:rFonts w:ascii="Calibri" w:hAnsi="Calibri" w:cs="Calibri"/>
          <w:i/>
        </w:rPr>
      </w:pPr>
      <w:r>
        <w:rPr>
          <w:rFonts w:ascii="Calibri" w:hAnsi="Calibri" w:cs="Calibri"/>
          <w:i/>
          <w:lang w:val="en-GB"/>
        </w:rPr>
        <w:t xml:space="preserve"> </w:t>
      </w:r>
      <w:r w:rsidR="005C2FD2">
        <w:rPr>
          <w:rFonts w:ascii="Calibri" w:hAnsi="Calibri" w:cs="Calibri"/>
          <w:i/>
          <w:lang w:val="en-GB"/>
        </w:rPr>
        <w:t>“</w:t>
      </w:r>
      <w:r>
        <w:rPr>
          <w:rFonts w:ascii="Calibri" w:hAnsi="Calibri" w:cs="Calibri"/>
          <w:i/>
          <w:lang w:val="en-GB"/>
        </w:rPr>
        <w:t xml:space="preserve">13. </w:t>
      </w:r>
      <w:r w:rsidR="005C2FD2" w:rsidRPr="005C2FD2">
        <w:rPr>
          <w:rFonts w:ascii="Calibri" w:hAnsi="Calibri" w:cs="Calibri"/>
          <w:i/>
          <w:lang w:val="en-GB"/>
        </w:rPr>
        <w:t xml:space="preserve">As an essential right grounded in the equality and dignity of individuals, its protection applies equally to informal, unregistered </w:t>
      </w:r>
      <w:r w:rsidR="005C2FD2" w:rsidRPr="005C2FD2">
        <w:rPr>
          <w:rFonts w:ascii="Calibri" w:hAnsi="Calibri" w:cs="Calibri"/>
          <w:i/>
          <w:iCs/>
          <w:lang w:val="en-GB"/>
        </w:rPr>
        <w:t xml:space="preserve">de facto </w:t>
      </w:r>
      <w:r w:rsidR="005C2FD2" w:rsidRPr="005C2FD2">
        <w:rPr>
          <w:rFonts w:ascii="Calibri" w:hAnsi="Calibri" w:cs="Calibri"/>
          <w:i/>
          <w:lang w:val="en-GB"/>
        </w:rPr>
        <w:t xml:space="preserve">associations. Therefore, such associations do not need any domestic authorization or recognition </w:t>
      </w:r>
      <w:proofErr w:type="gramStart"/>
      <w:r w:rsidR="005C2FD2" w:rsidRPr="005C2FD2">
        <w:rPr>
          <w:rFonts w:ascii="Calibri" w:hAnsi="Calibri" w:cs="Calibri"/>
          <w:i/>
          <w:lang w:val="en-GB"/>
        </w:rPr>
        <w:t>in order to</w:t>
      </w:r>
      <w:proofErr w:type="gramEnd"/>
      <w:r w:rsidR="005C2FD2" w:rsidRPr="005C2FD2">
        <w:rPr>
          <w:rFonts w:ascii="Calibri" w:hAnsi="Calibri" w:cs="Calibri"/>
          <w:i/>
          <w:lang w:val="en-GB"/>
        </w:rPr>
        <w:t xml:space="preserve"> fall under the protection of the right to freedom of association. Should individuals request the authorization and registration of their association, States Parties have a positive obligation to create an enabling environment to facilitate the enjoyment and the exercise of the right (see sect. IV below). In this regard, legislation that impose burdensome or onerous registration requirements do not meet the requirements </w:t>
      </w:r>
      <w:r w:rsidR="005C2FD2">
        <w:rPr>
          <w:rFonts w:ascii="Calibri" w:hAnsi="Calibri" w:cs="Calibri"/>
          <w:i/>
          <w:lang w:val="en-GB"/>
        </w:rPr>
        <w:t>of article 22.</w:t>
      </w:r>
      <w:r w:rsidR="005C2FD2" w:rsidRPr="005C2FD2">
        <w:rPr>
          <w:rFonts w:ascii="Calibri" w:hAnsi="Calibri" w:cs="Calibri"/>
          <w:i/>
          <w:lang w:val="en-GB"/>
        </w:rPr>
        <w:t xml:space="preserve"> Therefore, access to registration and accompanying recognition of legal personality must be seen as a right protected by article 22.</w:t>
      </w:r>
      <w:r w:rsidR="005C2FD2">
        <w:rPr>
          <w:rFonts w:ascii="Calibri" w:hAnsi="Calibri" w:cs="Calibri"/>
          <w:i/>
          <w:lang w:val="en-GB"/>
        </w:rPr>
        <w:t>”</w:t>
      </w:r>
    </w:p>
    <w:p w14:paraId="65DEFC47" w14:textId="6A2B6EB3" w:rsidR="00570ED3" w:rsidRPr="005C2FD2" w:rsidRDefault="007D5938" w:rsidP="005C2FD2">
      <w:pPr>
        <w:tabs>
          <w:tab w:val="left" w:pos="2455"/>
        </w:tabs>
        <w:spacing w:line="360" w:lineRule="auto"/>
        <w:jc w:val="both"/>
        <w:rPr>
          <w:rFonts w:ascii="Calibri" w:hAnsi="Calibri" w:cs="Calibri"/>
        </w:rPr>
      </w:pPr>
      <w:r w:rsidRPr="004061B3">
        <w:rPr>
          <w:rFonts w:ascii="Book Antiqua" w:hAnsi="Book Antiqua" w:cs="Calibri"/>
          <w:b/>
          <w:bCs/>
        </w:rPr>
        <w:t>Comment</w:t>
      </w:r>
      <w:r w:rsidR="004061B3">
        <w:rPr>
          <w:rFonts w:ascii="Book Antiqua" w:hAnsi="Book Antiqua" w:cs="Calibri"/>
          <w:b/>
          <w:bCs/>
        </w:rPr>
        <w:t xml:space="preserve"> on paragraph 13</w:t>
      </w:r>
      <w:r w:rsidRPr="004061B3">
        <w:rPr>
          <w:rFonts w:ascii="Book Antiqua" w:hAnsi="Book Antiqua" w:cs="Calibri"/>
          <w:b/>
          <w:bCs/>
        </w:rPr>
        <w:t>:</w:t>
      </w:r>
      <w:r w:rsidRPr="005C2FD2">
        <w:rPr>
          <w:rFonts w:ascii="Calibri" w:hAnsi="Calibri" w:cs="Calibri"/>
          <w:b/>
          <w:bCs/>
        </w:rPr>
        <w:t xml:space="preserve"> </w:t>
      </w:r>
      <w:r w:rsidRPr="005C2FD2">
        <w:rPr>
          <w:rFonts w:ascii="Calibri" w:hAnsi="Calibri" w:cs="Calibri"/>
        </w:rPr>
        <w:t xml:space="preserve">Ireland welcomes the Committee’s recognition that freedom of association should not be affected by legislation perceived as overly burdensome or contains onerous registration requirements. Ireland </w:t>
      </w:r>
      <w:r w:rsidR="0098508C" w:rsidRPr="005C2FD2">
        <w:rPr>
          <w:rFonts w:ascii="Calibri" w:hAnsi="Calibri" w:cs="Calibri"/>
        </w:rPr>
        <w:t xml:space="preserve">believes that any such </w:t>
      </w:r>
      <w:r w:rsidRPr="005C2FD2">
        <w:rPr>
          <w:rFonts w:ascii="Calibri" w:hAnsi="Calibri" w:cs="Calibri"/>
        </w:rPr>
        <w:t>requirements</w:t>
      </w:r>
      <w:r w:rsidR="0098508C" w:rsidRPr="005C2FD2">
        <w:rPr>
          <w:rFonts w:ascii="Calibri" w:hAnsi="Calibri" w:cs="Calibri"/>
        </w:rPr>
        <w:t xml:space="preserve"> should </w:t>
      </w:r>
      <w:r w:rsidRPr="005C2FD2">
        <w:rPr>
          <w:rFonts w:ascii="Calibri" w:hAnsi="Calibri" w:cs="Calibri"/>
        </w:rPr>
        <w:t>pursue a legitimate aim</w:t>
      </w:r>
      <w:r w:rsidR="0098508C" w:rsidRPr="005C2FD2">
        <w:rPr>
          <w:rFonts w:ascii="Calibri" w:hAnsi="Calibri" w:cs="Calibri"/>
        </w:rPr>
        <w:t xml:space="preserve"> </w:t>
      </w:r>
      <w:r w:rsidRPr="005C2FD2">
        <w:rPr>
          <w:rFonts w:ascii="Calibri" w:hAnsi="Calibri" w:cs="Calibri"/>
        </w:rPr>
        <w:t>and be applied in a manner consistent with Article 22 ICCPR.</w:t>
      </w:r>
      <w:r w:rsidR="00B44120" w:rsidRPr="005C2FD2">
        <w:rPr>
          <w:rFonts w:ascii="Calibri" w:hAnsi="Calibri" w:cs="Calibri"/>
        </w:rPr>
        <w:t xml:space="preserve"> In Ireland, trade unions wishing to negotiate on wages or other conditions of employment are required to hold a negotiation licence under the Trade Union Act</w:t>
      </w:r>
      <w:r w:rsidR="00D3457D" w:rsidRPr="005C2FD2">
        <w:rPr>
          <w:rFonts w:ascii="Calibri" w:hAnsi="Calibri" w:cs="Calibri"/>
        </w:rPr>
        <w:t>s (1941</w:t>
      </w:r>
      <w:r w:rsidR="00262760" w:rsidRPr="005C2FD2">
        <w:rPr>
          <w:rFonts w:ascii="Calibri" w:hAnsi="Calibri" w:cs="Calibri"/>
        </w:rPr>
        <w:t xml:space="preserve">, 1971). </w:t>
      </w:r>
      <w:r w:rsidR="00B44120" w:rsidRPr="005C2FD2">
        <w:rPr>
          <w:rFonts w:ascii="Calibri" w:hAnsi="Calibri" w:cs="Calibri"/>
        </w:rPr>
        <w:t>The statutory criteria include, among other</w:t>
      </w:r>
      <w:r w:rsidR="00D3457D" w:rsidRPr="005C2FD2">
        <w:rPr>
          <w:rFonts w:ascii="Calibri" w:hAnsi="Calibri" w:cs="Calibri"/>
        </w:rPr>
        <w:t>s</w:t>
      </w:r>
      <w:r w:rsidR="00B44120" w:rsidRPr="005C2FD2">
        <w:rPr>
          <w:rFonts w:ascii="Calibri" w:hAnsi="Calibri" w:cs="Calibri"/>
        </w:rPr>
        <w:t>, a minimum membership threshold of 1,000 members, an 18-month notification period, and a financial deposit requirement. These requirements form part of Ireland’s established industrial relations framework and are intended to support an orderly</w:t>
      </w:r>
      <w:r w:rsidR="00262760" w:rsidRPr="005C2FD2">
        <w:rPr>
          <w:rFonts w:ascii="Calibri" w:hAnsi="Calibri" w:cs="Calibri"/>
        </w:rPr>
        <w:t xml:space="preserve"> </w:t>
      </w:r>
      <w:r w:rsidR="00B44120" w:rsidRPr="005C2FD2">
        <w:rPr>
          <w:rFonts w:ascii="Calibri" w:hAnsi="Calibri" w:cs="Calibri"/>
        </w:rPr>
        <w:t>and representative system of industrial relations.</w:t>
      </w:r>
    </w:p>
    <w:p w14:paraId="625447EB" w14:textId="28F349DF" w:rsidR="00262760" w:rsidRPr="005C2FD2" w:rsidRDefault="00262760" w:rsidP="005C2FD2">
      <w:pPr>
        <w:tabs>
          <w:tab w:val="left" w:pos="2455"/>
        </w:tabs>
        <w:spacing w:line="360" w:lineRule="auto"/>
        <w:jc w:val="both"/>
        <w:rPr>
          <w:rFonts w:ascii="Calibri" w:hAnsi="Calibri" w:cs="Calibri"/>
        </w:rPr>
      </w:pPr>
      <w:r w:rsidRPr="005C2FD2">
        <w:rPr>
          <w:rFonts w:ascii="Calibri" w:hAnsi="Calibri" w:cs="Calibri"/>
        </w:rPr>
        <w:t xml:space="preserve">Ireland </w:t>
      </w:r>
      <w:r w:rsidR="0074179A" w:rsidRPr="005C2FD2">
        <w:rPr>
          <w:rFonts w:ascii="Calibri" w:hAnsi="Calibri" w:cs="Calibri"/>
        </w:rPr>
        <w:t xml:space="preserve">considers that </w:t>
      </w:r>
      <w:r w:rsidRPr="005C2FD2">
        <w:rPr>
          <w:rFonts w:ascii="Calibri" w:hAnsi="Calibri" w:cs="Calibri"/>
        </w:rPr>
        <w:t>Article 22 does not preclude States from maintaining objective</w:t>
      </w:r>
      <w:r w:rsidR="00D44952" w:rsidRPr="005C2FD2">
        <w:rPr>
          <w:rFonts w:ascii="Calibri" w:hAnsi="Calibri" w:cs="Calibri"/>
        </w:rPr>
        <w:t xml:space="preserve"> </w:t>
      </w:r>
      <w:r w:rsidRPr="005C2FD2">
        <w:rPr>
          <w:rFonts w:ascii="Calibri" w:hAnsi="Calibri" w:cs="Calibri"/>
        </w:rPr>
        <w:t>and proportionate registration or licensing requirements, including requirements designed to ensure representativeness, accountability, internal democracy, transparency</w:t>
      </w:r>
      <w:r w:rsidR="00770581" w:rsidRPr="005C2FD2">
        <w:rPr>
          <w:rFonts w:ascii="Calibri" w:hAnsi="Calibri" w:cs="Calibri"/>
        </w:rPr>
        <w:t>,</w:t>
      </w:r>
      <w:r w:rsidRPr="005C2FD2">
        <w:rPr>
          <w:rFonts w:ascii="Calibri" w:hAnsi="Calibri" w:cs="Calibri"/>
        </w:rPr>
        <w:t xml:space="preserve"> and financial probity. </w:t>
      </w:r>
      <w:r w:rsidR="0098508C" w:rsidRPr="005C2FD2">
        <w:rPr>
          <w:rFonts w:ascii="Calibri" w:hAnsi="Calibri" w:cs="Calibri"/>
        </w:rPr>
        <w:t xml:space="preserve">Such </w:t>
      </w:r>
      <w:r w:rsidRPr="005C2FD2">
        <w:rPr>
          <w:rFonts w:ascii="Calibri" w:hAnsi="Calibri" w:cs="Calibri"/>
        </w:rPr>
        <w:t>democratic safeguards can support confidence in industrial relations systems, provided they are not applied in a manner that unduly restricts the formation, functioning or activities of workers’ or employers’ organisations.</w:t>
      </w:r>
      <w:r w:rsidR="008E3F44" w:rsidRPr="005C2FD2">
        <w:rPr>
          <w:rFonts w:ascii="Calibri" w:hAnsi="Calibri" w:cs="Calibri"/>
        </w:rPr>
        <w:t xml:space="preserve"> </w:t>
      </w:r>
    </w:p>
    <w:p w14:paraId="62B0027A" w14:textId="401C720B" w:rsidR="008A35C4" w:rsidRPr="008A251A" w:rsidRDefault="008A35C4" w:rsidP="005C2FD2">
      <w:pPr>
        <w:tabs>
          <w:tab w:val="left" w:pos="2455"/>
        </w:tabs>
        <w:spacing w:line="360" w:lineRule="auto"/>
        <w:jc w:val="both"/>
        <w:rPr>
          <w:rFonts w:ascii="Calibri" w:hAnsi="Calibri" w:cs="Calibri"/>
        </w:rPr>
      </w:pPr>
    </w:p>
    <w:sectPr w:rsidR="008A35C4" w:rsidRPr="008A251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E0F67" w14:textId="77777777" w:rsidR="00E57ED5" w:rsidRDefault="00E57ED5" w:rsidP="001D7D76">
      <w:pPr>
        <w:spacing w:after="0" w:line="240" w:lineRule="auto"/>
      </w:pPr>
      <w:r>
        <w:separator/>
      </w:r>
    </w:p>
  </w:endnote>
  <w:endnote w:type="continuationSeparator" w:id="0">
    <w:p w14:paraId="42A7D403" w14:textId="77777777" w:rsidR="00E57ED5" w:rsidRDefault="00E57ED5" w:rsidP="001D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160336"/>
      <w:docPartObj>
        <w:docPartGallery w:val="Page Numbers (Bottom of Page)"/>
        <w:docPartUnique/>
      </w:docPartObj>
    </w:sdtPr>
    <w:sdtEndPr>
      <w:rPr>
        <w:color w:val="7F7F7F" w:themeColor="background1" w:themeShade="7F"/>
        <w:spacing w:val="60"/>
      </w:rPr>
    </w:sdtEndPr>
    <w:sdtContent>
      <w:p w14:paraId="7231529C" w14:textId="41FFE656" w:rsidR="0098508C" w:rsidRDefault="0098508C">
        <w:pPr>
          <w:pStyle w:val="Footer"/>
          <w:pBdr>
            <w:top w:val="single" w:sz="4" w:space="1" w:color="D9D9D9" w:themeColor="background1" w:themeShade="D9"/>
          </w:pBdr>
          <w:jc w:val="right"/>
        </w:pPr>
        <w:r>
          <w:fldChar w:fldCharType="begin"/>
        </w:r>
        <w:r>
          <w:instrText xml:space="preserve"> PAGE   \* MERGEFORMAT </w:instrText>
        </w:r>
        <w:r>
          <w:fldChar w:fldCharType="separate"/>
        </w:r>
        <w:r w:rsidR="004950D6">
          <w:rPr>
            <w:noProof/>
          </w:rPr>
          <w:t>1</w:t>
        </w:r>
        <w:r>
          <w:rPr>
            <w:noProof/>
          </w:rPr>
          <w:fldChar w:fldCharType="end"/>
        </w:r>
        <w:r>
          <w:t xml:space="preserve"> | </w:t>
        </w:r>
        <w:r>
          <w:rPr>
            <w:color w:val="7F7F7F" w:themeColor="background1" w:themeShade="7F"/>
            <w:spacing w:val="60"/>
          </w:rPr>
          <w:t>Page</w:t>
        </w:r>
      </w:p>
    </w:sdtContent>
  </w:sdt>
  <w:p w14:paraId="47AFACC3" w14:textId="77777777" w:rsidR="0098508C" w:rsidRDefault="00985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9DC6" w14:textId="77777777" w:rsidR="00E57ED5" w:rsidRDefault="00E57ED5" w:rsidP="001D7D76">
      <w:pPr>
        <w:spacing w:after="0" w:line="240" w:lineRule="auto"/>
      </w:pPr>
      <w:r>
        <w:separator/>
      </w:r>
    </w:p>
  </w:footnote>
  <w:footnote w:type="continuationSeparator" w:id="0">
    <w:p w14:paraId="563754D0" w14:textId="77777777" w:rsidR="00E57ED5" w:rsidRDefault="00E57ED5" w:rsidP="001D7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D6BCC"/>
    <w:multiLevelType w:val="hybridMultilevel"/>
    <w:tmpl w:val="B92EA34E"/>
    <w:lvl w:ilvl="0" w:tplc="4EFCB252">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32377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C03"/>
    <w:rsid w:val="000E7426"/>
    <w:rsid w:val="00103093"/>
    <w:rsid w:val="00132E65"/>
    <w:rsid w:val="00145D2D"/>
    <w:rsid w:val="00194E07"/>
    <w:rsid w:val="001C425F"/>
    <w:rsid w:val="001D7D76"/>
    <w:rsid w:val="002152D3"/>
    <w:rsid w:val="00262760"/>
    <w:rsid w:val="00264B59"/>
    <w:rsid w:val="00285F69"/>
    <w:rsid w:val="003618CC"/>
    <w:rsid w:val="003714B9"/>
    <w:rsid w:val="003941CA"/>
    <w:rsid w:val="004061B3"/>
    <w:rsid w:val="004414F2"/>
    <w:rsid w:val="004711D9"/>
    <w:rsid w:val="004950D6"/>
    <w:rsid w:val="004954EF"/>
    <w:rsid w:val="00556C03"/>
    <w:rsid w:val="0056542C"/>
    <w:rsid w:val="00570ED3"/>
    <w:rsid w:val="005C2FD2"/>
    <w:rsid w:val="005F1CCD"/>
    <w:rsid w:val="00601E84"/>
    <w:rsid w:val="006D16BF"/>
    <w:rsid w:val="006D53C6"/>
    <w:rsid w:val="00700100"/>
    <w:rsid w:val="00715C17"/>
    <w:rsid w:val="0074179A"/>
    <w:rsid w:val="00770581"/>
    <w:rsid w:val="00771505"/>
    <w:rsid w:val="007C4F00"/>
    <w:rsid w:val="007D5938"/>
    <w:rsid w:val="007E2D4E"/>
    <w:rsid w:val="007F5364"/>
    <w:rsid w:val="008A251A"/>
    <w:rsid w:val="008A35C4"/>
    <w:rsid w:val="008E3F44"/>
    <w:rsid w:val="00943246"/>
    <w:rsid w:val="0098508C"/>
    <w:rsid w:val="009E7CD8"/>
    <w:rsid w:val="009F6CF1"/>
    <w:rsid w:val="00A046DC"/>
    <w:rsid w:val="00AE1824"/>
    <w:rsid w:val="00B44120"/>
    <w:rsid w:val="00C41319"/>
    <w:rsid w:val="00D2464F"/>
    <w:rsid w:val="00D3457D"/>
    <w:rsid w:val="00D44952"/>
    <w:rsid w:val="00D7331F"/>
    <w:rsid w:val="00DD48FC"/>
    <w:rsid w:val="00E35555"/>
    <w:rsid w:val="00E5155B"/>
    <w:rsid w:val="00E57E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95BC"/>
  <w15:chartTrackingRefBased/>
  <w15:docId w15:val="{CD6BA4B7-23E6-41EB-ABEF-37331114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C03"/>
    <w:rPr>
      <w:rFonts w:eastAsiaTheme="majorEastAsia" w:cstheme="majorBidi"/>
      <w:color w:val="272727" w:themeColor="text1" w:themeTint="D8"/>
    </w:rPr>
  </w:style>
  <w:style w:type="paragraph" w:styleId="Title">
    <w:name w:val="Title"/>
    <w:basedOn w:val="Normal"/>
    <w:next w:val="Normal"/>
    <w:link w:val="TitleChar"/>
    <w:uiPriority w:val="10"/>
    <w:qFormat/>
    <w:rsid w:val="00556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C03"/>
    <w:pPr>
      <w:spacing w:before="160"/>
      <w:jc w:val="center"/>
    </w:pPr>
    <w:rPr>
      <w:i/>
      <w:iCs/>
      <w:color w:val="404040" w:themeColor="text1" w:themeTint="BF"/>
    </w:rPr>
  </w:style>
  <w:style w:type="character" w:customStyle="1" w:styleId="QuoteChar">
    <w:name w:val="Quote Char"/>
    <w:basedOn w:val="DefaultParagraphFont"/>
    <w:link w:val="Quote"/>
    <w:uiPriority w:val="29"/>
    <w:rsid w:val="00556C03"/>
    <w:rPr>
      <w:i/>
      <w:iCs/>
      <w:color w:val="404040" w:themeColor="text1" w:themeTint="BF"/>
    </w:rPr>
  </w:style>
  <w:style w:type="paragraph" w:styleId="ListParagraph">
    <w:name w:val="List Paragraph"/>
    <w:basedOn w:val="Normal"/>
    <w:uiPriority w:val="34"/>
    <w:qFormat/>
    <w:rsid w:val="00556C03"/>
    <w:pPr>
      <w:ind w:left="720"/>
      <w:contextualSpacing/>
    </w:pPr>
  </w:style>
  <w:style w:type="character" w:styleId="IntenseEmphasis">
    <w:name w:val="Intense Emphasis"/>
    <w:basedOn w:val="DefaultParagraphFont"/>
    <w:uiPriority w:val="21"/>
    <w:qFormat/>
    <w:rsid w:val="00556C03"/>
    <w:rPr>
      <w:i/>
      <w:iCs/>
      <w:color w:val="0F4761" w:themeColor="accent1" w:themeShade="BF"/>
    </w:rPr>
  </w:style>
  <w:style w:type="paragraph" w:styleId="IntenseQuote">
    <w:name w:val="Intense Quote"/>
    <w:basedOn w:val="Normal"/>
    <w:next w:val="Normal"/>
    <w:link w:val="IntenseQuoteChar"/>
    <w:uiPriority w:val="30"/>
    <w:qFormat/>
    <w:rsid w:val="00556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C03"/>
    <w:rPr>
      <w:i/>
      <w:iCs/>
      <w:color w:val="0F4761" w:themeColor="accent1" w:themeShade="BF"/>
    </w:rPr>
  </w:style>
  <w:style w:type="character" w:styleId="IntenseReference">
    <w:name w:val="Intense Reference"/>
    <w:basedOn w:val="DefaultParagraphFont"/>
    <w:uiPriority w:val="32"/>
    <w:qFormat/>
    <w:rsid w:val="00556C03"/>
    <w:rPr>
      <w:b/>
      <w:bCs/>
      <w:smallCaps/>
      <w:color w:val="0F4761" w:themeColor="accent1" w:themeShade="BF"/>
      <w:spacing w:val="5"/>
    </w:rPr>
  </w:style>
  <w:style w:type="paragraph" w:styleId="Header">
    <w:name w:val="header"/>
    <w:basedOn w:val="Normal"/>
    <w:link w:val="HeaderChar"/>
    <w:uiPriority w:val="99"/>
    <w:unhideWhenUsed/>
    <w:rsid w:val="001D7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D76"/>
  </w:style>
  <w:style w:type="paragraph" w:styleId="Footer">
    <w:name w:val="footer"/>
    <w:basedOn w:val="Normal"/>
    <w:link w:val="FooterChar"/>
    <w:uiPriority w:val="99"/>
    <w:unhideWhenUsed/>
    <w:rsid w:val="001D7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D76"/>
  </w:style>
  <w:style w:type="character" w:styleId="Hyperlink">
    <w:name w:val="Hyperlink"/>
    <w:basedOn w:val="DefaultParagraphFont"/>
    <w:uiPriority w:val="99"/>
    <w:unhideWhenUsed/>
    <w:rsid w:val="00D2464F"/>
    <w:rPr>
      <w:color w:val="467886" w:themeColor="hyperlink"/>
      <w:u w:val="single"/>
    </w:rPr>
  </w:style>
  <w:style w:type="character" w:customStyle="1" w:styleId="UnresolvedMention1">
    <w:name w:val="Unresolved Mention1"/>
    <w:basedOn w:val="DefaultParagraphFont"/>
    <w:uiPriority w:val="99"/>
    <w:semiHidden/>
    <w:unhideWhenUsed/>
    <w:rsid w:val="00D2464F"/>
    <w:rPr>
      <w:color w:val="605E5C"/>
      <w:shd w:val="clear" w:color="auto" w:fill="E1DFDD"/>
    </w:rPr>
  </w:style>
  <w:style w:type="paragraph" w:customStyle="1" w:styleId="SingleTxtG">
    <w:name w:val="_ Single Txt_G"/>
    <w:basedOn w:val="Normal"/>
    <w:rsid w:val="00570ED3"/>
    <w:pPr>
      <w:tabs>
        <w:tab w:val="left" w:pos="1701"/>
        <w:tab w:val="left" w:pos="2268"/>
      </w:tabs>
      <w:suppressAutoHyphens/>
      <w:spacing w:after="120" w:line="240" w:lineRule="atLeast"/>
      <w:ind w:left="1134" w:right="1134"/>
      <w:jc w:val="both"/>
    </w:pPr>
    <w:rPr>
      <w:rFonts w:ascii="Times New Roman" w:eastAsia="SimSun" w:hAnsi="Times New Roman" w:cs="Times New Roman"/>
      <w:kern w:val="0"/>
      <w:sz w:val="20"/>
      <w:szCs w:val="20"/>
      <w:lang w:val="en-GB" w:eastAsia="zh-CN"/>
      <w14:ligatures w14:val="none"/>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FootnoteTextChar"/>
    <w:uiPriority w:val="99"/>
    <w:qFormat/>
    <w:rsid w:val="00570ED3"/>
    <w:pPr>
      <w:tabs>
        <w:tab w:val="right" w:pos="1021"/>
      </w:tabs>
      <w:suppressAutoHyphens/>
      <w:spacing w:after="0" w:line="220" w:lineRule="exact"/>
      <w:ind w:left="1134" w:right="1134" w:hanging="1134"/>
    </w:pPr>
    <w:rPr>
      <w:rFonts w:ascii="Times New Roman" w:eastAsia="SimSun" w:hAnsi="Times New Roman" w:cs="Times New Roman"/>
      <w:kern w:val="0"/>
      <w:sz w:val="18"/>
      <w:szCs w:val="20"/>
      <w:lang w:val="en-GB" w:eastAsia="zh-CN"/>
      <w14:ligatures w14:val="none"/>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uiPriority w:val="99"/>
    <w:qFormat/>
    <w:rsid w:val="00570ED3"/>
    <w:rPr>
      <w:rFonts w:ascii="Times New Roman" w:eastAsia="SimSun" w:hAnsi="Times New Roman" w:cs="Times New Roman"/>
      <w:kern w:val="0"/>
      <w:sz w:val="18"/>
      <w:szCs w:val="20"/>
      <w:lang w:val="en-GB" w:eastAsia="zh-CN"/>
      <w14:ligatures w14:val="none"/>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Footnote Refernece,Ref,callou"/>
    <w:link w:val="Appelnotedebasde"/>
    <w:qFormat/>
    <w:rsid w:val="00570ED3"/>
    <w:rPr>
      <w:rFonts w:ascii="Times New Roman" w:hAnsi="Times New Roman"/>
      <w:sz w:val="18"/>
      <w:vertAlign w:val="superscript"/>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570ED3"/>
    <w:pPr>
      <w:spacing w:before="120" w:after="120" w:line="240" w:lineRule="auto"/>
    </w:pPr>
    <w:rPr>
      <w:rFonts w:ascii="Times New Roman" w:hAnsi="Times New Roman"/>
      <w:sz w:val="18"/>
      <w:vertAlign w:val="superscript"/>
    </w:rPr>
  </w:style>
  <w:style w:type="paragraph" w:styleId="Revision">
    <w:name w:val="Revision"/>
    <w:hidden/>
    <w:uiPriority w:val="99"/>
    <w:semiHidden/>
    <w:rsid w:val="003618CC"/>
    <w:pPr>
      <w:spacing w:after="0" w:line="240" w:lineRule="auto"/>
    </w:pPr>
  </w:style>
  <w:style w:type="paragraph" w:styleId="BalloonText">
    <w:name w:val="Balloon Text"/>
    <w:basedOn w:val="Normal"/>
    <w:link w:val="BalloonTextChar"/>
    <w:uiPriority w:val="99"/>
    <w:semiHidden/>
    <w:unhideWhenUsed/>
    <w:rsid w:val="005C2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F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States</Category>
    <Filename xmlns="d42e65b2-cf21-49c1-b27d-d23f90380c0e" xsi:nil="true"/>
    <Doctype xmlns="d42e65b2-cf21-49c1-b27d-d23f90380c0e">input</Doctype>
    <Contributor xmlns="d42e65b2-cf21-49c1-b27d-d23f90380c0e">Ireland</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B5F9B0-64A0-404F-8DA4-7D5A9BE0A365}"/>
</file>

<file path=customXml/itemProps2.xml><?xml version="1.0" encoding="utf-8"?>
<ds:datastoreItem xmlns:ds="http://schemas.openxmlformats.org/officeDocument/2006/customXml" ds:itemID="{C132739E-208A-4E00-8FEA-894AB34283D8}">
  <ds:schemaRefs>
    <ds:schemaRef ds:uri="b0840e07-6bcd-43a6-b3a6-9986913b79c7"/>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58268C4-00B6-4B84-81E5-C0F30B2F1D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Ninitha Balzon</dc:creator>
  <cp:keywords/>
  <dc:description/>
  <cp:lastModifiedBy>Murphy Ellen GENEVA PM</cp:lastModifiedBy>
  <cp:revision>5</cp:revision>
  <dcterms:created xsi:type="dcterms:W3CDTF">2026-07-15T11:16:00Z</dcterms:created>
  <dcterms:modified xsi:type="dcterms:W3CDTF">2026-07-16T09:41:00Z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eDocs_Series">
    <vt:lpwstr>1;#816|4e5626e7-e40e-4898-aa0d-9848a4e533a8</vt:lpwstr>
  </property>
  <property fmtid="{D5CDD505-2E9C-101B-9397-08002B2CF9AE}" pid="4" name="eDocs_SecurityClassification">
    <vt:lpwstr>9;#Unclassified|48e59aef-4941-49be-a09f-d6143239bb71</vt:lpwstr>
  </property>
  <property fmtid="{D5CDD505-2E9C-101B-9397-08002B2CF9AE}" pid="5" name="eDocs_Year">
    <vt:lpwstr>64;#2025|fa6db36b-335b-4ee9-8e45-1b7375a06d1a</vt:lpwstr>
  </property>
  <property fmtid="{D5CDD505-2E9C-101B-9397-08002B2CF9AE}" pid="6" name="ge25f6a3ef6f42d4865685f2a74bf8c7">
    <vt:lpwstr/>
  </property>
  <property fmtid="{D5CDD505-2E9C-101B-9397-08002B2CF9AE}" pid="7" name="eDocs_FileTopics">
    <vt:lpwstr>3;#Human Rights|7bf58855-4265-44c9-9c9b-6ef14bf565a0;#8;##UN|da398e8b-1775-4185-992e-1d552ffb3fa6</vt:lpwstr>
  </property>
  <property fmtid="{D5CDD505-2E9C-101B-9397-08002B2CF9AE}" pid="8" name="eDocs_DocumentTopics">
    <vt:lpwstr/>
  </property>
  <property fmtid="{D5CDD505-2E9C-101B-9397-08002B2CF9AE}" pid="9" name="eDocs_RetentionPeriodTerm">
    <vt:lpwstr/>
  </property>
  <property fmtid="{D5CDD505-2E9C-101B-9397-08002B2CF9AE}" pid="10" name="MediaServiceImageTags">
    <vt:lpwstr/>
  </property>
</Properties>
</file>