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FBDE" w14:textId="140D0636" w:rsidR="002929A8" w:rsidRPr="00C4328D" w:rsidRDefault="002929A8" w:rsidP="002929A8">
      <w:pPr>
        <w:jc w:val="center"/>
        <w:rPr>
          <w:rFonts w:ascii="Palatino Linotype" w:eastAsia="Palatino Linotype" w:hAnsi="Palatino Linotype" w:cs="Palatino Linotype"/>
          <w:b/>
          <w:sz w:val="22"/>
          <w:szCs w:val="22"/>
        </w:rPr>
      </w:pPr>
      <w:r w:rsidRPr="00C4328D">
        <w:rPr>
          <w:rFonts w:ascii="Palatino Linotype" w:eastAsia="Palatino Linotype" w:hAnsi="Palatino Linotype" w:cs="Palatino Linotype"/>
          <w:b/>
          <w:sz w:val="22"/>
          <w:szCs w:val="22"/>
        </w:rPr>
        <w:t>Call for Comments – Draft GC 38 on Art. 22 (the right to freedom of association)</w:t>
      </w:r>
    </w:p>
    <w:p w14:paraId="7EFC4385" w14:textId="77777777" w:rsidR="002929A8" w:rsidRPr="00C4328D" w:rsidRDefault="002929A8" w:rsidP="002929A8">
      <w:pPr>
        <w:jc w:val="center"/>
        <w:rPr>
          <w:rFonts w:ascii="Palatino Linotype" w:eastAsia="Palatino Linotype" w:hAnsi="Palatino Linotype" w:cs="Palatino Linotype"/>
          <w:sz w:val="22"/>
          <w:szCs w:val="22"/>
        </w:rPr>
      </w:pPr>
      <w:r w:rsidRPr="00C4328D">
        <w:rPr>
          <w:rFonts w:ascii="Palatino Linotype" w:eastAsia="Palatino Linotype" w:hAnsi="Palatino Linotype" w:cs="Palatino Linotype"/>
          <w:sz w:val="22"/>
          <w:szCs w:val="22"/>
        </w:rPr>
        <w:t>Ms. Gina Romero (United Nations Special Rapporteur on Freedom of Peaceful Assembly and of Association), Prof. Pete Fussey, Dr. Daragh Murray</w:t>
      </w:r>
    </w:p>
    <w:p w14:paraId="2EB73749" w14:textId="77777777" w:rsidR="002929A8" w:rsidRPr="00C4328D" w:rsidRDefault="002929A8" w:rsidP="002929A8">
      <w:pPr>
        <w:rPr>
          <w:rFonts w:ascii="Palatino Linotype" w:hAnsi="Palatino Linotype"/>
          <w:sz w:val="22"/>
          <w:szCs w:val="22"/>
        </w:rPr>
      </w:pPr>
    </w:p>
    <w:p w14:paraId="45D0A9A3" w14:textId="77777777" w:rsidR="002929A8" w:rsidRPr="00C4328D" w:rsidRDefault="002929A8" w:rsidP="002929A8">
      <w:pPr>
        <w:jc w:val="both"/>
        <w:rPr>
          <w:rFonts w:ascii="Palatino Linotype" w:eastAsia="Palatino Linotype" w:hAnsi="Palatino Linotype" w:cs="Palatino Linotype"/>
          <w:sz w:val="22"/>
          <w:szCs w:val="22"/>
        </w:rPr>
      </w:pPr>
      <w:r w:rsidRPr="00C4328D">
        <w:rPr>
          <w:rFonts w:ascii="Palatino Linotype" w:eastAsia="Palatino Linotype" w:hAnsi="Palatino Linotype" w:cs="Palatino Linotype"/>
          <w:b/>
          <w:sz w:val="22"/>
          <w:szCs w:val="22"/>
        </w:rPr>
        <w:t>Introduction</w:t>
      </w:r>
    </w:p>
    <w:p w14:paraId="5FC5A76C" w14:textId="28688884" w:rsidR="00094DCE" w:rsidRPr="00C4328D" w:rsidRDefault="002929A8" w:rsidP="004C38B8">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 xml:space="preserve">Thank you for the opportunity to </w:t>
      </w:r>
      <w:r w:rsidR="00ED16FE" w:rsidRPr="00C4328D">
        <w:rPr>
          <w:rFonts w:ascii="Palatino Linotype" w:eastAsia="Palatino Linotype" w:hAnsi="Palatino Linotype" w:cs="Palatino Linotype"/>
          <w:color w:val="000000"/>
          <w:sz w:val="22"/>
          <w:szCs w:val="22"/>
        </w:rPr>
        <w:t>provide comment on Draft General Comment 38</w:t>
      </w:r>
      <w:r w:rsidRPr="00C4328D">
        <w:rPr>
          <w:rFonts w:ascii="Palatino Linotype" w:eastAsia="Palatino Linotype" w:hAnsi="Palatino Linotype" w:cs="Palatino Linotype"/>
          <w:color w:val="000000"/>
          <w:sz w:val="22"/>
          <w:szCs w:val="22"/>
        </w:rPr>
        <w:t>. This submission is made by Ms. Gina Romero, United Nations Special Rapporteur on Freedom of Peaceful Assembly and of Association,</w:t>
      </w:r>
      <w:r w:rsidRPr="00C4328D">
        <w:rPr>
          <w:rFonts w:ascii="Palatino Linotype" w:eastAsia="Palatino Linotype" w:hAnsi="Palatino Linotype" w:cs="Palatino Linotype"/>
          <w:color w:val="000000"/>
          <w:sz w:val="22"/>
          <w:szCs w:val="22"/>
          <w:vertAlign w:val="superscript"/>
        </w:rPr>
        <w:footnoteReference w:id="1"/>
      </w:r>
      <w:r w:rsidRPr="00C4328D">
        <w:rPr>
          <w:rFonts w:ascii="Palatino Linotype" w:eastAsia="Palatino Linotype" w:hAnsi="Palatino Linotype" w:cs="Palatino Linotype"/>
          <w:color w:val="000000"/>
          <w:sz w:val="22"/>
          <w:szCs w:val="22"/>
        </w:rPr>
        <w:t xml:space="preserve"> Prof. Pete Fussey,</w:t>
      </w:r>
      <w:r w:rsidRPr="00C4328D">
        <w:rPr>
          <w:rFonts w:ascii="Palatino Linotype" w:eastAsia="Palatino Linotype" w:hAnsi="Palatino Linotype" w:cs="Palatino Linotype"/>
          <w:color w:val="000000"/>
          <w:sz w:val="22"/>
          <w:szCs w:val="22"/>
          <w:vertAlign w:val="superscript"/>
        </w:rPr>
        <w:footnoteReference w:id="2"/>
      </w:r>
      <w:r w:rsidRPr="00C4328D">
        <w:rPr>
          <w:rFonts w:ascii="Palatino Linotype" w:eastAsia="Palatino Linotype" w:hAnsi="Palatino Linotype" w:cs="Palatino Linotype"/>
          <w:color w:val="000000"/>
          <w:sz w:val="22"/>
          <w:szCs w:val="22"/>
        </w:rPr>
        <w:t xml:space="preserve"> University of Southampton, and Dr. Daragh Murray,</w:t>
      </w:r>
      <w:r w:rsidRPr="00C4328D">
        <w:rPr>
          <w:rFonts w:ascii="Palatino Linotype" w:eastAsia="Palatino Linotype" w:hAnsi="Palatino Linotype" w:cs="Palatino Linotype"/>
          <w:color w:val="000000"/>
          <w:sz w:val="22"/>
          <w:szCs w:val="22"/>
          <w:vertAlign w:val="superscript"/>
        </w:rPr>
        <w:footnoteReference w:id="3"/>
      </w:r>
      <w:r w:rsidRPr="00C4328D">
        <w:rPr>
          <w:rFonts w:ascii="Palatino Linotype" w:eastAsia="Palatino Linotype" w:hAnsi="Palatino Linotype" w:cs="Palatino Linotype"/>
          <w:color w:val="000000"/>
          <w:sz w:val="22"/>
          <w:szCs w:val="22"/>
        </w:rPr>
        <w:t xml:space="preserve"> Queen Mary University of London.</w:t>
      </w:r>
    </w:p>
    <w:p w14:paraId="55A39592" w14:textId="0837C3E4" w:rsidR="004C38B8" w:rsidRPr="00C4328D" w:rsidRDefault="004C38B8" w:rsidP="004C38B8">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This document addresses the impact of digital surveillance – and associated chilling effects – on the exercise of the right to freedom of association. It draws on the UN Special Rapporteur on the Right to Freedom of Peaceful Assembly and of Association’s report to the Human Rights Council, ‘Unmasking the chilling effects of the digital surveillance ecosystem: the erosion of assembly and association rights’,</w:t>
      </w:r>
      <w:r w:rsidRPr="00C4328D">
        <w:rPr>
          <w:rStyle w:val="Refdenotaalpie"/>
          <w:rFonts w:ascii="Palatino Linotype" w:eastAsia="Palatino Linotype" w:hAnsi="Palatino Linotype" w:cs="Palatino Linotype"/>
          <w:color w:val="000000"/>
          <w:sz w:val="22"/>
          <w:szCs w:val="22"/>
        </w:rPr>
        <w:footnoteReference w:id="4"/>
      </w:r>
      <w:r w:rsidRPr="00C4328D">
        <w:rPr>
          <w:rFonts w:ascii="Palatino Linotype" w:eastAsia="Palatino Linotype" w:hAnsi="Palatino Linotype" w:cs="Palatino Linotype"/>
          <w:color w:val="000000"/>
          <w:sz w:val="22"/>
          <w:szCs w:val="22"/>
        </w:rPr>
        <w:t xml:space="preserve"> and the associated Global Study, ‘Pushed into the Shadows: Evidencing digital surveillance chilling effects and the erosion of the rights to freedom of assembly and of association’.</w:t>
      </w:r>
      <w:r w:rsidRPr="00C4328D">
        <w:rPr>
          <w:rStyle w:val="Refdenotaalpie"/>
          <w:rFonts w:ascii="Palatino Linotype" w:eastAsia="Palatino Linotype" w:hAnsi="Palatino Linotype" w:cs="Palatino Linotype"/>
          <w:color w:val="000000"/>
          <w:sz w:val="22"/>
          <w:szCs w:val="22"/>
        </w:rPr>
        <w:footnoteReference w:id="5"/>
      </w:r>
    </w:p>
    <w:p w14:paraId="220E9D11" w14:textId="16553121" w:rsidR="009308B1" w:rsidRPr="00C4328D" w:rsidRDefault="009308B1" w:rsidP="009308B1">
      <w:pPr>
        <w:pBdr>
          <w:top w:val="nil"/>
          <w:left w:val="nil"/>
          <w:bottom w:val="nil"/>
          <w:right w:val="nil"/>
          <w:between w:val="nil"/>
        </w:pBdr>
        <w:jc w:val="both"/>
        <w:rPr>
          <w:rFonts w:ascii="Palatino Linotype" w:eastAsia="Palatino Linotype" w:hAnsi="Palatino Linotype" w:cs="Palatino Linotype"/>
          <w:b/>
          <w:bCs/>
          <w:color w:val="000000"/>
          <w:sz w:val="22"/>
          <w:szCs w:val="22"/>
        </w:rPr>
      </w:pPr>
      <w:r w:rsidRPr="00C4328D">
        <w:rPr>
          <w:rFonts w:ascii="Palatino Linotype" w:eastAsia="Palatino Linotype" w:hAnsi="Palatino Linotype" w:cs="Palatino Linotype"/>
          <w:b/>
          <w:bCs/>
          <w:color w:val="000000"/>
          <w:sz w:val="22"/>
          <w:szCs w:val="22"/>
        </w:rPr>
        <w:t>Paragraph 11</w:t>
      </w:r>
    </w:p>
    <w:p w14:paraId="4D7FE0CC" w14:textId="7C4C774A" w:rsidR="00252C97" w:rsidRPr="00C4328D" w:rsidRDefault="00252C97" w:rsidP="00252C97">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Since the publication of the Draft General Comment the UN Special Rapporteur has published on report to the Human Rights Council, and one Global Study, specifically addressing</w:t>
      </w:r>
      <w:r w:rsidR="00F246AA">
        <w:rPr>
          <w:rFonts w:ascii="Palatino Linotype" w:eastAsia="Palatino Linotype" w:hAnsi="Palatino Linotype" w:cs="Palatino Linotype"/>
          <w:color w:val="000000"/>
          <w:sz w:val="22"/>
          <w:szCs w:val="22"/>
        </w:rPr>
        <w:t>, and evidencing,</w:t>
      </w:r>
      <w:r w:rsidRPr="00C4328D">
        <w:rPr>
          <w:rFonts w:ascii="Palatino Linotype" w:eastAsia="Palatino Linotype" w:hAnsi="Palatino Linotype" w:cs="Palatino Linotype"/>
          <w:color w:val="000000"/>
          <w:sz w:val="22"/>
          <w:szCs w:val="22"/>
        </w:rPr>
        <w:t xml:space="preserve"> the chilling effects of surveillance and their impact on the right to freedom of assembly. Suggest referencing this work within the Draft General Comment.</w:t>
      </w:r>
    </w:p>
    <w:p w14:paraId="15F8C266" w14:textId="74E918C2" w:rsidR="00252C97" w:rsidRPr="00C4328D" w:rsidRDefault="00252C97" w:rsidP="00252C97">
      <w:pPr>
        <w:pBdr>
          <w:top w:val="nil"/>
          <w:left w:val="nil"/>
          <w:bottom w:val="nil"/>
          <w:right w:val="nil"/>
          <w:between w:val="nil"/>
        </w:pBdr>
        <w:jc w:val="both"/>
        <w:rPr>
          <w:rFonts w:ascii="Palatino Linotype" w:eastAsia="Palatino Linotype" w:hAnsi="Palatino Linotype" w:cs="Palatino Linotype"/>
          <w:b/>
          <w:bCs/>
          <w:color w:val="000000"/>
          <w:sz w:val="22"/>
          <w:szCs w:val="22"/>
        </w:rPr>
      </w:pPr>
      <w:r w:rsidRPr="00C4328D">
        <w:rPr>
          <w:rFonts w:ascii="Palatino Linotype" w:eastAsia="Palatino Linotype" w:hAnsi="Palatino Linotype" w:cs="Palatino Linotype"/>
          <w:b/>
          <w:bCs/>
          <w:i/>
          <w:iCs/>
          <w:color w:val="000000"/>
          <w:sz w:val="22"/>
          <w:szCs w:val="22"/>
        </w:rPr>
        <w:t>Suggested addition to footnote 34</w:t>
      </w:r>
    </w:p>
    <w:p w14:paraId="757F8A64" w14:textId="14AE1BEB" w:rsidR="00252C97" w:rsidRPr="00C4328D" w:rsidRDefault="00077E9D" w:rsidP="004C38B8">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To add at the end of the footnote:</w:t>
      </w:r>
    </w:p>
    <w:p w14:paraId="02FC6DA2" w14:textId="70BE8027" w:rsidR="00077E9D" w:rsidRPr="00C4328D" w:rsidRDefault="00077E9D" w:rsidP="00077E9D">
      <w:pPr>
        <w:numPr>
          <w:ilvl w:val="1"/>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 xml:space="preserve">“A/HRC/62/45, VII; STD/SR/Assembly/Digital, VIII.” </w:t>
      </w:r>
    </w:p>
    <w:p w14:paraId="2B3FDF57" w14:textId="6FD85F94" w:rsidR="00077E9D" w:rsidRPr="00C4328D" w:rsidRDefault="00077E9D" w:rsidP="00077E9D">
      <w:pPr>
        <w:pBdr>
          <w:top w:val="nil"/>
          <w:left w:val="nil"/>
          <w:bottom w:val="nil"/>
          <w:right w:val="nil"/>
          <w:between w:val="nil"/>
        </w:pBdr>
        <w:jc w:val="both"/>
        <w:rPr>
          <w:rFonts w:ascii="Palatino Linotype" w:eastAsia="Palatino Linotype" w:hAnsi="Palatino Linotype" w:cs="Palatino Linotype"/>
          <w:b/>
          <w:bCs/>
          <w:color w:val="000000"/>
          <w:sz w:val="22"/>
          <w:szCs w:val="22"/>
        </w:rPr>
      </w:pPr>
      <w:r w:rsidRPr="00C4328D">
        <w:rPr>
          <w:rFonts w:ascii="Palatino Linotype" w:eastAsia="Palatino Linotype" w:hAnsi="Palatino Linotype" w:cs="Palatino Linotype"/>
          <w:b/>
          <w:bCs/>
          <w:color w:val="000000"/>
          <w:sz w:val="22"/>
          <w:szCs w:val="22"/>
        </w:rPr>
        <w:t>Paragraph 30.</w:t>
      </w:r>
      <w:r w:rsidRPr="00C4328D">
        <w:rPr>
          <w:rFonts w:ascii="Palatino Linotype" w:eastAsia="Palatino Linotype" w:hAnsi="Palatino Linotype" w:cs="Palatino Linotype"/>
          <w:b/>
          <w:bCs/>
          <w:i/>
          <w:iCs/>
          <w:color w:val="000000"/>
          <w:sz w:val="22"/>
          <w:szCs w:val="22"/>
        </w:rPr>
        <w:t>bis</w:t>
      </w:r>
      <w:r w:rsidRPr="00C4328D">
        <w:rPr>
          <w:rFonts w:ascii="Palatino Linotype" w:eastAsia="Palatino Linotype" w:hAnsi="Palatino Linotype" w:cs="Palatino Linotype"/>
          <w:b/>
          <w:bCs/>
          <w:color w:val="000000"/>
          <w:sz w:val="22"/>
          <w:szCs w:val="22"/>
        </w:rPr>
        <w:t>.</w:t>
      </w:r>
    </w:p>
    <w:p w14:paraId="62A3B978" w14:textId="6EBCC5FE" w:rsidR="00077E9D" w:rsidRPr="00C4328D" w:rsidRDefault="009053E9" w:rsidP="00077E9D">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 xml:space="preserve">Paragraph 30 acknowledges the impact that specific measures can have on the exercise of the right to freedom of association, including through the generation of chilling effects. However, the Draft General Comment does not acknowledge the </w:t>
      </w:r>
      <w:r w:rsidRPr="00C4328D">
        <w:rPr>
          <w:rFonts w:ascii="Palatino Linotype" w:eastAsia="Palatino Linotype" w:hAnsi="Palatino Linotype" w:cs="Palatino Linotype"/>
          <w:i/>
          <w:iCs/>
          <w:color w:val="000000"/>
          <w:sz w:val="22"/>
          <w:szCs w:val="22"/>
        </w:rPr>
        <w:t xml:space="preserve">overall </w:t>
      </w:r>
      <w:r w:rsidRPr="00C4328D">
        <w:rPr>
          <w:rFonts w:ascii="Palatino Linotype" w:eastAsia="Palatino Linotype" w:hAnsi="Palatino Linotype" w:cs="Palatino Linotype"/>
          <w:color w:val="000000"/>
          <w:sz w:val="22"/>
          <w:szCs w:val="22"/>
        </w:rPr>
        <w:t xml:space="preserve">impact of the digital surveillance ecosystem. This requires distinct examination </w:t>
      </w:r>
      <w:proofErr w:type="gramStart"/>
      <w:r w:rsidRPr="00C4328D">
        <w:rPr>
          <w:rFonts w:ascii="Palatino Linotype" w:eastAsia="Palatino Linotype" w:hAnsi="Palatino Linotype" w:cs="Palatino Linotype"/>
          <w:color w:val="000000"/>
          <w:sz w:val="22"/>
          <w:szCs w:val="22"/>
        </w:rPr>
        <w:t>in order to</w:t>
      </w:r>
      <w:proofErr w:type="gramEnd"/>
      <w:r w:rsidRPr="00C4328D">
        <w:rPr>
          <w:rFonts w:ascii="Palatino Linotype" w:eastAsia="Palatino Linotype" w:hAnsi="Palatino Linotype" w:cs="Palatino Linotype"/>
          <w:color w:val="000000"/>
          <w:sz w:val="22"/>
          <w:szCs w:val="22"/>
        </w:rPr>
        <w:t xml:space="preserve"> ensure that the protection of the right to freedom of </w:t>
      </w:r>
      <w:r w:rsidR="00FD6C2A" w:rsidRPr="00C4328D">
        <w:rPr>
          <w:rFonts w:ascii="Palatino Linotype" w:eastAsia="Palatino Linotype" w:hAnsi="Palatino Linotype" w:cs="Palatino Linotype"/>
          <w:color w:val="000000"/>
          <w:sz w:val="22"/>
          <w:szCs w:val="22"/>
        </w:rPr>
        <w:t>association</w:t>
      </w:r>
      <w:r w:rsidRPr="00C4328D">
        <w:rPr>
          <w:rFonts w:ascii="Palatino Linotype" w:eastAsia="Palatino Linotype" w:hAnsi="Palatino Linotype" w:cs="Palatino Linotype"/>
          <w:color w:val="000000"/>
          <w:sz w:val="22"/>
          <w:szCs w:val="22"/>
        </w:rPr>
        <w:t xml:space="preserve"> is not inappropriately, or indeed inadvertently, undermined. </w:t>
      </w:r>
      <w:r w:rsidR="0094646B" w:rsidRPr="00C4328D">
        <w:rPr>
          <w:rFonts w:ascii="Palatino Linotype" w:eastAsia="Palatino Linotype" w:hAnsi="Palatino Linotype" w:cs="Palatino Linotype"/>
          <w:color w:val="000000"/>
          <w:sz w:val="22"/>
          <w:szCs w:val="22"/>
        </w:rPr>
        <w:t>In the digital age it is not enough to look only at discrete surveillance activities</w:t>
      </w:r>
      <w:r w:rsidR="00F246AA">
        <w:rPr>
          <w:rFonts w:ascii="Palatino Linotype" w:eastAsia="Palatino Linotype" w:hAnsi="Palatino Linotype" w:cs="Palatino Linotype"/>
          <w:color w:val="000000"/>
          <w:sz w:val="22"/>
          <w:szCs w:val="22"/>
        </w:rPr>
        <w:t xml:space="preserve"> (as is often done)</w:t>
      </w:r>
      <w:r w:rsidR="0094646B" w:rsidRPr="00C4328D">
        <w:rPr>
          <w:rFonts w:ascii="Palatino Linotype" w:eastAsia="Palatino Linotype" w:hAnsi="Palatino Linotype" w:cs="Palatino Linotype"/>
          <w:color w:val="000000"/>
          <w:sz w:val="22"/>
          <w:szCs w:val="22"/>
        </w:rPr>
        <w:t xml:space="preserve">. The State’s overall, and interconnected, surveillance ecosystem must also be addressed. </w:t>
      </w:r>
    </w:p>
    <w:p w14:paraId="5417776B" w14:textId="6DC86AE9" w:rsidR="00FD6C2A" w:rsidRPr="00C4328D" w:rsidRDefault="00137AF9" w:rsidP="00137AF9">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As set out in the Global Study: “When analysing the modern digital environment – rather than focus on specific tools and practices – it is more accurate to consider surveillance practices as constituting an interconnected surveillance ecosystem, composed of digital and data infrastructures operated by State and non-State actors.”</w:t>
      </w:r>
      <w:r w:rsidRPr="00C4328D">
        <w:rPr>
          <w:rStyle w:val="Refdenotaalpie"/>
          <w:rFonts w:ascii="Palatino Linotype" w:eastAsia="Palatino Linotype" w:hAnsi="Palatino Linotype" w:cs="Palatino Linotype"/>
          <w:color w:val="000000"/>
          <w:sz w:val="22"/>
          <w:szCs w:val="22"/>
        </w:rPr>
        <w:footnoteReference w:id="6"/>
      </w:r>
      <w:r w:rsidR="00FD6C2A" w:rsidRPr="00C4328D">
        <w:rPr>
          <w:rFonts w:ascii="Palatino Linotype" w:eastAsia="Palatino Linotype" w:hAnsi="Palatino Linotype" w:cs="Palatino Linotype"/>
          <w:color w:val="000000"/>
          <w:sz w:val="22"/>
          <w:szCs w:val="22"/>
        </w:rPr>
        <w:t xml:space="preserve"> This means that, “from </w:t>
      </w:r>
      <w:r w:rsidR="00FD6C2A" w:rsidRPr="00C4328D">
        <w:rPr>
          <w:rFonts w:ascii="Palatino Linotype" w:eastAsia="Palatino Linotype" w:hAnsi="Palatino Linotype" w:cs="Palatino Linotype"/>
          <w:color w:val="000000"/>
          <w:sz w:val="22"/>
          <w:szCs w:val="22"/>
        </w:rPr>
        <w:lastRenderedPageBreak/>
        <w:t xml:space="preserve">the perspective of those subject to surveillance, surveillance measures are not one-off, isolated, occurrences […] The consequence is that ostensibly discrete surveillance activities in fact exist across a surveillance continuum and persist over time, leaving deep, long-term, society wide impacts. These impacts are enhanced with respect to marginalised and vulnerable groups, and those engaged in socio-political activities clashing with the status quo. It is this ecosystem-related impact that plays a decisive role with respect to the degree to which chilling effects are experienced by different individuals and groups. This poses a challenge to traditional human rights law analysis as ecosystem-related chilling effects are not typical </w:t>
      </w:r>
      <w:r w:rsidR="001E0060" w:rsidRPr="00C4328D">
        <w:rPr>
          <w:rFonts w:ascii="Palatino Linotype" w:eastAsia="Palatino Linotype" w:hAnsi="Palatino Linotype" w:cs="Palatino Linotype"/>
          <w:color w:val="000000"/>
          <w:sz w:val="22"/>
          <w:szCs w:val="22"/>
        </w:rPr>
        <w:t>cause</w:t>
      </w:r>
      <w:r w:rsidR="00FD6C2A" w:rsidRPr="00C4328D">
        <w:rPr>
          <w:rFonts w:ascii="Palatino Linotype" w:eastAsia="Palatino Linotype" w:hAnsi="Palatino Linotype" w:cs="Palatino Linotype"/>
          <w:color w:val="000000"/>
          <w:sz w:val="22"/>
          <w:szCs w:val="22"/>
        </w:rPr>
        <w:t xml:space="preserve">-and-effect’ harms, whereby a specific incident gives rise to a defined harm. </w:t>
      </w:r>
      <w:proofErr w:type="gramStart"/>
      <w:r w:rsidR="00FD6C2A" w:rsidRPr="00C4328D">
        <w:rPr>
          <w:rFonts w:ascii="Palatino Linotype" w:eastAsia="Palatino Linotype" w:hAnsi="Palatino Linotype" w:cs="Palatino Linotype"/>
          <w:color w:val="000000"/>
          <w:sz w:val="22"/>
          <w:szCs w:val="22"/>
        </w:rPr>
        <w:t>In order to</w:t>
      </w:r>
      <w:proofErr w:type="gramEnd"/>
      <w:r w:rsidR="00FD6C2A" w:rsidRPr="00C4328D">
        <w:rPr>
          <w:rFonts w:ascii="Palatino Linotype" w:eastAsia="Palatino Linotype" w:hAnsi="Palatino Linotype" w:cs="Palatino Linotype"/>
          <w:color w:val="000000"/>
          <w:sz w:val="22"/>
          <w:szCs w:val="22"/>
        </w:rPr>
        <w:t xml:space="preserve"> effectively encapsulate surveillance chilling effects, both the cause-and-effect harm associated with discrete surveillance activities and the cumulative harms exerted by the surveillance ecosystem must be acknowledged.”</w:t>
      </w:r>
      <w:r w:rsidR="00FD6C2A" w:rsidRPr="00C4328D">
        <w:rPr>
          <w:rStyle w:val="Refdenotaalpie"/>
          <w:rFonts w:ascii="Palatino Linotype" w:eastAsia="Palatino Linotype" w:hAnsi="Palatino Linotype" w:cs="Palatino Linotype"/>
          <w:color w:val="000000"/>
          <w:sz w:val="22"/>
          <w:szCs w:val="22"/>
        </w:rPr>
        <w:footnoteReference w:id="7"/>
      </w:r>
      <w:r w:rsidR="00FD6C2A" w:rsidRPr="00C4328D">
        <w:rPr>
          <w:rFonts w:ascii="Palatino Linotype" w:eastAsia="Palatino Linotype" w:hAnsi="Palatino Linotype" w:cs="Palatino Linotype"/>
          <w:color w:val="000000"/>
          <w:sz w:val="22"/>
          <w:szCs w:val="22"/>
        </w:rPr>
        <w:t xml:space="preserve"> </w:t>
      </w:r>
    </w:p>
    <w:p w14:paraId="1378DEAD" w14:textId="116B396E" w:rsidR="00137AF9" w:rsidRPr="00C4328D" w:rsidRDefault="00FD6C2A" w:rsidP="00137AF9">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Suggest adding a new paragraph 30.</w:t>
      </w:r>
      <w:r w:rsidRPr="00C4328D">
        <w:rPr>
          <w:rFonts w:ascii="Palatino Linotype" w:eastAsia="Palatino Linotype" w:hAnsi="Palatino Linotype" w:cs="Palatino Linotype"/>
          <w:i/>
          <w:iCs/>
          <w:color w:val="000000"/>
          <w:sz w:val="22"/>
          <w:szCs w:val="22"/>
        </w:rPr>
        <w:t>bis.</w:t>
      </w:r>
    </w:p>
    <w:p w14:paraId="293274A0" w14:textId="641A07AD" w:rsidR="00FD6C2A" w:rsidRPr="00C4328D" w:rsidRDefault="00FD6C2A" w:rsidP="00FD6C2A">
      <w:pPr>
        <w:pBdr>
          <w:top w:val="nil"/>
          <w:left w:val="nil"/>
          <w:bottom w:val="nil"/>
          <w:right w:val="nil"/>
          <w:between w:val="nil"/>
        </w:pBdr>
        <w:jc w:val="both"/>
        <w:rPr>
          <w:rFonts w:ascii="Palatino Linotype" w:eastAsia="Palatino Linotype" w:hAnsi="Palatino Linotype" w:cs="Palatino Linotype"/>
          <w:b/>
          <w:bCs/>
          <w:color w:val="000000"/>
          <w:sz w:val="22"/>
          <w:szCs w:val="22"/>
        </w:rPr>
      </w:pPr>
      <w:r w:rsidRPr="00C4328D">
        <w:rPr>
          <w:rFonts w:ascii="Palatino Linotype" w:eastAsia="Palatino Linotype" w:hAnsi="Palatino Linotype" w:cs="Palatino Linotype"/>
          <w:b/>
          <w:bCs/>
          <w:i/>
          <w:iCs/>
          <w:color w:val="000000"/>
          <w:sz w:val="22"/>
          <w:szCs w:val="22"/>
        </w:rPr>
        <w:t>Suggested addition: new paragraph following paragraph 30</w:t>
      </w:r>
    </w:p>
    <w:p w14:paraId="1749A31E" w14:textId="30745A87" w:rsidR="00137AF9" w:rsidRPr="00C4328D" w:rsidRDefault="00FD6C2A" w:rsidP="00077E9D">
      <w:pPr>
        <w:numPr>
          <w:ilvl w:val="0"/>
          <w:numId w:val="1"/>
        </w:numPr>
        <w:pBdr>
          <w:top w:val="nil"/>
          <w:left w:val="nil"/>
          <w:bottom w:val="nil"/>
          <w:right w:val="nil"/>
          <w:between w:val="nil"/>
        </w:pBdr>
        <w:jc w:val="both"/>
        <w:rPr>
          <w:rFonts w:ascii="Palatino Linotype" w:eastAsia="Palatino Linotype" w:hAnsi="Palatino Linotype" w:cs="Palatino Linotype"/>
          <w:sz w:val="22"/>
          <w:szCs w:val="22"/>
        </w:rPr>
      </w:pPr>
      <w:r w:rsidRPr="00C4328D">
        <w:rPr>
          <w:rFonts w:ascii="Palatino Linotype" w:eastAsia="Palatino Linotype" w:hAnsi="Palatino Linotype" w:cs="Palatino Linotype"/>
          <w:sz w:val="22"/>
          <w:szCs w:val="22"/>
        </w:rPr>
        <w:t>To add the following text</w:t>
      </w:r>
      <w:r w:rsidR="000B5AE2" w:rsidRPr="00C4328D">
        <w:rPr>
          <w:rFonts w:ascii="Palatino Linotype" w:eastAsia="Palatino Linotype" w:hAnsi="Palatino Linotype" w:cs="Palatino Linotype"/>
          <w:sz w:val="22"/>
          <w:szCs w:val="22"/>
        </w:rPr>
        <w:t xml:space="preserve"> (including associated footnotes)</w:t>
      </w:r>
      <w:r w:rsidRPr="00C4328D">
        <w:rPr>
          <w:rFonts w:ascii="Palatino Linotype" w:eastAsia="Palatino Linotype" w:hAnsi="Palatino Linotype" w:cs="Palatino Linotype"/>
          <w:sz w:val="22"/>
          <w:szCs w:val="22"/>
        </w:rPr>
        <w:t>:</w:t>
      </w:r>
    </w:p>
    <w:p w14:paraId="63B11E69" w14:textId="403A641C" w:rsidR="00FD6C2A" w:rsidRPr="00C4328D" w:rsidRDefault="00213F72" w:rsidP="008D4F6B">
      <w:pPr>
        <w:pStyle w:val="Prrafodelista"/>
        <w:numPr>
          <w:ilvl w:val="1"/>
          <w:numId w:val="1"/>
        </w:numPr>
        <w:ind w:right="-46"/>
        <w:jc w:val="both"/>
        <w:rPr>
          <w:rFonts w:ascii="Palatino Linotype" w:hAnsi="Palatino Linotype"/>
          <w:sz w:val="22"/>
          <w:szCs w:val="22"/>
        </w:rPr>
      </w:pPr>
      <w:r w:rsidRPr="00C4328D">
        <w:rPr>
          <w:rFonts w:ascii="Palatino Linotype" w:hAnsi="Palatino Linotype"/>
          <w:sz w:val="22"/>
          <w:szCs w:val="22"/>
        </w:rPr>
        <w:t>“</w:t>
      </w:r>
      <w:r w:rsidR="00FD6C2A" w:rsidRPr="00C4328D">
        <w:rPr>
          <w:rFonts w:ascii="Palatino Linotype" w:hAnsi="Palatino Linotype"/>
          <w:sz w:val="22"/>
          <w:szCs w:val="22"/>
        </w:rPr>
        <w:t>Digital surveillance and AI-assisted analytics pose novel threats to the exercise of the right to freedom of association. These threats emerge, not only from independent or isolated surveillance activities, but from the</w:t>
      </w:r>
      <w:r w:rsidR="00F246AA">
        <w:rPr>
          <w:rFonts w:ascii="Palatino Linotype" w:hAnsi="Palatino Linotype"/>
          <w:sz w:val="22"/>
          <w:szCs w:val="22"/>
        </w:rPr>
        <w:t>ir combination in an</w:t>
      </w:r>
      <w:r w:rsidR="00FD6C2A" w:rsidRPr="00C4328D">
        <w:rPr>
          <w:rFonts w:ascii="Palatino Linotype" w:hAnsi="Palatino Linotype"/>
          <w:sz w:val="22"/>
          <w:szCs w:val="22"/>
        </w:rPr>
        <w:t xml:space="preserve"> overall surveillance ecosystem within a State.</w:t>
      </w:r>
      <w:r w:rsidR="00FD6C2A" w:rsidRPr="00C4328D">
        <w:rPr>
          <w:rStyle w:val="Refdenotaalpie"/>
          <w:rFonts w:ascii="Palatino Linotype" w:hAnsi="Palatino Linotype"/>
          <w:sz w:val="22"/>
          <w:szCs w:val="22"/>
        </w:rPr>
        <w:footnoteReference w:id="8"/>
      </w:r>
      <w:r w:rsidR="00FD6C2A" w:rsidRPr="00C4328D">
        <w:rPr>
          <w:rFonts w:ascii="Palatino Linotype" w:hAnsi="Palatino Linotype"/>
          <w:sz w:val="22"/>
          <w:szCs w:val="22"/>
        </w:rPr>
        <w:t xml:space="preserve"> </w:t>
      </w:r>
      <w:r w:rsidR="00F246AA">
        <w:rPr>
          <w:rFonts w:ascii="Palatino Linotype" w:hAnsi="Palatino Linotype"/>
          <w:sz w:val="22"/>
          <w:szCs w:val="22"/>
        </w:rPr>
        <w:t>T</w:t>
      </w:r>
      <w:r w:rsidR="00FD6C2A" w:rsidRPr="00C4328D">
        <w:rPr>
          <w:rFonts w:ascii="Palatino Linotype" w:hAnsi="Palatino Linotype"/>
          <w:sz w:val="22"/>
          <w:szCs w:val="22"/>
        </w:rPr>
        <w:t>o ensure that they do not inappropriately restrict the right to freedom of association States should undertake human rights due diligence focused on all aspects of this surveillance ecosystem.</w:t>
      </w:r>
      <w:r w:rsidR="00FD6C2A" w:rsidRPr="00C4328D">
        <w:rPr>
          <w:rStyle w:val="Refdenotaalpie"/>
          <w:rFonts w:ascii="Palatino Linotype" w:hAnsi="Palatino Linotype"/>
          <w:sz w:val="22"/>
          <w:szCs w:val="22"/>
        </w:rPr>
        <w:footnoteReference w:id="9"/>
      </w:r>
      <w:r w:rsidR="00FD6C2A" w:rsidRPr="00C4328D">
        <w:rPr>
          <w:rFonts w:ascii="Palatino Linotype" w:hAnsi="Palatino Linotype"/>
          <w:sz w:val="22"/>
          <w:szCs w:val="22"/>
        </w:rPr>
        <w:t xml:space="preserve"> They must address both discrete surveillance activities and the cumulative harm linked to the overall surveillance ecosystem, including the emergence of chilling effects over the medium and long-term, </w:t>
      </w:r>
      <w:r w:rsidR="00F246AA">
        <w:rPr>
          <w:rFonts w:ascii="Palatino Linotype" w:hAnsi="Palatino Linotype"/>
          <w:sz w:val="22"/>
          <w:szCs w:val="22"/>
        </w:rPr>
        <w:t>alongside wider</w:t>
      </w:r>
      <w:r w:rsidR="00FD6C2A" w:rsidRPr="00C4328D">
        <w:rPr>
          <w:rFonts w:ascii="Palatino Linotype" w:hAnsi="Palatino Linotype"/>
          <w:sz w:val="22"/>
          <w:szCs w:val="22"/>
        </w:rPr>
        <w:t xml:space="preserve"> compound human rights harm</w:t>
      </w:r>
      <w:r w:rsidR="00F246AA">
        <w:rPr>
          <w:rFonts w:ascii="Palatino Linotype" w:hAnsi="Palatino Linotype"/>
          <w:sz w:val="22"/>
          <w:szCs w:val="22"/>
        </w:rPr>
        <w:t>s</w:t>
      </w:r>
      <w:r w:rsidR="00FD6C2A" w:rsidRPr="00C4328D">
        <w:rPr>
          <w:rFonts w:ascii="Palatino Linotype" w:hAnsi="Palatino Linotype"/>
          <w:sz w:val="22"/>
          <w:szCs w:val="22"/>
        </w:rPr>
        <w:t>.</w:t>
      </w:r>
      <w:r w:rsidR="00FD6C2A" w:rsidRPr="00C4328D">
        <w:rPr>
          <w:rStyle w:val="Refdenotaalpie"/>
          <w:rFonts w:ascii="Palatino Linotype" w:hAnsi="Palatino Linotype"/>
          <w:sz w:val="22"/>
          <w:szCs w:val="22"/>
        </w:rPr>
        <w:footnoteReference w:id="10"/>
      </w:r>
      <w:r w:rsidR="00FD6C2A" w:rsidRPr="00C4328D">
        <w:rPr>
          <w:rFonts w:ascii="Palatino Linotype" w:hAnsi="Palatino Linotype"/>
          <w:sz w:val="22"/>
          <w:szCs w:val="22"/>
        </w:rPr>
        <w:t xml:space="preserve"> State justifications for digital surveillance should be incorporated into the due diligence assessment</w:t>
      </w:r>
      <w:r w:rsidR="00F246AA">
        <w:rPr>
          <w:rFonts w:ascii="Palatino Linotype" w:hAnsi="Palatino Linotype"/>
          <w:sz w:val="22"/>
          <w:szCs w:val="22"/>
        </w:rPr>
        <w:t xml:space="preserve">. They </w:t>
      </w:r>
      <w:r w:rsidR="00FD6C2A" w:rsidRPr="00C4328D">
        <w:rPr>
          <w:rFonts w:ascii="Palatino Linotype" w:hAnsi="Palatino Linotype"/>
          <w:sz w:val="22"/>
          <w:szCs w:val="22"/>
        </w:rPr>
        <w:t>must be supported by clear and sufficient reasons evidencing the need for surveillance and demonstrat</w:t>
      </w:r>
      <w:r w:rsidR="00F246AA">
        <w:rPr>
          <w:rFonts w:ascii="Palatino Linotype" w:hAnsi="Palatino Linotype"/>
          <w:sz w:val="22"/>
          <w:szCs w:val="22"/>
        </w:rPr>
        <w:t>e</w:t>
      </w:r>
      <w:r w:rsidR="00FD6C2A" w:rsidRPr="00C4328D">
        <w:rPr>
          <w:rFonts w:ascii="Palatino Linotype" w:hAnsi="Palatino Linotype"/>
          <w:sz w:val="22"/>
          <w:szCs w:val="22"/>
        </w:rPr>
        <w:t xml:space="preserve"> how such surveillance responds to an identified legitimate aim.</w:t>
      </w:r>
      <w:r w:rsidRPr="00C4328D">
        <w:rPr>
          <w:rFonts w:ascii="Palatino Linotype" w:hAnsi="Palatino Linotype"/>
          <w:sz w:val="22"/>
          <w:szCs w:val="22"/>
        </w:rPr>
        <w:t>”</w:t>
      </w:r>
    </w:p>
    <w:p w14:paraId="1ED50D70" w14:textId="766EB56D" w:rsidR="00064B7D" w:rsidRPr="00C4328D" w:rsidRDefault="00064B7D" w:rsidP="00064B7D">
      <w:pPr>
        <w:ind w:right="1134"/>
        <w:jc w:val="both"/>
        <w:rPr>
          <w:rFonts w:ascii="Palatino Linotype" w:hAnsi="Palatino Linotype"/>
          <w:b/>
          <w:bCs/>
          <w:sz w:val="22"/>
          <w:szCs w:val="22"/>
        </w:rPr>
      </w:pPr>
      <w:r w:rsidRPr="00C4328D">
        <w:rPr>
          <w:rFonts w:ascii="Palatino Linotype" w:hAnsi="Palatino Linotype"/>
          <w:b/>
          <w:bCs/>
          <w:sz w:val="22"/>
          <w:szCs w:val="22"/>
        </w:rPr>
        <w:t>Paragraph 32</w:t>
      </w:r>
    </w:p>
    <w:p w14:paraId="47B1CEFD" w14:textId="119B4784" w:rsidR="00FD6C2A" w:rsidRPr="00C4328D" w:rsidRDefault="00064B7D" w:rsidP="008D197C">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Suggest slight amendment to the text to make explicit reference to the phenomenon of transnational repression.</w:t>
      </w:r>
    </w:p>
    <w:p w14:paraId="59B2B38C" w14:textId="756CE5BF" w:rsidR="00C4328D" w:rsidRPr="00C4328D" w:rsidRDefault="00C4328D" w:rsidP="00C4328D">
      <w:pPr>
        <w:pBdr>
          <w:top w:val="nil"/>
          <w:left w:val="nil"/>
          <w:bottom w:val="nil"/>
          <w:right w:val="nil"/>
          <w:between w:val="nil"/>
        </w:pBdr>
        <w:jc w:val="both"/>
        <w:rPr>
          <w:rFonts w:ascii="Palatino Linotype" w:eastAsia="Palatino Linotype" w:hAnsi="Palatino Linotype" w:cs="Palatino Linotype"/>
          <w:b/>
          <w:bCs/>
          <w:color w:val="000000"/>
          <w:sz w:val="22"/>
          <w:szCs w:val="22"/>
        </w:rPr>
      </w:pPr>
      <w:r w:rsidRPr="00C4328D">
        <w:rPr>
          <w:rFonts w:ascii="Palatino Linotype" w:eastAsia="Palatino Linotype" w:hAnsi="Palatino Linotype" w:cs="Palatino Linotype"/>
          <w:b/>
          <w:bCs/>
          <w:i/>
          <w:iCs/>
          <w:color w:val="000000"/>
          <w:sz w:val="22"/>
          <w:szCs w:val="22"/>
        </w:rPr>
        <w:t>Suggested addition to paragraph 32</w:t>
      </w:r>
    </w:p>
    <w:p w14:paraId="5A412537" w14:textId="77777777" w:rsidR="00C4328D" w:rsidRPr="00C4328D" w:rsidRDefault="00C4328D" w:rsidP="00C4328D">
      <w:pPr>
        <w:numPr>
          <w:ilvl w:val="0"/>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eastAsia="Palatino Linotype" w:hAnsi="Palatino Linotype" w:cs="Palatino Linotype"/>
          <w:color w:val="000000"/>
          <w:sz w:val="22"/>
          <w:szCs w:val="22"/>
        </w:rPr>
        <w:t>Suggest adding the underlined text to the paragraph.</w:t>
      </w:r>
    </w:p>
    <w:p w14:paraId="23101078" w14:textId="5681C860" w:rsidR="00C4328D" w:rsidRPr="00C4328D" w:rsidRDefault="00C4328D" w:rsidP="00C4328D">
      <w:pPr>
        <w:numPr>
          <w:ilvl w:val="1"/>
          <w:numId w:val="1"/>
        </w:numPr>
        <w:pBdr>
          <w:top w:val="nil"/>
          <w:left w:val="nil"/>
          <w:bottom w:val="nil"/>
          <w:right w:val="nil"/>
          <w:between w:val="nil"/>
        </w:pBdr>
        <w:jc w:val="both"/>
        <w:rPr>
          <w:rFonts w:ascii="Palatino Linotype" w:eastAsia="Palatino Linotype" w:hAnsi="Palatino Linotype" w:cs="Palatino Linotype"/>
          <w:color w:val="000000"/>
          <w:sz w:val="22"/>
          <w:szCs w:val="22"/>
        </w:rPr>
      </w:pPr>
      <w:r w:rsidRPr="00C4328D">
        <w:rPr>
          <w:rFonts w:ascii="Palatino Linotype" w:hAnsi="Palatino Linotype"/>
          <w:sz w:val="22"/>
          <w:szCs w:val="22"/>
        </w:rPr>
        <w:t xml:space="preserve">As indicated above, in line with article 2 of the Covenant, the obligation to respect Covenant rights is not limited to a State Party’s territory. Therefore, article 22 prohibits a State Party from </w:t>
      </w:r>
      <w:r w:rsidRPr="00C4328D">
        <w:rPr>
          <w:rFonts w:ascii="Palatino Linotype" w:hAnsi="Palatino Linotype"/>
          <w:sz w:val="22"/>
          <w:szCs w:val="22"/>
          <w:u w:val="single"/>
        </w:rPr>
        <w:t>engaging in transnational repression, including by</w:t>
      </w:r>
      <w:r w:rsidRPr="00C4328D">
        <w:rPr>
          <w:rFonts w:ascii="Palatino Linotype" w:hAnsi="Palatino Linotype"/>
          <w:sz w:val="22"/>
          <w:szCs w:val="22"/>
        </w:rPr>
        <w:t xml:space="preserve"> torturing, disappearing, arbitrarily arresting and detaining, intimidating, harassing, cyber-repressing or committing any similar actions against, for instance, journalists, human rights defenders, environmental defenders, lawyers and legal aid organizations, media workers and trade union members living abroad.</w:t>
      </w:r>
    </w:p>
    <w:p w14:paraId="19BA0F0C" w14:textId="77777777" w:rsidR="00C4328D" w:rsidRPr="00C4328D" w:rsidRDefault="00C4328D" w:rsidP="00C4328D">
      <w:pPr>
        <w:pBdr>
          <w:top w:val="nil"/>
          <w:left w:val="nil"/>
          <w:bottom w:val="nil"/>
          <w:right w:val="nil"/>
          <w:between w:val="nil"/>
        </w:pBdr>
        <w:jc w:val="both"/>
        <w:rPr>
          <w:rFonts w:ascii="Palatino Linotype" w:eastAsia="Palatino Linotype" w:hAnsi="Palatino Linotype" w:cs="Palatino Linotype"/>
          <w:color w:val="000000"/>
          <w:sz w:val="22"/>
          <w:szCs w:val="22"/>
        </w:rPr>
      </w:pPr>
    </w:p>
    <w:sectPr w:rsidR="00C4328D" w:rsidRPr="00C4328D">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0524A" w14:textId="77777777" w:rsidR="00ED00AE" w:rsidRDefault="00ED00AE" w:rsidP="002929A8">
      <w:r>
        <w:separator/>
      </w:r>
    </w:p>
  </w:endnote>
  <w:endnote w:type="continuationSeparator" w:id="0">
    <w:p w14:paraId="05CDE641" w14:textId="77777777" w:rsidR="00ED00AE" w:rsidRDefault="00ED00AE" w:rsidP="0029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0822134"/>
      <w:docPartObj>
        <w:docPartGallery w:val="Page Numbers (Bottom of Page)"/>
        <w:docPartUnique/>
      </w:docPartObj>
    </w:sdtPr>
    <w:sdtEndPr>
      <w:rPr>
        <w:rStyle w:val="Nmerodepgina"/>
      </w:rPr>
    </w:sdtEndPr>
    <w:sdtContent>
      <w:p w14:paraId="5F34892F" w14:textId="283B69F0" w:rsidR="00137AF9" w:rsidRDefault="00137AF9" w:rsidP="0043192E">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313BD3AE" w14:textId="77777777" w:rsidR="00137AF9" w:rsidRDefault="00137AF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462310293"/>
      <w:docPartObj>
        <w:docPartGallery w:val="Page Numbers (Bottom of Page)"/>
        <w:docPartUnique/>
      </w:docPartObj>
    </w:sdtPr>
    <w:sdtEndPr>
      <w:rPr>
        <w:rStyle w:val="Nmerodepgina"/>
      </w:rPr>
    </w:sdtEndPr>
    <w:sdtContent>
      <w:p w14:paraId="2C6B742F" w14:textId="18144D91" w:rsidR="00137AF9" w:rsidRDefault="00137AF9" w:rsidP="0043192E">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60D026C0" w14:textId="77777777" w:rsidR="00137AF9" w:rsidRDefault="00137A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E2EF" w14:textId="77777777" w:rsidR="00ED00AE" w:rsidRDefault="00ED00AE" w:rsidP="002929A8">
      <w:r>
        <w:separator/>
      </w:r>
    </w:p>
  </w:footnote>
  <w:footnote w:type="continuationSeparator" w:id="0">
    <w:p w14:paraId="6C7E85A9" w14:textId="77777777" w:rsidR="00ED00AE" w:rsidRDefault="00ED00AE" w:rsidP="002929A8">
      <w:r>
        <w:continuationSeparator/>
      </w:r>
    </w:p>
  </w:footnote>
  <w:footnote w:id="1">
    <w:p w14:paraId="7253628F" w14:textId="77777777" w:rsidR="002929A8" w:rsidRPr="00632BE7" w:rsidRDefault="002929A8" w:rsidP="002929A8">
      <w:pPr>
        <w:pStyle w:val="Sinespaciado"/>
        <w:jc w:val="both"/>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The Special Rapporteur’s participation in the present statement is voluntary and should not be understood to be a waiver, express or implied, of the privileges and immunities of the United Nations and its officials under the 1946 Convention on the Privileges and Immunities of the United Nations. For more information on the Special Rapporteur and her mandate, please see: </w:t>
      </w:r>
      <w:hyperlink r:id="rId1">
        <w:r w:rsidRPr="00632BE7">
          <w:rPr>
            <w:rFonts w:ascii="Palatino Linotype" w:hAnsi="Palatino Linotype"/>
            <w:color w:val="467886"/>
            <w:sz w:val="16"/>
            <w:szCs w:val="16"/>
            <w:u w:val="single"/>
          </w:rPr>
          <w:t>https://www.ohchr.org/en/special-procedures/sr-freedom-of-assembly-and-association</w:t>
        </w:r>
      </w:hyperlink>
      <w:r w:rsidRPr="00632BE7">
        <w:rPr>
          <w:rFonts w:ascii="Palatino Linotype" w:hAnsi="Palatino Linotype"/>
          <w:sz w:val="16"/>
          <w:szCs w:val="16"/>
        </w:rPr>
        <w:t xml:space="preserve">. </w:t>
      </w:r>
    </w:p>
  </w:footnote>
  <w:footnote w:id="2">
    <w:p w14:paraId="03F90B74" w14:textId="77777777" w:rsidR="002929A8" w:rsidRPr="00632BE7" w:rsidRDefault="002929A8" w:rsidP="002929A8">
      <w:pPr>
        <w:pStyle w:val="Sinespaciado"/>
        <w:jc w:val="both"/>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Head of Department, Department of Sociology, Social Policy and Criminology.</w:t>
      </w:r>
    </w:p>
  </w:footnote>
  <w:footnote w:id="3">
    <w:p w14:paraId="04390C3A" w14:textId="77777777" w:rsidR="002929A8" w:rsidRPr="00632BE7" w:rsidRDefault="002929A8" w:rsidP="002929A8">
      <w:pPr>
        <w:pStyle w:val="Sinespaciado"/>
        <w:jc w:val="both"/>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Reader in International Law &amp; Human Rights. The work underpinning this submission is supported by a UKRI Future Leaders Fellowship Grant M/T402133/3. </w:t>
      </w:r>
    </w:p>
  </w:footnote>
  <w:footnote w:id="4">
    <w:p w14:paraId="5669476B" w14:textId="4865BC99" w:rsidR="004C38B8" w:rsidRPr="00632BE7" w:rsidRDefault="004C38B8">
      <w:pPr>
        <w:pStyle w:val="Textonotapie"/>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2" w:history="1">
        <w:r w:rsidRPr="006E163A">
          <w:rPr>
            <w:rStyle w:val="Hipervnculo"/>
            <w:rFonts w:ascii="Palatino Linotype" w:hAnsi="Palatino Linotype"/>
            <w:sz w:val="16"/>
            <w:szCs w:val="16"/>
          </w:rPr>
          <w:t>A/HRC/62/45</w:t>
        </w:r>
      </w:hyperlink>
      <w:r w:rsidRPr="00632BE7">
        <w:rPr>
          <w:rFonts w:ascii="Palatino Linotype" w:hAnsi="Palatino Linotype"/>
          <w:sz w:val="16"/>
          <w:szCs w:val="16"/>
        </w:rPr>
        <w:t xml:space="preserve">. </w:t>
      </w:r>
    </w:p>
  </w:footnote>
  <w:footnote w:id="5">
    <w:p w14:paraId="5E62B407" w14:textId="5ADD00D2" w:rsidR="004C38B8" w:rsidRPr="00632BE7" w:rsidRDefault="004C38B8">
      <w:pPr>
        <w:pStyle w:val="Textonotapie"/>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3" w:history="1">
        <w:r w:rsidRPr="006E163A">
          <w:rPr>
            <w:rStyle w:val="Hipervnculo"/>
            <w:rFonts w:ascii="Palatino Linotype" w:hAnsi="Palatino Linotype"/>
            <w:sz w:val="16"/>
            <w:szCs w:val="16"/>
          </w:rPr>
          <w:t>STD/SR/Assembly/Digital</w:t>
        </w:r>
      </w:hyperlink>
      <w:r w:rsidRPr="00632BE7">
        <w:rPr>
          <w:rFonts w:ascii="Palatino Linotype" w:hAnsi="Palatino Linotype"/>
          <w:sz w:val="16"/>
          <w:szCs w:val="16"/>
        </w:rPr>
        <w:t>.</w:t>
      </w:r>
    </w:p>
  </w:footnote>
  <w:footnote w:id="6">
    <w:p w14:paraId="6AAB1791" w14:textId="6DCCC5E0" w:rsidR="00137AF9" w:rsidRPr="00632BE7" w:rsidRDefault="00137AF9">
      <w:pPr>
        <w:pStyle w:val="Textonotapie"/>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4" w:history="1">
        <w:r w:rsidRPr="006E163A">
          <w:rPr>
            <w:rStyle w:val="Hipervnculo"/>
            <w:rFonts w:ascii="Palatino Linotype" w:hAnsi="Palatino Linotype"/>
            <w:sz w:val="16"/>
            <w:szCs w:val="16"/>
          </w:rPr>
          <w:t>STD/SR/Assembly/Digital</w:t>
        </w:r>
      </w:hyperlink>
      <w:r w:rsidRPr="00632BE7">
        <w:rPr>
          <w:rFonts w:ascii="Palatino Linotype" w:hAnsi="Palatino Linotype"/>
          <w:sz w:val="16"/>
          <w:szCs w:val="16"/>
        </w:rPr>
        <w:t>, p. 12.</w:t>
      </w:r>
    </w:p>
  </w:footnote>
  <w:footnote w:id="7">
    <w:p w14:paraId="0E365E26" w14:textId="4947B71C" w:rsidR="00FD6C2A" w:rsidRPr="00632BE7" w:rsidRDefault="00FD6C2A">
      <w:pPr>
        <w:pStyle w:val="Textonotapie"/>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5" w:history="1">
        <w:r w:rsidRPr="006E163A">
          <w:rPr>
            <w:rStyle w:val="Hipervnculo"/>
            <w:rFonts w:ascii="Palatino Linotype" w:hAnsi="Palatino Linotype"/>
            <w:sz w:val="16"/>
            <w:szCs w:val="16"/>
          </w:rPr>
          <w:t>STD/SR/Assembly/Digital</w:t>
        </w:r>
      </w:hyperlink>
      <w:r w:rsidRPr="00632BE7">
        <w:rPr>
          <w:rFonts w:ascii="Palatino Linotype" w:hAnsi="Palatino Linotype"/>
          <w:sz w:val="16"/>
          <w:szCs w:val="16"/>
        </w:rPr>
        <w:t>, pp. 75-6.</w:t>
      </w:r>
    </w:p>
  </w:footnote>
  <w:footnote w:id="8">
    <w:p w14:paraId="1CE87CCF" w14:textId="4600540B" w:rsidR="00FD6C2A" w:rsidRPr="00632BE7" w:rsidRDefault="00FD6C2A" w:rsidP="00632BE7">
      <w:pPr>
        <w:pStyle w:val="Textonotapie"/>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6" w:history="1">
        <w:r w:rsidRPr="006E163A">
          <w:rPr>
            <w:rStyle w:val="Hipervnculo"/>
            <w:rFonts w:ascii="Palatino Linotype" w:hAnsi="Palatino Linotype"/>
            <w:sz w:val="16"/>
            <w:szCs w:val="16"/>
          </w:rPr>
          <w:t>A/HRC/62/45</w:t>
        </w:r>
      </w:hyperlink>
      <w:r w:rsidRPr="00632BE7">
        <w:rPr>
          <w:rFonts w:ascii="Palatino Linotype" w:hAnsi="Palatino Linotype"/>
          <w:sz w:val="16"/>
          <w:szCs w:val="16"/>
        </w:rPr>
        <w:t>, III, VIII.</w:t>
      </w:r>
    </w:p>
  </w:footnote>
  <w:footnote w:id="9">
    <w:p w14:paraId="1E08E2CC" w14:textId="08BF3758" w:rsidR="00FD6C2A" w:rsidRPr="00632BE7" w:rsidRDefault="00FD6C2A" w:rsidP="00FD6C2A">
      <w:pPr>
        <w:pStyle w:val="Textonotapie"/>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7" w:history="1">
        <w:r w:rsidRPr="006E163A">
          <w:rPr>
            <w:rStyle w:val="Hipervnculo"/>
            <w:rFonts w:ascii="Palatino Linotype" w:hAnsi="Palatino Linotype"/>
            <w:sz w:val="16"/>
            <w:szCs w:val="16"/>
          </w:rPr>
          <w:t>STD/SR/Assembly/Digital</w:t>
        </w:r>
      </w:hyperlink>
      <w:r w:rsidRPr="00632BE7">
        <w:rPr>
          <w:rFonts w:ascii="Palatino Linotype" w:hAnsi="Palatino Linotype"/>
          <w:sz w:val="16"/>
          <w:szCs w:val="16"/>
        </w:rPr>
        <w:t xml:space="preserve">, X. </w:t>
      </w:r>
    </w:p>
  </w:footnote>
  <w:footnote w:id="10">
    <w:p w14:paraId="55F17E88" w14:textId="3BFA2A8D" w:rsidR="00FD6C2A" w:rsidRPr="00632BE7" w:rsidRDefault="00FD6C2A" w:rsidP="00632BE7">
      <w:pPr>
        <w:pStyle w:val="Textonotapie"/>
        <w:tabs>
          <w:tab w:val="right" w:pos="851"/>
        </w:tabs>
        <w:rPr>
          <w:rFonts w:ascii="Palatino Linotype" w:hAnsi="Palatino Linotype"/>
          <w:sz w:val="16"/>
          <w:szCs w:val="16"/>
        </w:rPr>
      </w:pPr>
      <w:r w:rsidRPr="00632BE7">
        <w:rPr>
          <w:rStyle w:val="Refdenotaalpie"/>
          <w:rFonts w:ascii="Palatino Linotype" w:hAnsi="Palatino Linotype"/>
          <w:sz w:val="16"/>
          <w:szCs w:val="16"/>
        </w:rPr>
        <w:footnoteRef/>
      </w:r>
      <w:r w:rsidRPr="00632BE7">
        <w:rPr>
          <w:rFonts w:ascii="Palatino Linotype" w:hAnsi="Palatino Linotype"/>
          <w:sz w:val="16"/>
          <w:szCs w:val="16"/>
        </w:rPr>
        <w:t xml:space="preserve"> </w:t>
      </w:r>
      <w:hyperlink r:id="rId8" w:history="1">
        <w:r w:rsidRPr="006E163A">
          <w:rPr>
            <w:rStyle w:val="Hipervnculo"/>
            <w:rFonts w:ascii="Palatino Linotype" w:hAnsi="Palatino Linotype"/>
            <w:sz w:val="16"/>
            <w:szCs w:val="16"/>
          </w:rPr>
          <w:t>A/HRC/62/45</w:t>
        </w:r>
      </w:hyperlink>
      <w:r w:rsidRPr="00632BE7">
        <w:rPr>
          <w:rFonts w:ascii="Palatino Linotype" w:hAnsi="Palatino Linotype"/>
          <w:sz w:val="16"/>
          <w:szCs w:val="16"/>
        </w:rPr>
        <w:t>, IX.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27A79"/>
    <w:multiLevelType w:val="multilevel"/>
    <w:tmpl w:val="F1CE2924"/>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00171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B2"/>
    <w:rsid w:val="00064B7D"/>
    <w:rsid w:val="00077E9D"/>
    <w:rsid w:val="00094DCE"/>
    <w:rsid w:val="000B5AE2"/>
    <w:rsid w:val="00105009"/>
    <w:rsid w:val="001227E3"/>
    <w:rsid w:val="00137AF9"/>
    <w:rsid w:val="001E0060"/>
    <w:rsid w:val="00213F72"/>
    <w:rsid w:val="00252C97"/>
    <w:rsid w:val="002929A8"/>
    <w:rsid w:val="003665D2"/>
    <w:rsid w:val="003E4724"/>
    <w:rsid w:val="00443D25"/>
    <w:rsid w:val="004C38B8"/>
    <w:rsid w:val="004C40B2"/>
    <w:rsid w:val="005868FB"/>
    <w:rsid w:val="005E67C1"/>
    <w:rsid w:val="00632BE7"/>
    <w:rsid w:val="006E163A"/>
    <w:rsid w:val="00752862"/>
    <w:rsid w:val="008D197C"/>
    <w:rsid w:val="008D2DAB"/>
    <w:rsid w:val="008D4F6B"/>
    <w:rsid w:val="009053E9"/>
    <w:rsid w:val="00924122"/>
    <w:rsid w:val="009308B1"/>
    <w:rsid w:val="0094646B"/>
    <w:rsid w:val="00B2361E"/>
    <w:rsid w:val="00BA10CA"/>
    <w:rsid w:val="00C116AF"/>
    <w:rsid w:val="00C4328D"/>
    <w:rsid w:val="00E31DC1"/>
    <w:rsid w:val="00E64676"/>
    <w:rsid w:val="00ED00AE"/>
    <w:rsid w:val="00ED16FE"/>
    <w:rsid w:val="00EF3EA9"/>
    <w:rsid w:val="00F246AA"/>
    <w:rsid w:val="00FD6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4D93"/>
  <w15:chartTrackingRefBased/>
  <w15:docId w15:val="{017B897F-B5CE-C044-A3C9-E1ECB852B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9A8"/>
    <w:rPr>
      <w:rFonts w:ascii="Aptos" w:eastAsia="Aptos" w:hAnsi="Aptos" w:cs="Aptos"/>
      <w:kern w:val="0"/>
      <w:lang w:eastAsia="en-GB"/>
      <w14:ligatures w14:val="none"/>
    </w:rPr>
  </w:style>
  <w:style w:type="paragraph" w:styleId="Ttulo1">
    <w:name w:val="heading 1"/>
    <w:basedOn w:val="Normal"/>
    <w:next w:val="Normal"/>
    <w:link w:val="Ttulo1Car"/>
    <w:uiPriority w:val="9"/>
    <w:qFormat/>
    <w:rsid w:val="004C4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0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0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0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0B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0B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0B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0B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0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0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0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0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0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0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0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0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0B2"/>
    <w:rPr>
      <w:rFonts w:eastAsiaTheme="majorEastAsia" w:cstheme="majorBidi"/>
      <w:color w:val="272727" w:themeColor="text1" w:themeTint="D8"/>
    </w:rPr>
  </w:style>
  <w:style w:type="paragraph" w:styleId="Ttulo">
    <w:name w:val="Title"/>
    <w:basedOn w:val="Normal"/>
    <w:next w:val="Normal"/>
    <w:link w:val="TtuloCar"/>
    <w:uiPriority w:val="10"/>
    <w:qFormat/>
    <w:rsid w:val="004C40B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0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0B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0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0B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C40B2"/>
    <w:rPr>
      <w:i/>
      <w:iCs/>
      <w:color w:val="404040" w:themeColor="text1" w:themeTint="BF"/>
    </w:rPr>
  </w:style>
  <w:style w:type="paragraph" w:styleId="Prrafodelista">
    <w:name w:val="List Paragraph"/>
    <w:basedOn w:val="Normal"/>
    <w:uiPriority w:val="34"/>
    <w:qFormat/>
    <w:rsid w:val="004C40B2"/>
    <w:pPr>
      <w:ind w:left="720"/>
      <w:contextualSpacing/>
    </w:pPr>
  </w:style>
  <w:style w:type="character" w:styleId="nfasisintenso">
    <w:name w:val="Intense Emphasis"/>
    <w:basedOn w:val="Fuentedeprrafopredeter"/>
    <w:uiPriority w:val="21"/>
    <w:qFormat/>
    <w:rsid w:val="004C40B2"/>
    <w:rPr>
      <w:i/>
      <w:iCs/>
      <w:color w:val="0F4761" w:themeColor="accent1" w:themeShade="BF"/>
    </w:rPr>
  </w:style>
  <w:style w:type="paragraph" w:styleId="Citadestacada">
    <w:name w:val="Intense Quote"/>
    <w:basedOn w:val="Normal"/>
    <w:next w:val="Normal"/>
    <w:link w:val="CitadestacadaCar"/>
    <w:uiPriority w:val="30"/>
    <w:qFormat/>
    <w:rsid w:val="004C4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0B2"/>
    <w:rPr>
      <w:i/>
      <w:iCs/>
      <w:color w:val="0F4761" w:themeColor="accent1" w:themeShade="BF"/>
    </w:rPr>
  </w:style>
  <w:style w:type="character" w:styleId="Referenciaintensa">
    <w:name w:val="Intense Reference"/>
    <w:basedOn w:val="Fuentedeprrafopredeter"/>
    <w:uiPriority w:val="32"/>
    <w:qFormat/>
    <w:rsid w:val="004C40B2"/>
    <w:rPr>
      <w:b/>
      <w:bCs/>
      <w:smallCaps/>
      <w:color w:val="0F4761" w:themeColor="accent1" w:themeShade="BF"/>
      <w:spacing w:val="5"/>
    </w:rPr>
  </w:style>
  <w:style w:type="character" w:styleId="Refdenotaalpie">
    <w:name w:val="footnote reference"/>
    <w:aliases w:val="4_G,Footnote number,ftref,Footnotes refss,Style 10,referencia nota al pie,BVI fnr,Footnote text,4_Footnote text,callout,Fago Fußnotenzeichen,16 Point,Superscript 6 Point,Footnote,Footnote symbol,f,Footnote Refernece,Ref,callou"/>
    <w:basedOn w:val="Fuentedeprrafopredeter"/>
    <w:link w:val="Appelnotedebasde"/>
    <w:unhideWhenUsed/>
    <w:qFormat/>
    <w:rsid w:val="002929A8"/>
    <w:rPr>
      <w:vertAlign w:val="superscript"/>
    </w:rPr>
  </w:style>
  <w:style w:type="paragraph" w:styleId="Sinespaciado">
    <w:name w:val="No Spacing"/>
    <w:uiPriority w:val="1"/>
    <w:qFormat/>
    <w:rsid w:val="002929A8"/>
    <w:rPr>
      <w:rFonts w:ascii="Aptos" w:eastAsia="Aptos" w:hAnsi="Aptos" w:cs="Aptos"/>
      <w:kern w:val="0"/>
      <w:lang w:eastAsia="en-GB"/>
      <w14:ligatures w14:val="none"/>
    </w:rPr>
  </w:style>
  <w:style w:type="paragraph" w:styleId="Textonotapie">
    <w:name w:val="footnote text"/>
    <w:aliases w:val="5_G,Footnote Text Char Char Char Char Char,Footnote Text Char Char Char Char,Footnote reference,FA Fu,Footnote Text Char Char Char,Footnote Reference1, Char,Char,ft,Style 27,Char Char Char Char Char,Style 11, Char Char Char,Voetnoottekst1"/>
    <w:basedOn w:val="Normal"/>
    <w:link w:val="TextonotapieCar"/>
    <w:uiPriority w:val="99"/>
    <w:unhideWhenUsed/>
    <w:qFormat/>
    <w:rsid w:val="004C38B8"/>
    <w:rPr>
      <w:sz w:val="20"/>
      <w:szCs w:val="20"/>
    </w:rPr>
  </w:style>
  <w:style w:type="character" w:customStyle="1" w:styleId="TextonotapieCar">
    <w:name w:val="Texto nota pie Car"/>
    <w:aliases w:val="5_G Car,Footnote Text Char Char Char Char Char Car,Footnote Text Char Char Char Char Car,Footnote reference Car,FA Fu Car,Footnote Text Char Char Char Car,Footnote Reference1 Car, Char Car,Char Car,ft Car,Style 27 Car,Style 11 Car"/>
    <w:basedOn w:val="Fuentedeprrafopredeter"/>
    <w:link w:val="Textonotapie"/>
    <w:uiPriority w:val="99"/>
    <w:qFormat/>
    <w:rsid w:val="004C38B8"/>
    <w:rPr>
      <w:rFonts w:ascii="Aptos" w:eastAsia="Aptos" w:hAnsi="Aptos" w:cs="Aptos"/>
      <w:kern w:val="0"/>
      <w:sz w:val="20"/>
      <w:szCs w:val="20"/>
      <w:lang w:eastAsia="en-GB"/>
      <w14:ligatures w14:val="none"/>
    </w:rPr>
  </w:style>
  <w:style w:type="paragraph" w:styleId="Piedepgina">
    <w:name w:val="footer"/>
    <w:basedOn w:val="Normal"/>
    <w:link w:val="PiedepginaCar"/>
    <w:uiPriority w:val="99"/>
    <w:unhideWhenUsed/>
    <w:rsid w:val="00137AF9"/>
    <w:pPr>
      <w:tabs>
        <w:tab w:val="center" w:pos="4513"/>
        <w:tab w:val="right" w:pos="9026"/>
      </w:tabs>
    </w:pPr>
  </w:style>
  <w:style w:type="character" w:customStyle="1" w:styleId="PiedepginaCar">
    <w:name w:val="Pie de página Car"/>
    <w:basedOn w:val="Fuentedeprrafopredeter"/>
    <w:link w:val="Piedepgina"/>
    <w:uiPriority w:val="99"/>
    <w:rsid w:val="00137AF9"/>
    <w:rPr>
      <w:rFonts w:ascii="Aptos" w:eastAsia="Aptos" w:hAnsi="Aptos" w:cs="Aptos"/>
      <w:kern w:val="0"/>
      <w:lang w:eastAsia="en-GB"/>
      <w14:ligatures w14:val="none"/>
    </w:rPr>
  </w:style>
  <w:style w:type="character" w:styleId="Nmerodepgina">
    <w:name w:val="page number"/>
    <w:basedOn w:val="Fuentedeprrafopredeter"/>
    <w:uiPriority w:val="99"/>
    <w:semiHidden/>
    <w:unhideWhenUsed/>
    <w:rsid w:val="00137AF9"/>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Refdenotaalpie"/>
    <w:rsid w:val="00FD6C2A"/>
    <w:pPr>
      <w:spacing w:before="120" w:after="120"/>
    </w:pPr>
    <w:rPr>
      <w:rFonts w:asciiTheme="minorHAnsi" w:eastAsiaTheme="minorHAnsi" w:hAnsiTheme="minorHAnsi" w:cstheme="minorBidi"/>
      <w:kern w:val="2"/>
      <w:vertAlign w:val="superscript"/>
      <w:lang w:eastAsia="en-US"/>
      <w14:ligatures w14:val="standardContextual"/>
    </w:rPr>
  </w:style>
  <w:style w:type="character" w:styleId="Hipervnculo">
    <w:name w:val="Hyperlink"/>
    <w:basedOn w:val="Fuentedeprrafopredeter"/>
    <w:uiPriority w:val="99"/>
    <w:unhideWhenUsed/>
    <w:rsid w:val="006E163A"/>
    <w:rPr>
      <w:color w:val="467886" w:themeColor="hyperlink"/>
      <w:u w:val="single"/>
    </w:rPr>
  </w:style>
  <w:style w:type="character" w:styleId="Mencinsinresolver">
    <w:name w:val="Unresolved Mention"/>
    <w:basedOn w:val="Fuentedeprrafopredeter"/>
    <w:uiPriority w:val="99"/>
    <w:semiHidden/>
    <w:unhideWhenUsed/>
    <w:rsid w:val="006E163A"/>
    <w:rPr>
      <w:color w:val="605E5C"/>
      <w:shd w:val="clear" w:color="auto" w:fill="E1DFDD"/>
    </w:rPr>
  </w:style>
  <w:style w:type="paragraph" w:styleId="Revisin">
    <w:name w:val="Revision"/>
    <w:hidden/>
    <w:uiPriority w:val="99"/>
    <w:semiHidden/>
    <w:rsid w:val="00F246AA"/>
    <w:rPr>
      <w:rFonts w:ascii="Aptos" w:eastAsia="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library.un.org/record/4113878?ln=en&amp;v=pdf" TargetMode="External"/><Relationship Id="rId3" Type="http://schemas.openxmlformats.org/officeDocument/2006/relationships/hyperlink" Target="https://www.ohchr.org/sites/default/files/documents/form/digital-surveillance-chilling-effects-shadows-erosion-freedom-1-en.pdf" TargetMode="External"/><Relationship Id="rId7" Type="http://schemas.openxmlformats.org/officeDocument/2006/relationships/hyperlink" Target="https://www.ohchr.org/sites/default/files/documents/form/digital-surveillance-chilling-effects-shadows-erosion-freedom-1-en.pdf" TargetMode="External"/><Relationship Id="rId2" Type="http://schemas.openxmlformats.org/officeDocument/2006/relationships/hyperlink" Target="https://digitallibrary.un.org/record/4113878?ln=en&amp;v=pdf" TargetMode="External"/><Relationship Id="rId1" Type="http://schemas.openxmlformats.org/officeDocument/2006/relationships/hyperlink" Target="https://www.ohchr.org/en/special-procedures/sr-freedom-of-assembly-and-association" TargetMode="External"/><Relationship Id="rId6" Type="http://schemas.openxmlformats.org/officeDocument/2006/relationships/hyperlink" Target="https://digitallibrary.un.org/record/4113878?ln=en&amp;v=pdf" TargetMode="External"/><Relationship Id="rId5" Type="http://schemas.openxmlformats.org/officeDocument/2006/relationships/hyperlink" Target="https://www.ohchr.org/sites/default/files/documents/form/digital-surveillance-chilling-effects-shadows-erosion-freedom-1-en.pdf" TargetMode="External"/><Relationship Id="rId4" Type="http://schemas.openxmlformats.org/officeDocument/2006/relationships/hyperlink" Target="https://www.ohchr.org/sites/default/files/documents/form/digital-surveillance-chilling-effects-shadows-erosion-freedom-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UN entities</Category>
    <Filename xmlns="d42e65b2-cf21-49c1-b27d-d23f90380c0e" xsi:nil="true"/>
    <Doctype xmlns="d42e65b2-cf21-49c1-b27d-d23f90380c0e">input</Doctype>
    <Contributor xmlns="d42e65b2-cf21-49c1-b27d-d23f90380c0e">United Nations Special Rapporteur on Freedom of Peaceful Assembly and of Association, Gina Romero, in collaboration with Professor Pete Fussey and Dr. Daragh Murray</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6C063C77-115E-46AA-825A-9D7A277AD762}"/>
</file>

<file path=customXml/itemProps2.xml><?xml version="1.0" encoding="utf-8"?>
<ds:datastoreItem xmlns:ds="http://schemas.openxmlformats.org/officeDocument/2006/customXml" ds:itemID="{F587C0B8-C357-4632-8C70-825BD584A9B0}"/>
</file>

<file path=customXml/itemProps3.xml><?xml version="1.0" encoding="utf-8"?>
<ds:datastoreItem xmlns:ds="http://schemas.openxmlformats.org/officeDocument/2006/customXml" ds:itemID="{F49E1D6D-0B7C-4E84-B49F-C9FEAD15C33B}"/>
</file>

<file path=docProps/app.xml><?xml version="1.0" encoding="utf-8"?>
<Properties xmlns="http://schemas.openxmlformats.org/officeDocument/2006/extended-properties" xmlns:vt="http://schemas.openxmlformats.org/officeDocument/2006/docPropsVTypes">
  <Template>Normal</Template>
  <TotalTime>3</TotalTime>
  <Pages>2</Pages>
  <Words>870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Daragh Murray</dc:creator>
  <cp:keywords/>
  <dc:description/>
  <cp:lastModifiedBy>Gina Romero</cp:lastModifiedBy>
  <cp:revision>2</cp:revision>
  <dcterms:created xsi:type="dcterms:W3CDTF">2026-07-14T17:12:00Z</dcterms:created>
  <dcterms:modified xsi:type="dcterms:W3CDTF">2026-07-14T17:12:00Z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