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F33F5" w14:textId="662C56B6" w:rsidR="007C1219" w:rsidRDefault="007C1219" w:rsidP="00A95954">
      <w:pPr>
        <w:jc w:val="center"/>
        <w:rPr>
          <w:b/>
        </w:rPr>
      </w:pPr>
      <w:r>
        <w:rPr>
          <w:b/>
          <w:noProof/>
        </w:rPr>
        <w:drawing>
          <wp:inline distT="0" distB="0" distL="0" distR="0" wp14:anchorId="4E077914" wp14:editId="1FC1B9A5">
            <wp:extent cx="2525917" cy="105327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mandato.png"/>
                    <pic:cNvPicPr/>
                  </pic:nvPicPr>
                  <pic:blipFill>
                    <a:blip r:embed="rId11">
                      <a:extLst>
                        <a:ext uri="{28A0092B-C50C-407E-A947-70E740481C1C}">
                          <a14:useLocalDpi xmlns:a14="http://schemas.microsoft.com/office/drawing/2010/main" val="0"/>
                        </a:ext>
                      </a:extLst>
                    </a:blip>
                    <a:stretch>
                      <a:fillRect/>
                    </a:stretch>
                  </pic:blipFill>
                  <pic:spPr>
                    <a:xfrm>
                      <a:off x="0" y="0"/>
                      <a:ext cx="2554985" cy="1065399"/>
                    </a:xfrm>
                    <a:prstGeom prst="rect">
                      <a:avLst/>
                    </a:prstGeom>
                  </pic:spPr>
                </pic:pic>
              </a:graphicData>
            </a:graphic>
          </wp:inline>
        </w:drawing>
      </w:r>
    </w:p>
    <w:p w14:paraId="69A65865" w14:textId="77777777" w:rsidR="007C1219" w:rsidRDefault="007C1219" w:rsidP="00A95954">
      <w:pPr>
        <w:jc w:val="center"/>
        <w:rPr>
          <w:b/>
        </w:rPr>
      </w:pPr>
    </w:p>
    <w:p w14:paraId="0741E311" w14:textId="1C79044A" w:rsidR="00A95954" w:rsidRPr="0036504B" w:rsidRDefault="00A95954" w:rsidP="00A95954">
      <w:pPr>
        <w:jc w:val="center"/>
        <w:rPr>
          <w:b/>
        </w:rPr>
      </w:pPr>
      <w:r w:rsidRPr="0036504B">
        <w:rPr>
          <w:b/>
        </w:rPr>
        <w:t xml:space="preserve">Proyecto de Observación general </w:t>
      </w:r>
      <w:proofErr w:type="gramStart"/>
      <w:r w:rsidRPr="0036504B">
        <w:rPr>
          <w:b/>
        </w:rPr>
        <w:t>n.º</w:t>
      </w:r>
      <w:proofErr w:type="gramEnd"/>
      <w:r w:rsidRPr="0036504B">
        <w:rPr>
          <w:b/>
        </w:rPr>
        <w:t xml:space="preserve"> 38 sobre el derecho a la libertad de asociación</w:t>
      </w:r>
    </w:p>
    <w:p w14:paraId="05B0B947" w14:textId="77777777" w:rsidR="00A95954" w:rsidRDefault="00A95954" w:rsidP="00A95954">
      <w:pPr>
        <w:jc w:val="center"/>
        <w:rPr>
          <w:sz w:val="22"/>
          <w:szCs w:val="22"/>
          <w:lang w:val="es-ES"/>
        </w:rPr>
      </w:pPr>
    </w:p>
    <w:p w14:paraId="67C091D0" w14:textId="0088C345" w:rsidR="00A95954" w:rsidRPr="0036504B" w:rsidRDefault="00A95954" w:rsidP="00A95954">
      <w:pPr>
        <w:jc w:val="center"/>
        <w:rPr>
          <w:sz w:val="22"/>
          <w:szCs w:val="22"/>
          <w:lang w:val="es-ES"/>
        </w:rPr>
      </w:pPr>
      <w:r>
        <w:rPr>
          <w:sz w:val="22"/>
          <w:szCs w:val="22"/>
          <w:lang w:val="es-ES"/>
        </w:rPr>
        <w:t xml:space="preserve">Comentarios </w:t>
      </w:r>
      <w:r w:rsidR="007C1219">
        <w:rPr>
          <w:sz w:val="22"/>
          <w:szCs w:val="22"/>
          <w:lang w:val="es-ES"/>
        </w:rPr>
        <w:t xml:space="preserve">de </w:t>
      </w:r>
      <w:r>
        <w:rPr>
          <w:sz w:val="22"/>
          <w:szCs w:val="22"/>
          <w:lang w:val="es-ES"/>
        </w:rPr>
        <w:t>Andrea Bolaños</w:t>
      </w:r>
      <w:r w:rsidR="0017483E">
        <w:rPr>
          <w:sz w:val="22"/>
          <w:szCs w:val="22"/>
          <w:lang w:val="es-ES"/>
        </w:rPr>
        <w:t xml:space="preserve"> Vargas</w:t>
      </w:r>
      <w:r>
        <w:rPr>
          <w:sz w:val="22"/>
          <w:szCs w:val="22"/>
          <w:lang w:val="es-ES"/>
        </w:rPr>
        <w:t>, Relatora Especial de Naciones Unidas sobre la situación de personas defensoras de derechos humanos</w:t>
      </w:r>
    </w:p>
    <w:p w14:paraId="35688EFA" w14:textId="77777777" w:rsidR="00A95954" w:rsidRPr="00A95954" w:rsidRDefault="00A95954">
      <w:pPr>
        <w:rPr>
          <w:lang w:val="es-ES"/>
        </w:rPr>
      </w:pPr>
    </w:p>
    <w:p w14:paraId="4DB1A600" w14:textId="678D0DDE" w:rsidR="00AF4641" w:rsidRPr="00AF4641" w:rsidRDefault="00AF4641" w:rsidP="00A23C3E">
      <w:pPr>
        <w:jc w:val="both"/>
        <w:rPr>
          <w:sz w:val="22"/>
          <w:szCs w:val="22"/>
          <w:lang w:val="es-ES_tradnl"/>
        </w:rPr>
      </w:pPr>
      <w:r w:rsidRPr="00AF4641">
        <w:rPr>
          <w:sz w:val="22"/>
          <w:szCs w:val="22"/>
          <w:lang w:val="es-ES_tradnl"/>
        </w:rPr>
        <w:t xml:space="preserve">A </w:t>
      </w:r>
      <w:r w:rsidR="0017483E" w:rsidRPr="00AF4641">
        <w:rPr>
          <w:sz w:val="22"/>
          <w:szCs w:val="22"/>
          <w:lang w:val="es-ES_tradnl"/>
        </w:rPr>
        <w:t>continuación,</w:t>
      </w:r>
      <w:r w:rsidRPr="00AF4641">
        <w:rPr>
          <w:sz w:val="22"/>
          <w:szCs w:val="22"/>
          <w:lang w:val="es-ES_tradnl"/>
        </w:rPr>
        <w:t xml:space="preserve"> </w:t>
      </w:r>
      <w:r w:rsidR="00A23C3E">
        <w:rPr>
          <w:sz w:val="22"/>
          <w:szCs w:val="22"/>
          <w:lang w:val="es-ES_tradnl"/>
        </w:rPr>
        <w:t>la Relatora Especial Andrea Bolaños</w:t>
      </w:r>
      <w:r w:rsidR="0017483E">
        <w:rPr>
          <w:sz w:val="22"/>
          <w:szCs w:val="22"/>
          <w:lang w:val="es-ES_tradnl"/>
        </w:rPr>
        <w:t xml:space="preserve"> Vargas se permite</w:t>
      </w:r>
      <w:r w:rsidR="00A23C3E">
        <w:rPr>
          <w:sz w:val="22"/>
          <w:szCs w:val="22"/>
          <w:lang w:val="es-ES_tradnl"/>
        </w:rPr>
        <w:t xml:space="preserve"> </w:t>
      </w:r>
      <w:r w:rsidR="0017483E">
        <w:rPr>
          <w:sz w:val="22"/>
          <w:szCs w:val="22"/>
          <w:lang w:val="es-ES_tradnl"/>
        </w:rPr>
        <w:t>presentar</w:t>
      </w:r>
      <w:r w:rsidR="0017483E" w:rsidRPr="00AF4641">
        <w:rPr>
          <w:sz w:val="22"/>
          <w:szCs w:val="22"/>
          <w:lang w:val="es-ES_tradnl"/>
        </w:rPr>
        <w:t xml:space="preserve"> </w:t>
      </w:r>
      <w:r w:rsidRPr="00AF4641">
        <w:rPr>
          <w:sz w:val="22"/>
          <w:szCs w:val="22"/>
          <w:lang w:val="es-ES_tradnl"/>
        </w:rPr>
        <w:t xml:space="preserve">diez </w:t>
      </w:r>
      <w:r w:rsidR="0017483E">
        <w:rPr>
          <w:sz w:val="22"/>
          <w:szCs w:val="22"/>
          <w:lang w:val="es-ES_tradnl"/>
        </w:rPr>
        <w:t>sugerencias</w:t>
      </w:r>
      <w:r w:rsidR="0017483E" w:rsidRPr="00AF4641">
        <w:rPr>
          <w:sz w:val="22"/>
          <w:szCs w:val="22"/>
          <w:lang w:val="es-ES_tradnl"/>
        </w:rPr>
        <w:t xml:space="preserve"> </w:t>
      </w:r>
      <w:r w:rsidR="0017483E">
        <w:rPr>
          <w:sz w:val="22"/>
          <w:szCs w:val="22"/>
          <w:lang w:val="es-ES_tradnl"/>
        </w:rPr>
        <w:t>para integrar y fortalecer e</w:t>
      </w:r>
      <w:r w:rsidRPr="00AF4641">
        <w:rPr>
          <w:sz w:val="22"/>
          <w:szCs w:val="22"/>
          <w:lang w:val="es-ES_tradnl"/>
        </w:rPr>
        <w:t>l proyecto de Observación General núm. 38 sobre el derecho a la libertad de asociación, junto con su correspondiente fundamentación jurídica, con el fin de reflejar la interrelación entre la libertad de asociación y el derecho a defender los derechos humanos.</w:t>
      </w:r>
    </w:p>
    <w:p w14:paraId="33935484" w14:textId="77777777" w:rsidR="00FC7463" w:rsidRPr="00AF4641" w:rsidRDefault="00FC7463" w:rsidP="00016D8A">
      <w:pPr>
        <w:jc w:val="both"/>
        <w:rPr>
          <w:sz w:val="22"/>
          <w:szCs w:val="22"/>
          <w:lang w:val="es-ES"/>
        </w:rPr>
      </w:pPr>
    </w:p>
    <w:p w14:paraId="232000D1" w14:textId="7A24BBED" w:rsidR="00B42BF1" w:rsidRPr="00016D8A" w:rsidRDefault="00FC7463" w:rsidP="00016D8A">
      <w:pPr>
        <w:jc w:val="both"/>
        <w:rPr>
          <w:sz w:val="22"/>
          <w:szCs w:val="22"/>
          <w:lang w:val="es-ES_tradnl"/>
        </w:rPr>
      </w:pPr>
      <w:r>
        <w:rPr>
          <w:sz w:val="22"/>
          <w:szCs w:val="22"/>
          <w:lang w:val="es-ES_tradnl"/>
        </w:rPr>
        <w:t>Como comentario general, p</w:t>
      </w:r>
      <w:r w:rsidR="00B42BF1" w:rsidRPr="00016D8A">
        <w:rPr>
          <w:sz w:val="22"/>
          <w:szCs w:val="22"/>
          <w:lang w:val="es-ES_tradnl"/>
        </w:rPr>
        <w:t>ara la versión en español, se recomienda el uso de lenguaje inclusivo, por ejemplo, al hacer referencia de las personas defensoras.</w:t>
      </w:r>
      <w:r w:rsidR="00A95954" w:rsidRPr="00016D8A">
        <w:rPr>
          <w:sz w:val="22"/>
          <w:szCs w:val="22"/>
          <w:lang w:val="es-ES_tradnl"/>
        </w:rPr>
        <w:t xml:space="preserve"> Ver párrafos 9, 32 y 44.</w:t>
      </w:r>
    </w:p>
    <w:p w14:paraId="1DCC20D4" w14:textId="77777777" w:rsidR="00B42BF1" w:rsidRPr="00016D8A" w:rsidRDefault="00B42BF1" w:rsidP="00016D8A">
      <w:pPr>
        <w:jc w:val="both"/>
        <w:rPr>
          <w:sz w:val="22"/>
          <w:szCs w:val="22"/>
          <w:lang w:val="es-ES_tradnl"/>
        </w:rPr>
      </w:pPr>
    </w:p>
    <w:p w14:paraId="3B1422C2" w14:textId="021DBA8D" w:rsidR="00B42BF1" w:rsidRDefault="00B42BF1" w:rsidP="00016D8A">
      <w:pPr>
        <w:jc w:val="both"/>
        <w:rPr>
          <w:b/>
          <w:bCs/>
          <w:sz w:val="22"/>
          <w:szCs w:val="22"/>
          <w:lang w:val="es-ES_tradnl"/>
        </w:rPr>
      </w:pPr>
      <w:r w:rsidRPr="00016D8A">
        <w:rPr>
          <w:b/>
          <w:bCs/>
          <w:sz w:val="22"/>
          <w:szCs w:val="22"/>
          <w:lang w:val="es-ES_tradnl"/>
        </w:rPr>
        <w:t>Apartado I Observaciones generales</w:t>
      </w:r>
    </w:p>
    <w:p w14:paraId="498A64C0" w14:textId="5D47F610" w:rsidR="00416E95" w:rsidRDefault="00416E95" w:rsidP="00016D8A">
      <w:pPr>
        <w:jc w:val="both"/>
        <w:rPr>
          <w:b/>
          <w:bCs/>
          <w:sz w:val="22"/>
          <w:szCs w:val="22"/>
          <w:lang w:val="es-ES_tradnl"/>
        </w:rPr>
      </w:pPr>
    </w:p>
    <w:p w14:paraId="06B80AA3" w14:textId="460CE184" w:rsidR="00177D27" w:rsidRDefault="00416E95" w:rsidP="00016D8A">
      <w:pPr>
        <w:jc w:val="both"/>
        <w:rPr>
          <w:sz w:val="22"/>
          <w:szCs w:val="22"/>
          <w:lang w:val="es-ES_tradnl"/>
        </w:rPr>
      </w:pPr>
      <w:r w:rsidRPr="00016D8A">
        <w:rPr>
          <w:b/>
          <w:sz w:val="22"/>
          <w:szCs w:val="22"/>
          <w:u w:val="single"/>
          <w:lang w:val="es-ES_tradnl"/>
        </w:rPr>
        <w:t>COMENTARIO 1</w:t>
      </w:r>
      <w:r>
        <w:rPr>
          <w:b/>
          <w:sz w:val="22"/>
          <w:szCs w:val="22"/>
          <w:u w:val="single"/>
          <w:lang w:val="es-ES_tradnl"/>
        </w:rPr>
        <w:t xml:space="preserve"> – EL DERECHO A DEFENDER DERECHOS COMO DERECHO AUTÓNOMO</w:t>
      </w:r>
      <w:r w:rsidRPr="00016D8A">
        <w:rPr>
          <w:b/>
          <w:sz w:val="22"/>
          <w:szCs w:val="22"/>
          <w:u w:val="single"/>
          <w:lang w:val="es-ES_tradnl"/>
        </w:rPr>
        <w:t>:</w:t>
      </w:r>
      <w:r w:rsidRPr="00016D8A">
        <w:rPr>
          <w:sz w:val="22"/>
          <w:szCs w:val="22"/>
          <w:lang w:val="es-ES_tradnl"/>
        </w:rPr>
        <w:t xml:space="preserve"> Con relación al derecho a defender derechos humanos</w:t>
      </w:r>
      <w:r>
        <w:rPr>
          <w:sz w:val="22"/>
          <w:szCs w:val="22"/>
          <w:lang w:val="es-ES_tradnl"/>
        </w:rPr>
        <w:t xml:space="preserve"> </w:t>
      </w:r>
      <w:r w:rsidRPr="00016D8A">
        <w:rPr>
          <w:sz w:val="22"/>
          <w:szCs w:val="22"/>
          <w:lang w:val="es-ES_tradnl"/>
        </w:rPr>
        <w:t xml:space="preserve">la </w:t>
      </w:r>
      <w:r>
        <w:rPr>
          <w:sz w:val="22"/>
          <w:szCs w:val="22"/>
          <w:lang w:val="es-ES_tradnl"/>
        </w:rPr>
        <w:t xml:space="preserve">Corte Interamericana de derechos humanos (en adelante </w:t>
      </w:r>
      <w:proofErr w:type="spellStart"/>
      <w:r w:rsidRPr="00016D8A">
        <w:rPr>
          <w:sz w:val="22"/>
          <w:szCs w:val="22"/>
          <w:lang w:val="es-ES_tradnl"/>
        </w:rPr>
        <w:t>CorteIDH</w:t>
      </w:r>
      <w:proofErr w:type="spellEnd"/>
      <w:r>
        <w:rPr>
          <w:sz w:val="22"/>
          <w:szCs w:val="22"/>
          <w:lang w:val="es-ES_tradnl"/>
        </w:rPr>
        <w:t xml:space="preserve">), aplicando el principio de interpretación evolutiva en coherencia con las reglas de interpretación de la Convención Americana (Articulo 29) </w:t>
      </w:r>
      <w:r w:rsidRPr="00016D8A">
        <w:rPr>
          <w:sz w:val="22"/>
          <w:szCs w:val="22"/>
          <w:lang w:val="es-ES_tradnl"/>
        </w:rPr>
        <w:t>y</w:t>
      </w:r>
      <w:r>
        <w:rPr>
          <w:sz w:val="22"/>
          <w:szCs w:val="22"/>
          <w:lang w:val="es-ES_tradnl"/>
        </w:rPr>
        <w:t xml:space="preserve"> la Convención de Viena, lo ha </w:t>
      </w:r>
      <w:r w:rsidRPr="00016D8A">
        <w:rPr>
          <w:sz w:val="22"/>
          <w:szCs w:val="22"/>
          <w:lang w:val="es-ES_tradnl"/>
        </w:rPr>
        <w:t xml:space="preserve">reconocido </w:t>
      </w:r>
      <w:r>
        <w:rPr>
          <w:sz w:val="22"/>
          <w:szCs w:val="22"/>
          <w:lang w:val="es-ES_tradnl"/>
        </w:rPr>
        <w:t xml:space="preserve">desde 2023 </w:t>
      </w:r>
      <w:r w:rsidRPr="00016D8A">
        <w:rPr>
          <w:sz w:val="22"/>
          <w:szCs w:val="22"/>
          <w:lang w:val="es-ES_tradnl"/>
        </w:rPr>
        <w:t>como un derecho autónomo</w:t>
      </w:r>
      <w:r>
        <w:rPr>
          <w:sz w:val="22"/>
          <w:szCs w:val="22"/>
          <w:lang w:val="es-ES_tradnl"/>
        </w:rPr>
        <w:t>.</w:t>
      </w:r>
      <w:r w:rsidRPr="00016D8A">
        <w:rPr>
          <w:sz w:val="22"/>
          <w:szCs w:val="22"/>
          <w:lang w:val="es-ES_tradnl"/>
        </w:rPr>
        <w:t xml:space="preserve"> </w:t>
      </w:r>
      <w:r>
        <w:rPr>
          <w:sz w:val="22"/>
          <w:szCs w:val="22"/>
          <w:lang w:val="es-ES_tradnl"/>
        </w:rPr>
        <w:t xml:space="preserve">Esto es porque la </w:t>
      </w:r>
      <w:proofErr w:type="spellStart"/>
      <w:r>
        <w:rPr>
          <w:sz w:val="22"/>
          <w:szCs w:val="22"/>
          <w:lang w:val="es-ES_tradnl"/>
        </w:rPr>
        <w:t>CorteIDH</w:t>
      </w:r>
      <w:proofErr w:type="spellEnd"/>
      <w:r>
        <w:rPr>
          <w:sz w:val="22"/>
          <w:szCs w:val="22"/>
          <w:lang w:val="es-ES_tradnl"/>
        </w:rPr>
        <w:t xml:space="preserve"> considera que el derecho a defender derechos puede ser vulnerado </w:t>
      </w:r>
      <w:r w:rsidRPr="009D0FBE">
        <w:rPr>
          <w:b/>
          <w:sz w:val="22"/>
          <w:szCs w:val="22"/>
          <w:lang w:val="es-ES_tradnl"/>
        </w:rPr>
        <w:t>“más allá de la conculcación de determinados derechos”</w:t>
      </w:r>
      <w:r>
        <w:rPr>
          <w:sz w:val="22"/>
          <w:szCs w:val="22"/>
          <w:lang w:val="es-ES_tradnl"/>
        </w:rPr>
        <w:t xml:space="preserve"> refiriéndose a el derecho a la vida, la libertad de asociación, la libertad de reunión, a las garantías judiciales entre otros y “</w:t>
      </w:r>
      <w:r w:rsidRPr="009D0FBE">
        <w:rPr>
          <w:b/>
          <w:sz w:val="22"/>
          <w:szCs w:val="22"/>
          <w:lang w:val="es-ES_tradnl"/>
        </w:rPr>
        <w:t>s</w:t>
      </w:r>
      <w:r>
        <w:rPr>
          <w:b/>
          <w:sz w:val="22"/>
          <w:szCs w:val="22"/>
          <w:lang w:val="es-ES_tradnl"/>
        </w:rPr>
        <w:t>i</w:t>
      </w:r>
      <w:r w:rsidRPr="009D0FBE">
        <w:rPr>
          <w:b/>
          <w:sz w:val="22"/>
          <w:szCs w:val="22"/>
          <w:lang w:val="es-ES_tradnl"/>
        </w:rPr>
        <w:t>n que necesariamente todos estos se declaren violados en un asunto concreto”</w:t>
      </w:r>
      <w:r>
        <w:rPr>
          <w:sz w:val="22"/>
          <w:szCs w:val="22"/>
          <w:lang w:val="es-ES_tradnl"/>
        </w:rPr>
        <w:t xml:space="preserve"> (</w:t>
      </w:r>
      <w:r w:rsidRPr="009D0FBE">
        <w:rPr>
          <w:sz w:val="22"/>
          <w:szCs w:val="22"/>
          <w:lang w:val="es-ES_tradnl"/>
        </w:rPr>
        <w:t xml:space="preserve">Corte IDH, </w:t>
      </w:r>
      <w:proofErr w:type="gramStart"/>
      <w:r w:rsidRPr="009D0FBE">
        <w:rPr>
          <w:sz w:val="22"/>
          <w:szCs w:val="22"/>
          <w:lang w:val="es-ES_tradnl"/>
        </w:rPr>
        <w:t>Caso  José</w:t>
      </w:r>
      <w:proofErr w:type="gramEnd"/>
      <w:r w:rsidRPr="009D0FBE">
        <w:rPr>
          <w:sz w:val="22"/>
          <w:szCs w:val="22"/>
          <w:lang w:val="es-ES_tradnl"/>
        </w:rPr>
        <w:t xml:space="preserve"> Alvear Restrepo vs. Colombia, párr. 977</w:t>
      </w:r>
      <w:r>
        <w:rPr>
          <w:sz w:val="22"/>
          <w:szCs w:val="22"/>
          <w:lang w:val="es-ES_tradnl"/>
        </w:rPr>
        <w:t>). Teniendo esto presente me permito hacer los siguientes aportes:</w:t>
      </w:r>
    </w:p>
    <w:p w14:paraId="09956A9D" w14:textId="77777777" w:rsidR="00416E95" w:rsidRPr="00016D8A" w:rsidRDefault="00416E95" w:rsidP="00016D8A">
      <w:pPr>
        <w:jc w:val="both"/>
        <w:rPr>
          <w:sz w:val="22"/>
          <w:szCs w:val="22"/>
          <w:lang w:val="es-ES_tradnl"/>
        </w:rPr>
      </w:pPr>
    </w:p>
    <w:p w14:paraId="14EFC15E" w14:textId="2959FF0D" w:rsidR="00177D27" w:rsidRPr="00016D8A" w:rsidRDefault="0005698B" w:rsidP="00016D8A">
      <w:pPr>
        <w:jc w:val="both"/>
        <w:rPr>
          <w:sz w:val="22"/>
          <w:szCs w:val="22"/>
          <w:lang w:val="es-ES"/>
        </w:rPr>
      </w:pPr>
      <w:r>
        <w:rPr>
          <w:b/>
          <w:sz w:val="22"/>
          <w:szCs w:val="22"/>
          <w:u w:val="single"/>
          <w:lang w:val="es-ES"/>
        </w:rPr>
        <w:t>Aclaración</w:t>
      </w:r>
      <w:r w:rsidR="00177D27" w:rsidRPr="00016D8A">
        <w:rPr>
          <w:b/>
          <w:sz w:val="22"/>
          <w:szCs w:val="22"/>
          <w:u w:val="single"/>
          <w:lang w:val="es-ES"/>
        </w:rPr>
        <w:t xml:space="preserve"> acciones propuestas 1, 2 y 3:</w:t>
      </w:r>
      <w:r w:rsidR="00177D27" w:rsidRPr="00016D8A">
        <w:rPr>
          <w:sz w:val="22"/>
          <w:szCs w:val="22"/>
          <w:lang w:val="es-ES"/>
        </w:rPr>
        <w:t xml:space="preserve"> Esta interrelación es precisamente lo que fundamenta la </w:t>
      </w:r>
      <w:r w:rsidR="00177D27" w:rsidRPr="00016D8A">
        <w:rPr>
          <w:b/>
          <w:sz w:val="22"/>
          <w:szCs w:val="22"/>
          <w:lang w:val="es-ES"/>
        </w:rPr>
        <w:t>autonomía del derecho a defender los derechos humanos</w:t>
      </w:r>
      <w:r w:rsidR="00177D27" w:rsidRPr="00016D8A">
        <w:rPr>
          <w:sz w:val="22"/>
          <w:szCs w:val="22"/>
          <w:lang w:val="es-ES"/>
        </w:rPr>
        <w:t xml:space="preserve">. Como ha señalado la jurisprudencia, la protección de las </w:t>
      </w:r>
      <w:r w:rsidR="0017483E">
        <w:rPr>
          <w:sz w:val="22"/>
          <w:szCs w:val="22"/>
          <w:lang w:val="es-ES"/>
        </w:rPr>
        <w:t xml:space="preserve">Personas Defensoras de derechos humanos (en adelante </w:t>
      </w:r>
      <w:r w:rsidR="00177D27" w:rsidRPr="00016D8A">
        <w:rPr>
          <w:sz w:val="22"/>
          <w:szCs w:val="22"/>
          <w:lang w:val="es-ES"/>
        </w:rPr>
        <w:t>PDDH</w:t>
      </w:r>
      <w:r w:rsidR="0017483E">
        <w:rPr>
          <w:sz w:val="22"/>
          <w:szCs w:val="22"/>
          <w:lang w:val="es-ES"/>
        </w:rPr>
        <w:t>)</w:t>
      </w:r>
      <w:r w:rsidR="00177D27" w:rsidRPr="00016D8A">
        <w:rPr>
          <w:sz w:val="22"/>
          <w:szCs w:val="22"/>
          <w:lang w:val="es-ES"/>
        </w:rPr>
        <w:t xml:space="preserve"> no se agota en el análisis fragmentado de cada derecho violado. La esencia de la vulneración "radica precisamente en los efectos desproporcionados que resultan de la intersección de transgresiones que se entrelazan y amplifican" (Corte IDH, Caso González Méndez y Otros Vs. México, párr. 71). Por lo tanto, el Comentario General podría </w:t>
      </w:r>
      <w:r w:rsidR="009324B9">
        <w:rPr>
          <w:sz w:val="22"/>
          <w:szCs w:val="22"/>
          <w:lang w:val="es-ES"/>
        </w:rPr>
        <w:t xml:space="preserve">ganar contundencia </w:t>
      </w:r>
      <w:r w:rsidR="00177D27" w:rsidRPr="00016D8A">
        <w:rPr>
          <w:sz w:val="22"/>
          <w:szCs w:val="22"/>
          <w:lang w:val="es-ES"/>
        </w:rPr>
        <w:t>al señalar que cuando se restringe la asociación de una PDDH, no se está solamente limitando el artículo 22 del Pacto, sino que se está atacando un complejo de derechos cuyo ejercicio conjunto constituye el "derecho a defender derechos". (Corte IDH, Caso González Méndez y Otros Vs. México, párr. 47).</w:t>
      </w:r>
    </w:p>
    <w:p w14:paraId="62EADEF4" w14:textId="77777777" w:rsidR="00951974" w:rsidRPr="00016D8A" w:rsidRDefault="00951974" w:rsidP="00016D8A">
      <w:pPr>
        <w:jc w:val="both"/>
        <w:rPr>
          <w:sz w:val="22"/>
          <w:szCs w:val="22"/>
        </w:rPr>
      </w:pPr>
    </w:p>
    <w:p w14:paraId="413D82E5" w14:textId="59447AE4" w:rsidR="00951974" w:rsidRPr="00016D8A" w:rsidRDefault="00951974" w:rsidP="00016D8A">
      <w:pPr>
        <w:ind w:left="720"/>
        <w:jc w:val="both"/>
        <w:rPr>
          <w:b/>
          <w:bCs/>
          <w:sz w:val="22"/>
          <w:szCs w:val="22"/>
          <w:lang w:val="es-ES_tradnl"/>
        </w:rPr>
      </w:pPr>
      <w:r w:rsidRPr="00016D8A">
        <w:rPr>
          <w:b/>
          <w:bCs/>
          <w:sz w:val="22"/>
          <w:szCs w:val="22"/>
          <w:lang w:val="es-ES_tradnl"/>
        </w:rPr>
        <w:t>Párrafo 1.</w:t>
      </w:r>
      <w:r w:rsidR="00745DA1" w:rsidRPr="00016D8A">
        <w:rPr>
          <w:b/>
          <w:bCs/>
          <w:sz w:val="22"/>
          <w:szCs w:val="22"/>
          <w:lang w:val="es-ES_tradnl"/>
        </w:rPr>
        <w:t xml:space="preserve"> </w:t>
      </w:r>
      <w:r w:rsidRPr="00016D8A">
        <w:rPr>
          <w:sz w:val="22"/>
          <w:szCs w:val="22"/>
          <w:lang w:val="es-ES"/>
        </w:rPr>
        <w:t>La "garantía de la libertad de asociación" mencionada es, para las personas defensoras de derecho humanos y las OSC defensoras de derechos humanos, sinónimo de la garantía de un "entorno seguro y propicio" para su labor, un concepto central en la protección de defensores (Corte IDH, Caso Escaleras Mejía y Otros Vs. Honduras, párr. 58</w:t>
      </w:r>
      <w:r w:rsidR="007211F8" w:rsidRPr="00016D8A">
        <w:rPr>
          <w:sz w:val="22"/>
          <w:szCs w:val="22"/>
          <w:lang w:val="es-ES"/>
        </w:rPr>
        <w:t xml:space="preserve"> y 60</w:t>
      </w:r>
      <w:r w:rsidRPr="00016D8A">
        <w:rPr>
          <w:sz w:val="22"/>
          <w:szCs w:val="22"/>
          <w:lang w:val="es-ES"/>
        </w:rPr>
        <w:t>).</w:t>
      </w:r>
    </w:p>
    <w:p w14:paraId="292F2FC6" w14:textId="77777777" w:rsidR="00951974" w:rsidRPr="00016D8A" w:rsidRDefault="00951974" w:rsidP="00016D8A">
      <w:pPr>
        <w:ind w:left="720"/>
        <w:jc w:val="both"/>
        <w:rPr>
          <w:sz w:val="22"/>
          <w:szCs w:val="22"/>
        </w:rPr>
      </w:pPr>
    </w:p>
    <w:p w14:paraId="182CFCE3" w14:textId="230F7B33" w:rsidR="00951974" w:rsidRPr="00016D8A" w:rsidRDefault="00951974" w:rsidP="00016D8A">
      <w:pPr>
        <w:ind w:left="720"/>
        <w:jc w:val="both"/>
        <w:rPr>
          <w:sz w:val="22"/>
          <w:szCs w:val="22"/>
          <w:lang w:val="es-ES"/>
        </w:rPr>
      </w:pPr>
      <w:r w:rsidRPr="00016D8A">
        <w:rPr>
          <w:b/>
          <w:sz w:val="22"/>
          <w:szCs w:val="22"/>
          <w:lang w:val="es-ES"/>
        </w:rPr>
        <w:t>Párrafo 2:</w:t>
      </w:r>
      <w:r w:rsidRPr="00016D8A">
        <w:rPr>
          <w:sz w:val="22"/>
          <w:szCs w:val="22"/>
          <w:lang w:val="es-ES"/>
        </w:rPr>
        <w:t xml:space="preserve">  Interrelación e interdependencia de la libertad de asociación con otros derechos como la libertad de expresión, reunión y participación en asuntos públicos.</w:t>
      </w:r>
    </w:p>
    <w:p w14:paraId="26A88C34" w14:textId="2B176AB4" w:rsidR="00002EDF" w:rsidRPr="00016D8A" w:rsidRDefault="00002EDF" w:rsidP="00016D8A">
      <w:pPr>
        <w:jc w:val="both"/>
        <w:rPr>
          <w:sz w:val="22"/>
          <w:szCs w:val="22"/>
          <w:lang w:val="es-ES"/>
        </w:rPr>
      </w:pPr>
    </w:p>
    <w:p w14:paraId="3C653DA1" w14:textId="5C487FE1" w:rsidR="00002EDF" w:rsidRPr="00016D8A" w:rsidRDefault="00AF4641" w:rsidP="00016D8A">
      <w:pPr>
        <w:ind w:left="720"/>
        <w:jc w:val="both"/>
        <w:rPr>
          <w:sz w:val="22"/>
          <w:szCs w:val="22"/>
          <w:lang w:val="es-ES_tradnl"/>
        </w:rPr>
      </w:pPr>
      <w:r>
        <w:rPr>
          <w:b/>
          <w:sz w:val="22"/>
          <w:szCs w:val="22"/>
          <w:u w:val="single"/>
          <w:lang w:val="es-ES_tradnl"/>
        </w:rPr>
        <w:t>PROPUESTA DE MODIFICACIÓN</w:t>
      </w:r>
      <w:r w:rsidR="00002EDF" w:rsidRPr="00016D8A">
        <w:rPr>
          <w:b/>
          <w:sz w:val="22"/>
          <w:szCs w:val="22"/>
          <w:u w:val="single"/>
          <w:lang w:val="es-ES_tradnl"/>
        </w:rPr>
        <w:t xml:space="preserve"> 1</w:t>
      </w:r>
      <w:r w:rsidR="005F4C79" w:rsidRPr="00016D8A">
        <w:rPr>
          <w:b/>
          <w:sz w:val="22"/>
          <w:szCs w:val="22"/>
          <w:u w:val="single"/>
          <w:lang w:val="es-ES_tradnl"/>
        </w:rPr>
        <w:t xml:space="preserve"> – Párrafo 2</w:t>
      </w:r>
      <w:r w:rsidR="00002EDF" w:rsidRPr="00016D8A">
        <w:rPr>
          <w:b/>
          <w:sz w:val="22"/>
          <w:szCs w:val="22"/>
          <w:u w:val="single"/>
          <w:lang w:val="es-ES_tradnl"/>
        </w:rPr>
        <w:t xml:space="preserve">: </w:t>
      </w:r>
      <w:r w:rsidR="00002EDF" w:rsidRPr="00016D8A">
        <w:rPr>
          <w:sz w:val="22"/>
          <w:szCs w:val="22"/>
          <w:lang w:val="es-ES_tradnl"/>
        </w:rPr>
        <w:t>Adicionar en el párr. 2 lo siguiente (en azul):</w:t>
      </w:r>
    </w:p>
    <w:p w14:paraId="091D5B6B" w14:textId="4648DC6E" w:rsidR="00002EDF" w:rsidRPr="00016D8A" w:rsidRDefault="00002EDF" w:rsidP="00016D8A">
      <w:pPr>
        <w:ind w:left="720"/>
        <w:jc w:val="both"/>
        <w:rPr>
          <w:sz w:val="22"/>
          <w:szCs w:val="22"/>
          <w:lang w:val="es-ES_tradnl"/>
        </w:rPr>
      </w:pPr>
    </w:p>
    <w:p w14:paraId="6E3A39D2" w14:textId="11DBB206" w:rsidR="00002EDF" w:rsidRPr="00016D8A" w:rsidRDefault="00002EDF" w:rsidP="00016D8A">
      <w:pPr>
        <w:pStyle w:val="SingleTxtG"/>
        <w:ind w:left="720"/>
        <w:rPr>
          <w:rFonts w:asciiTheme="minorHAnsi" w:hAnsiTheme="minorHAnsi"/>
          <w:b/>
          <w:sz w:val="22"/>
          <w:szCs w:val="22"/>
        </w:rPr>
      </w:pPr>
      <w:r w:rsidRPr="00016D8A">
        <w:rPr>
          <w:rFonts w:asciiTheme="minorHAnsi" w:hAnsiTheme="minorHAnsi"/>
          <w:sz w:val="22"/>
          <w:szCs w:val="22"/>
        </w:rPr>
        <w:t>2. [</w:t>
      </w:r>
      <w:proofErr w:type="gramStart"/>
      <w:r w:rsidRPr="00016D8A">
        <w:rPr>
          <w:rFonts w:asciiTheme="minorHAnsi" w:hAnsiTheme="minorHAnsi"/>
          <w:sz w:val="22"/>
          <w:szCs w:val="22"/>
        </w:rPr>
        <w:t>… ]La</w:t>
      </w:r>
      <w:proofErr w:type="gramEnd"/>
      <w:r w:rsidRPr="00016D8A">
        <w:rPr>
          <w:rFonts w:asciiTheme="minorHAnsi" w:hAnsiTheme="minorHAnsi"/>
          <w:sz w:val="22"/>
          <w:szCs w:val="22"/>
        </w:rPr>
        <w:t xml:space="preserve"> plena realización del derecho a la libertad de asociación es igualmente fundamental para el disfrute, el ejercicio y la puesta en práctica del derecho a la libre determinación, incluidos los derechos sobre la tierra, la participación efectiva en los asuntos públicos y la participación efectiva de los pueblos indígenas y las minorías en los asuntos públicos y, en particular, en las decisiones que les afectan (arts. 1, 25 y 27). </w:t>
      </w:r>
      <w:r w:rsidRPr="00016D8A">
        <w:rPr>
          <w:rFonts w:asciiTheme="minorHAnsi" w:hAnsiTheme="minorHAnsi"/>
          <w:color w:val="FF0000"/>
          <w:sz w:val="22"/>
          <w:szCs w:val="22"/>
        </w:rPr>
        <w:t>Es así mismo un derecho habilitante para el disfrute del derecho a defender derechos.</w:t>
      </w:r>
      <w:r w:rsidR="005F08DC" w:rsidRPr="00016D8A">
        <w:rPr>
          <w:rStyle w:val="FootnoteReference"/>
          <w:rFonts w:asciiTheme="minorHAnsi" w:hAnsiTheme="minorHAnsi"/>
          <w:color w:val="FF0000"/>
          <w:sz w:val="22"/>
          <w:szCs w:val="22"/>
        </w:rPr>
        <w:footnoteReference w:id="1"/>
      </w:r>
    </w:p>
    <w:p w14:paraId="0481619B" w14:textId="77777777" w:rsidR="00951974" w:rsidRPr="00016D8A" w:rsidRDefault="00951974" w:rsidP="00016D8A">
      <w:pPr>
        <w:jc w:val="both"/>
        <w:rPr>
          <w:sz w:val="22"/>
          <w:szCs w:val="22"/>
        </w:rPr>
      </w:pPr>
    </w:p>
    <w:p w14:paraId="3350F7D6" w14:textId="6F9213E9" w:rsidR="00B42BF1" w:rsidRPr="00016D8A" w:rsidRDefault="00AF4641" w:rsidP="00016D8A">
      <w:pPr>
        <w:ind w:left="720"/>
        <w:jc w:val="both"/>
        <w:rPr>
          <w:sz w:val="22"/>
          <w:szCs w:val="22"/>
          <w:lang w:val="es-ES_tradnl"/>
        </w:rPr>
      </w:pPr>
      <w:r>
        <w:rPr>
          <w:b/>
          <w:sz w:val="22"/>
          <w:szCs w:val="22"/>
          <w:u w:val="single"/>
          <w:lang w:val="es-ES_tradnl"/>
        </w:rPr>
        <w:t>PROPUESTA DE MODIFICACIÓN</w:t>
      </w:r>
      <w:r w:rsidRPr="00016D8A">
        <w:rPr>
          <w:b/>
          <w:sz w:val="22"/>
          <w:szCs w:val="22"/>
          <w:u w:val="single"/>
          <w:lang w:val="es-ES_tradnl"/>
        </w:rPr>
        <w:t xml:space="preserve"> </w:t>
      </w:r>
      <w:r w:rsidR="00002EDF" w:rsidRPr="00016D8A">
        <w:rPr>
          <w:b/>
          <w:sz w:val="22"/>
          <w:szCs w:val="22"/>
          <w:u w:val="single"/>
          <w:lang w:val="es-ES_tradnl"/>
        </w:rPr>
        <w:t>2</w:t>
      </w:r>
      <w:r w:rsidR="007211F8" w:rsidRPr="00016D8A">
        <w:rPr>
          <w:b/>
          <w:sz w:val="22"/>
          <w:szCs w:val="22"/>
          <w:u w:val="single"/>
          <w:lang w:val="es-ES_tradnl"/>
        </w:rPr>
        <w:t>:</w:t>
      </w:r>
      <w:r w:rsidR="007211F8" w:rsidRPr="00016D8A">
        <w:rPr>
          <w:sz w:val="22"/>
          <w:szCs w:val="22"/>
          <w:lang w:val="es-ES_tradnl"/>
        </w:rPr>
        <w:t xml:space="preserve"> </w:t>
      </w:r>
      <w:r w:rsidR="00B42BF1" w:rsidRPr="00016D8A">
        <w:rPr>
          <w:sz w:val="22"/>
          <w:szCs w:val="22"/>
          <w:lang w:val="es-ES_tradnl"/>
        </w:rPr>
        <w:t xml:space="preserve">Adicionar, entre los </w:t>
      </w:r>
      <w:r w:rsidR="00951974" w:rsidRPr="00016D8A">
        <w:rPr>
          <w:sz w:val="22"/>
          <w:szCs w:val="22"/>
          <w:lang w:val="es-ES_tradnl"/>
        </w:rPr>
        <w:t xml:space="preserve">párrafos </w:t>
      </w:r>
      <w:r w:rsidR="00392B87" w:rsidRPr="00016D8A">
        <w:rPr>
          <w:sz w:val="22"/>
          <w:szCs w:val="22"/>
          <w:lang w:val="es-ES_tradnl"/>
        </w:rPr>
        <w:t xml:space="preserve">3 y 4 </w:t>
      </w:r>
      <w:r w:rsidR="00B42BF1" w:rsidRPr="00016D8A">
        <w:rPr>
          <w:sz w:val="22"/>
          <w:szCs w:val="22"/>
          <w:lang w:val="es-ES_tradnl"/>
        </w:rPr>
        <w:t>el siguiente</w:t>
      </w:r>
      <w:r w:rsidR="00951974" w:rsidRPr="00016D8A">
        <w:rPr>
          <w:sz w:val="22"/>
          <w:szCs w:val="22"/>
          <w:lang w:val="es-ES_tradnl"/>
        </w:rPr>
        <w:t>:</w:t>
      </w:r>
      <w:r w:rsidR="00B42BF1" w:rsidRPr="00016D8A">
        <w:rPr>
          <w:sz w:val="22"/>
          <w:szCs w:val="22"/>
          <w:lang w:val="es-ES_tradnl"/>
        </w:rPr>
        <w:t xml:space="preserve"> </w:t>
      </w:r>
    </w:p>
    <w:p w14:paraId="4440A1B6" w14:textId="77777777" w:rsidR="00B42BF1" w:rsidRPr="00016D8A" w:rsidRDefault="00B42BF1" w:rsidP="00016D8A">
      <w:pPr>
        <w:ind w:left="720"/>
        <w:jc w:val="both"/>
        <w:rPr>
          <w:sz w:val="22"/>
          <w:szCs w:val="22"/>
          <w:lang w:val="es-ES_tradnl"/>
        </w:rPr>
      </w:pPr>
    </w:p>
    <w:p w14:paraId="7E889C34" w14:textId="77777777" w:rsidR="00B42BF1" w:rsidRPr="00016D8A" w:rsidRDefault="00B42BF1" w:rsidP="00016D8A">
      <w:pPr>
        <w:pStyle w:val="SingleTxtG"/>
        <w:ind w:left="720"/>
        <w:rPr>
          <w:rFonts w:asciiTheme="minorHAnsi" w:eastAsiaTheme="minorEastAsia" w:hAnsiTheme="minorHAnsi" w:cstheme="minorBidi"/>
          <w:color w:val="FF0000"/>
          <w:kern w:val="2"/>
          <w:sz w:val="22"/>
          <w:szCs w:val="22"/>
          <w:lang w:eastAsia="en-US"/>
          <w14:ligatures w14:val="standardContextual"/>
        </w:rPr>
      </w:pPr>
      <w:r w:rsidRPr="00016D8A">
        <w:rPr>
          <w:rFonts w:asciiTheme="minorHAnsi" w:eastAsiaTheme="minorEastAsia" w:hAnsiTheme="minorHAnsi" w:cstheme="minorBidi"/>
          <w:color w:val="FF0000"/>
          <w:kern w:val="2"/>
          <w:sz w:val="22"/>
          <w:szCs w:val="22"/>
          <w:lang w:eastAsia="en-US"/>
          <w14:ligatures w14:val="standardContextual"/>
        </w:rPr>
        <w:t>X. El derecho a la libertad de asociación constituye en sí mismo un elemento fundamental para la existencia de un entorno seguro y propicio para el ejercicio del derecho a defender los derechos humanos.</w:t>
      </w:r>
      <w:r w:rsidRPr="00016D8A">
        <w:rPr>
          <w:rFonts w:asciiTheme="minorHAnsi" w:eastAsiaTheme="minorEastAsia" w:hAnsiTheme="minorHAnsi" w:cstheme="minorBidi"/>
          <w:color w:val="FF0000"/>
          <w:kern w:val="2"/>
          <w:sz w:val="22"/>
          <w:szCs w:val="22"/>
          <w:vertAlign w:val="superscript"/>
          <w:lang w:eastAsia="en-US"/>
          <w14:ligatures w14:val="standardContextual"/>
        </w:rPr>
        <w:footnoteReference w:id="2"/>
      </w:r>
      <w:r w:rsidRPr="00016D8A">
        <w:rPr>
          <w:rFonts w:asciiTheme="minorHAnsi" w:eastAsiaTheme="minorEastAsia" w:hAnsiTheme="minorHAnsi" w:cstheme="minorBidi"/>
          <w:color w:val="FF0000"/>
          <w:kern w:val="2"/>
          <w:sz w:val="22"/>
          <w:szCs w:val="22"/>
          <w:lang w:eastAsia="en-US"/>
          <w14:ligatures w14:val="standardContextual"/>
        </w:rPr>
        <w:t xml:space="preserve"> La existencia de restricciones arbitrarias a este derecho afecta la posibilidad de las personas y colectivos para defender, promover, procurar la protección y realización de los derechos humanos.</w:t>
      </w:r>
      <w:r w:rsidRPr="00016D8A">
        <w:rPr>
          <w:rFonts w:asciiTheme="minorHAnsi" w:eastAsiaTheme="minorEastAsia" w:hAnsiTheme="minorHAnsi" w:cstheme="minorBidi"/>
          <w:color w:val="FF0000"/>
          <w:kern w:val="2"/>
          <w:sz w:val="22"/>
          <w:szCs w:val="22"/>
          <w:vertAlign w:val="superscript"/>
          <w:lang w:eastAsia="en-US"/>
          <w14:ligatures w14:val="standardContextual"/>
        </w:rPr>
        <w:footnoteReference w:id="3"/>
      </w:r>
    </w:p>
    <w:p w14:paraId="59DD75F8" w14:textId="77777777" w:rsidR="00B42BF1" w:rsidRPr="00016D8A" w:rsidRDefault="00B42BF1" w:rsidP="00016D8A">
      <w:pPr>
        <w:jc w:val="both"/>
        <w:rPr>
          <w:sz w:val="22"/>
          <w:szCs w:val="22"/>
          <w:lang w:val="es-ES"/>
        </w:rPr>
      </w:pPr>
    </w:p>
    <w:p w14:paraId="08585C44" w14:textId="1877BD02" w:rsidR="00392B87" w:rsidRPr="00016D8A" w:rsidRDefault="00B42BF1" w:rsidP="00016D8A">
      <w:pPr>
        <w:ind w:left="720"/>
        <w:jc w:val="both"/>
        <w:rPr>
          <w:sz w:val="22"/>
          <w:szCs w:val="22"/>
          <w:lang w:val="es-ES"/>
        </w:rPr>
      </w:pPr>
      <w:r w:rsidRPr="00016D8A">
        <w:rPr>
          <w:b/>
          <w:sz w:val="22"/>
          <w:szCs w:val="22"/>
          <w:lang w:val="es-ES"/>
        </w:rPr>
        <w:t>En el párrafo 10.</w:t>
      </w:r>
      <w:r w:rsidRPr="00016D8A">
        <w:rPr>
          <w:sz w:val="22"/>
          <w:szCs w:val="22"/>
          <w:lang w:val="es-ES"/>
        </w:rPr>
        <w:t xml:space="preserve"> </w:t>
      </w:r>
      <w:r w:rsidR="00392B87" w:rsidRPr="00016D8A">
        <w:rPr>
          <w:sz w:val="22"/>
          <w:szCs w:val="22"/>
          <w:lang w:val="es-ES"/>
        </w:rPr>
        <w:t xml:space="preserve">El derecho a la libertad de asociación implica acciones que pueden considerarse controversiales, incluyendo </w:t>
      </w:r>
      <w:r w:rsidR="000C5AC5" w:rsidRPr="00016D8A">
        <w:rPr>
          <w:sz w:val="22"/>
          <w:szCs w:val="22"/>
          <w:lang w:val="es-ES"/>
        </w:rPr>
        <w:t xml:space="preserve">entre otras </w:t>
      </w:r>
      <w:r w:rsidR="00392B87" w:rsidRPr="00016D8A">
        <w:rPr>
          <w:sz w:val="22"/>
          <w:szCs w:val="22"/>
          <w:lang w:val="es-ES"/>
        </w:rPr>
        <w:t>actividades de derechos humanos. Las restricciones cometidas sobre</w:t>
      </w:r>
      <w:r w:rsidR="000C5AC5" w:rsidRPr="00016D8A">
        <w:rPr>
          <w:sz w:val="22"/>
          <w:szCs w:val="22"/>
          <w:lang w:val="es-ES"/>
        </w:rPr>
        <w:t xml:space="preserve"> a la libertad de asociación</w:t>
      </w:r>
      <w:r w:rsidR="00392B87" w:rsidRPr="00016D8A">
        <w:rPr>
          <w:sz w:val="22"/>
          <w:szCs w:val="22"/>
          <w:lang w:val="es-ES"/>
        </w:rPr>
        <w:t xml:space="preserve"> </w:t>
      </w:r>
      <w:r w:rsidR="000C5AC5" w:rsidRPr="00016D8A">
        <w:rPr>
          <w:sz w:val="22"/>
          <w:szCs w:val="22"/>
          <w:lang w:val="es-ES"/>
        </w:rPr>
        <w:t xml:space="preserve">se manifiestan </w:t>
      </w:r>
      <w:r w:rsidR="009324B9" w:rsidRPr="00016D8A">
        <w:rPr>
          <w:sz w:val="22"/>
          <w:szCs w:val="22"/>
          <w:lang w:val="es-ES"/>
        </w:rPr>
        <w:t>en violaciones</w:t>
      </w:r>
      <w:r w:rsidR="009324B9">
        <w:rPr>
          <w:sz w:val="22"/>
          <w:szCs w:val="22"/>
          <w:lang w:val="es-ES"/>
        </w:rPr>
        <w:t xml:space="preserve"> o vulneraciones</w:t>
      </w:r>
      <w:r w:rsidR="000C5AC5" w:rsidRPr="00016D8A">
        <w:rPr>
          <w:sz w:val="22"/>
          <w:szCs w:val="22"/>
          <w:lang w:val="es-ES"/>
        </w:rPr>
        <w:t xml:space="preserve"> al derecho a defender derechos lo que constituye un primer indicador de retrocesos más amplios en el Estado de derecho y la democracia</w:t>
      </w:r>
      <w:r w:rsidR="00ED53A3" w:rsidRPr="00016D8A">
        <w:rPr>
          <w:sz w:val="22"/>
          <w:szCs w:val="22"/>
          <w:lang w:val="es-ES"/>
        </w:rPr>
        <w:t xml:space="preserve"> (United Nations </w:t>
      </w:r>
      <w:proofErr w:type="spellStart"/>
      <w:r w:rsidR="00ED53A3" w:rsidRPr="00016D8A">
        <w:rPr>
          <w:sz w:val="22"/>
          <w:szCs w:val="22"/>
          <w:lang w:val="es-ES"/>
        </w:rPr>
        <w:t>Guidance</w:t>
      </w:r>
      <w:proofErr w:type="spellEnd"/>
      <w:r w:rsidR="00ED53A3" w:rsidRPr="00016D8A">
        <w:rPr>
          <w:sz w:val="22"/>
          <w:szCs w:val="22"/>
          <w:lang w:val="es-ES"/>
        </w:rPr>
        <w:t xml:space="preserve"> Note, </w:t>
      </w:r>
      <w:proofErr w:type="spellStart"/>
      <w:r w:rsidR="00ED53A3" w:rsidRPr="00016D8A">
        <w:rPr>
          <w:sz w:val="22"/>
          <w:szCs w:val="22"/>
          <w:lang w:val="es-ES"/>
        </w:rPr>
        <w:t>Protection</w:t>
      </w:r>
      <w:proofErr w:type="spellEnd"/>
      <w:r w:rsidR="00ED53A3" w:rsidRPr="00016D8A">
        <w:rPr>
          <w:sz w:val="22"/>
          <w:szCs w:val="22"/>
          <w:lang w:val="es-ES"/>
        </w:rPr>
        <w:t xml:space="preserve"> and </w:t>
      </w:r>
      <w:proofErr w:type="spellStart"/>
      <w:r w:rsidR="00ED53A3" w:rsidRPr="00016D8A">
        <w:rPr>
          <w:sz w:val="22"/>
          <w:szCs w:val="22"/>
          <w:lang w:val="es-ES"/>
        </w:rPr>
        <w:t>P</w:t>
      </w:r>
      <w:r w:rsidR="009324B9">
        <w:rPr>
          <w:sz w:val="22"/>
          <w:szCs w:val="22"/>
          <w:lang w:val="es-ES"/>
        </w:rPr>
        <w:t>r</w:t>
      </w:r>
      <w:r w:rsidR="00ED53A3" w:rsidRPr="00016D8A">
        <w:rPr>
          <w:sz w:val="22"/>
          <w:szCs w:val="22"/>
          <w:lang w:val="es-ES"/>
        </w:rPr>
        <w:t>omotion</w:t>
      </w:r>
      <w:proofErr w:type="spellEnd"/>
      <w:r w:rsidR="00ED53A3" w:rsidRPr="00016D8A">
        <w:rPr>
          <w:sz w:val="22"/>
          <w:szCs w:val="22"/>
          <w:lang w:val="es-ES"/>
        </w:rPr>
        <w:t xml:space="preserve"> of Civic Space, September 2020, </w:t>
      </w:r>
      <w:proofErr w:type="spellStart"/>
      <w:r w:rsidR="00ED53A3" w:rsidRPr="00016D8A">
        <w:rPr>
          <w:sz w:val="22"/>
          <w:szCs w:val="22"/>
          <w:lang w:val="es-ES"/>
        </w:rPr>
        <w:t>section</w:t>
      </w:r>
      <w:proofErr w:type="spellEnd"/>
      <w:r w:rsidR="00ED53A3" w:rsidRPr="00016D8A">
        <w:rPr>
          <w:sz w:val="22"/>
          <w:szCs w:val="22"/>
          <w:lang w:val="es-ES"/>
        </w:rPr>
        <w:t xml:space="preserve"> 2.)</w:t>
      </w:r>
      <w:r w:rsidR="000C5AC5" w:rsidRPr="00016D8A">
        <w:rPr>
          <w:sz w:val="22"/>
          <w:szCs w:val="22"/>
          <w:lang w:val="es-ES"/>
        </w:rPr>
        <w:t xml:space="preserve">. </w:t>
      </w:r>
    </w:p>
    <w:p w14:paraId="441E96AE" w14:textId="77777777" w:rsidR="00392B87" w:rsidRPr="00016D8A" w:rsidRDefault="00392B87" w:rsidP="00016D8A">
      <w:pPr>
        <w:ind w:left="720"/>
        <w:jc w:val="both"/>
        <w:rPr>
          <w:sz w:val="22"/>
          <w:szCs w:val="22"/>
          <w:lang w:val="es-ES"/>
        </w:rPr>
      </w:pPr>
    </w:p>
    <w:p w14:paraId="20038755" w14:textId="449AA35C" w:rsidR="00B42BF1" w:rsidRPr="00016D8A" w:rsidRDefault="00AF4641" w:rsidP="00016D8A">
      <w:pPr>
        <w:ind w:left="720"/>
        <w:jc w:val="both"/>
        <w:rPr>
          <w:sz w:val="22"/>
          <w:szCs w:val="22"/>
          <w:lang w:val="es-ES"/>
        </w:rPr>
      </w:pPr>
      <w:r>
        <w:rPr>
          <w:b/>
          <w:sz w:val="22"/>
          <w:szCs w:val="22"/>
          <w:u w:val="single"/>
          <w:lang w:val="es-ES_tradnl"/>
        </w:rPr>
        <w:t>PROPUESTA DE MODIFICACIÓN</w:t>
      </w:r>
      <w:r w:rsidRPr="00016D8A">
        <w:rPr>
          <w:b/>
          <w:sz w:val="22"/>
          <w:szCs w:val="22"/>
          <w:u w:val="single"/>
          <w:lang w:val="es-ES_tradnl"/>
        </w:rPr>
        <w:t xml:space="preserve"> </w:t>
      </w:r>
      <w:r>
        <w:rPr>
          <w:b/>
          <w:sz w:val="22"/>
          <w:szCs w:val="22"/>
          <w:u w:val="single"/>
          <w:lang w:val="es-ES_tradnl"/>
        </w:rPr>
        <w:t xml:space="preserve">3 </w:t>
      </w:r>
      <w:r w:rsidR="005F4C79" w:rsidRPr="00016D8A">
        <w:rPr>
          <w:b/>
          <w:sz w:val="22"/>
          <w:szCs w:val="22"/>
          <w:u w:val="single"/>
          <w:lang w:val="es-ES_tradnl"/>
        </w:rPr>
        <w:t>– Párrafo 10</w:t>
      </w:r>
      <w:r w:rsidR="00792C59" w:rsidRPr="00016D8A">
        <w:rPr>
          <w:b/>
          <w:sz w:val="22"/>
          <w:szCs w:val="22"/>
          <w:u w:val="single"/>
          <w:lang w:val="es-ES_tradnl"/>
        </w:rPr>
        <w:t>:</w:t>
      </w:r>
      <w:r w:rsidR="00792C59" w:rsidRPr="00016D8A">
        <w:rPr>
          <w:sz w:val="22"/>
          <w:szCs w:val="22"/>
          <w:lang w:val="es-ES_tradnl"/>
        </w:rPr>
        <w:t xml:space="preserve"> </w:t>
      </w:r>
      <w:r w:rsidR="00B42BF1" w:rsidRPr="00016D8A">
        <w:rPr>
          <w:sz w:val="22"/>
          <w:szCs w:val="22"/>
          <w:lang w:val="es-ES"/>
        </w:rPr>
        <w:t>Sumar el derecho a defender derechos así</w:t>
      </w:r>
      <w:r w:rsidR="00ED53A3" w:rsidRPr="00016D8A">
        <w:rPr>
          <w:sz w:val="22"/>
          <w:szCs w:val="22"/>
          <w:lang w:val="es-ES"/>
        </w:rPr>
        <w:t xml:space="preserve"> (en </w:t>
      </w:r>
      <w:r w:rsidR="009324B9">
        <w:rPr>
          <w:sz w:val="22"/>
          <w:szCs w:val="22"/>
          <w:lang w:val="es-ES"/>
        </w:rPr>
        <w:t>rojo</w:t>
      </w:r>
      <w:r w:rsidR="00ED53A3" w:rsidRPr="00016D8A">
        <w:rPr>
          <w:sz w:val="22"/>
          <w:szCs w:val="22"/>
          <w:lang w:val="es-ES"/>
        </w:rPr>
        <w:t>)</w:t>
      </w:r>
      <w:r w:rsidR="00B42BF1" w:rsidRPr="00016D8A">
        <w:rPr>
          <w:sz w:val="22"/>
          <w:szCs w:val="22"/>
          <w:lang w:val="es-ES"/>
        </w:rPr>
        <w:t>:</w:t>
      </w:r>
    </w:p>
    <w:p w14:paraId="426B925C" w14:textId="77777777" w:rsidR="00B42BF1" w:rsidRPr="00016D8A" w:rsidRDefault="00B42BF1" w:rsidP="00016D8A">
      <w:pPr>
        <w:ind w:left="720"/>
        <w:jc w:val="both"/>
        <w:rPr>
          <w:sz w:val="22"/>
          <w:szCs w:val="22"/>
          <w:lang w:val="es-ES"/>
        </w:rPr>
      </w:pPr>
    </w:p>
    <w:p w14:paraId="64A092C1" w14:textId="7C7D5AA2" w:rsidR="00B42BF1" w:rsidRPr="00016D8A" w:rsidRDefault="00792C59" w:rsidP="00016D8A">
      <w:pPr>
        <w:pStyle w:val="SingleTxtG"/>
        <w:ind w:left="1440"/>
        <w:rPr>
          <w:rFonts w:asciiTheme="minorHAnsi" w:hAnsiTheme="minorHAnsi"/>
          <w:sz w:val="22"/>
          <w:szCs w:val="22"/>
        </w:rPr>
      </w:pPr>
      <w:r w:rsidRPr="00016D8A">
        <w:rPr>
          <w:rFonts w:asciiTheme="minorHAnsi" w:hAnsiTheme="minorHAnsi"/>
          <w:sz w:val="22"/>
          <w:szCs w:val="22"/>
        </w:rPr>
        <w:t xml:space="preserve">10. </w:t>
      </w:r>
      <w:r w:rsidR="00ED53A3" w:rsidRPr="00016D8A">
        <w:rPr>
          <w:rFonts w:asciiTheme="minorHAnsi" w:hAnsiTheme="minorHAnsi"/>
          <w:sz w:val="22"/>
          <w:szCs w:val="22"/>
        </w:rPr>
        <w:t xml:space="preserve">[…] </w:t>
      </w:r>
      <w:r w:rsidR="00B42BF1" w:rsidRPr="00016D8A">
        <w:rPr>
          <w:rFonts w:asciiTheme="minorHAnsi" w:hAnsiTheme="minorHAnsi"/>
          <w:sz w:val="22"/>
          <w:szCs w:val="22"/>
        </w:rPr>
        <w:t xml:space="preserve">Los ataques y las violaciones del derecho a la libertad de asociación obstaculizan </w:t>
      </w:r>
      <w:r w:rsidR="00B42BF1" w:rsidRPr="00016D8A">
        <w:rPr>
          <w:rFonts w:asciiTheme="minorHAnsi" w:hAnsiTheme="minorHAnsi"/>
          <w:color w:val="FF0000"/>
          <w:sz w:val="22"/>
          <w:szCs w:val="22"/>
        </w:rPr>
        <w:t xml:space="preserve">el ejercicio del derecho a defender derechos de todas las personas y colectivos, incluyendo </w:t>
      </w:r>
      <w:r w:rsidR="00B42BF1" w:rsidRPr="00016D8A">
        <w:rPr>
          <w:rFonts w:asciiTheme="minorHAnsi" w:hAnsiTheme="minorHAnsi"/>
          <w:sz w:val="22"/>
          <w:szCs w:val="22"/>
        </w:rPr>
        <w:t>grupos minoritarios o de las personas o comunidades marginadas son, por lo tanto, un barómetro crucial de una represión más amplia de los derechos humanos, el Estado de derecho y la democracia.</w:t>
      </w:r>
      <w:r w:rsidR="00B42BF1" w:rsidRPr="00016D8A">
        <w:rPr>
          <w:rStyle w:val="FootnoteReference"/>
          <w:rFonts w:asciiTheme="minorHAnsi" w:hAnsiTheme="minorHAnsi"/>
          <w:sz w:val="22"/>
          <w:szCs w:val="22"/>
        </w:rPr>
        <w:footnoteReference w:id="4"/>
      </w:r>
    </w:p>
    <w:p w14:paraId="2235241D" w14:textId="77777777" w:rsidR="00951974" w:rsidRPr="00016D8A" w:rsidRDefault="00951974" w:rsidP="00016D8A">
      <w:pPr>
        <w:jc w:val="both"/>
        <w:rPr>
          <w:sz w:val="22"/>
          <w:szCs w:val="22"/>
          <w:lang w:val="es-ES"/>
        </w:rPr>
      </w:pPr>
    </w:p>
    <w:p w14:paraId="29A194F3" w14:textId="2D539092" w:rsidR="0032356A" w:rsidRPr="00016D8A" w:rsidRDefault="0032356A" w:rsidP="00016D8A">
      <w:pPr>
        <w:jc w:val="both"/>
        <w:rPr>
          <w:sz w:val="22"/>
          <w:szCs w:val="22"/>
          <w:lang w:val="es-ES_tradnl"/>
        </w:rPr>
      </w:pPr>
      <w:r w:rsidRPr="00016D8A">
        <w:rPr>
          <w:b/>
          <w:sz w:val="22"/>
          <w:szCs w:val="22"/>
          <w:u w:val="single"/>
          <w:lang w:val="es-ES_tradnl"/>
        </w:rPr>
        <w:lastRenderedPageBreak/>
        <w:t>COMENTARIO 2:</w:t>
      </w:r>
      <w:r w:rsidRPr="00016D8A">
        <w:rPr>
          <w:sz w:val="22"/>
          <w:szCs w:val="22"/>
          <w:lang w:val="es-ES_tradnl"/>
        </w:rPr>
        <w:t xml:space="preserve"> Con relación al derecho a defender derechos humanos, reconocido como un derecho autónomo por la </w:t>
      </w:r>
      <w:proofErr w:type="spellStart"/>
      <w:r w:rsidRPr="00016D8A">
        <w:rPr>
          <w:sz w:val="22"/>
          <w:szCs w:val="22"/>
          <w:lang w:val="es-ES_tradnl"/>
        </w:rPr>
        <w:t>CorteIDH</w:t>
      </w:r>
      <w:proofErr w:type="spellEnd"/>
      <w:r w:rsidRPr="00016D8A">
        <w:rPr>
          <w:sz w:val="22"/>
          <w:szCs w:val="22"/>
          <w:lang w:val="es-ES_tradnl"/>
        </w:rPr>
        <w:t xml:space="preserve"> y su relación con el derecho de asociación me permito recomendar:</w:t>
      </w:r>
    </w:p>
    <w:p w14:paraId="60654F57" w14:textId="77777777" w:rsidR="0032356A" w:rsidRPr="00016D8A" w:rsidRDefault="0032356A" w:rsidP="00016D8A">
      <w:pPr>
        <w:jc w:val="both"/>
        <w:rPr>
          <w:b/>
          <w:sz w:val="22"/>
          <w:szCs w:val="22"/>
          <w:lang w:val="es-ES_tradnl"/>
        </w:rPr>
      </w:pPr>
    </w:p>
    <w:p w14:paraId="246945BA" w14:textId="77777777" w:rsidR="0005698B" w:rsidRPr="00016D8A" w:rsidRDefault="0005698B" w:rsidP="0005698B">
      <w:pPr>
        <w:jc w:val="both"/>
        <w:rPr>
          <w:sz w:val="22"/>
          <w:szCs w:val="22"/>
          <w:lang w:val="es-ES"/>
        </w:rPr>
      </w:pPr>
      <w:r>
        <w:rPr>
          <w:b/>
          <w:sz w:val="22"/>
          <w:szCs w:val="22"/>
          <w:u w:val="single"/>
          <w:lang w:val="es-ES"/>
        </w:rPr>
        <w:t>Aclaración</w:t>
      </w:r>
      <w:r w:rsidRPr="00016D8A">
        <w:rPr>
          <w:b/>
          <w:sz w:val="22"/>
          <w:szCs w:val="22"/>
          <w:u w:val="single"/>
          <w:lang w:val="es-ES"/>
        </w:rPr>
        <w:t xml:space="preserve"> acción propuesta 4</w:t>
      </w:r>
      <w:r w:rsidRPr="00016D8A">
        <w:rPr>
          <w:b/>
          <w:sz w:val="22"/>
          <w:szCs w:val="22"/>
          <w:lang w:val="es-ES"/>
        </w:rPr>
        <w:t>:</w:t>
      </w:r>
      <w:r w:rsidRPr="00016D8A">
        <w:rPr>
          <w:sz w:val="22"/>
          <w:szCs w:val="22"/>
          <w:lang w:val="es-ES"/>
        </w:rPr>
        <w:t xml:space="preserve"> Si bien, este es el punto de anclaje más importante para un enfoque de género e interseccional, es posible profundizar en análisis del impacto agravado: Las </w:t>
      </w:r>
      <w:r w:rsidRPr="00016D8A">
        <w:rPr>
          <w:b/>
          <w:sz w:val="22"/>
          <w:szCs w:val="22"/>
          <w:lang w:val="es-ES"/>
        </w:rPr>
        <w:t>defensoras de derechos humanos</w:t>
      </w:r>
      <w:r w:rsidRPr="00016D8A">
        <w:rPr>
          <w:sz w:val="22"/>
          <w:szCs w:val="22"/>
          <w:lang w:val="es-ES"/>
        </w:rPr>
        <w:t xml:space="preserve"> no solo enfrentan los mismos riesgos que sus pares masculinos, sino que además son objeto de ataques específicos basados en su género, como la violencia sexual, campañas de difamación centradas en su vida privada o moral, y amenazas contra sus familias, con el fin de castigarlas por desafiar roles de género tradicionales (Corte IDH, Caso González Méndez y Otros Vs. México, párr. 70, citando Informe CIDH). Como señala la doctrina, estas defensoras están en mayor riesgo porque "se les percibe que cuestionan las normas socioculturales, tradiciones, percepciones y estereotipos". Por ello, cualquier política de protección o fomento del derecho de asociación debe incorporar obligatoriamente un análisis de riesgo con enfoque de género e interseccional, que reconozca y mitigue estas vulnerabilidades específicas, tal como lo exige la Corte IDH al ordenar la creación de programas de protección (Corte IDH, Caso Pérez Lucas y Otros Vs. Guatemala, párr. c).</w:t>
      </w:r>
    </w:p>
    <w:p w14:paraId="4D2BCD21" w14:textId="77777777" w:rsidR="0005698B" w:rsidRDefault="0005698B" w:rsidP="00016D8A">
      <w:pPr>
        <w:ind w:left="720"/>
        <w:jc w:val="both"/>
        <w:rPr>
          <w:b/>
          <w:sz w:val="22"/>
          <w:szCs w:val="22"/>
          <w:lang w:val="es-ES"/>
        </w:rPr>
      </w:pPr>
    </w:p>
    <w:p w14:paraId="713EA1FD" w14:textId="17F9A593" w:rsidR="00951974" w:rsidRPr="00016D8A" w:rsidRDefault="00951974" w:rsidP="00354584">
      <w:pPr>
        <w:ind w:left="720"/>
        <w:jc w:val="both"/>
        <w:rPr>
          <w:sz w:val="22"/>
          <w:szCs w:val="22"/>
          <w:lang w:val="es-ES"/>
        </w:rPr>
      </w:pPr>
      <w:r w:rsidRPr="00016D8A">
        <w:rPr>
          <w:b/>
          <w:sz w:val="22"/>
          <w:szCs w:val="22"/>
          <w:lang w:val="es-ES"/>
        </w:rPr>
        <w:t>Párrafo 9:</w:t>
      </w:r>
      <w:r w:rsidRPr="00016D8A">
        <w:rPr>
          <w:sz w:val="22"/>
          <w:szCs w:val="22"/>
          <w:lang w:val="es-ES"/>
        </w:rPr>
        <w:t xml:space="preserve"> Este párrafo reconoce el impacto diferenciado y agravado de las restricciones sobre grupos específicos, mencionando explícitamente a "defensoras de los derechos humanos", "defensores de los derechos ambientales y de la tierra" y pueblos indígenas.</w:t>
      </w:r>
    </w:p>
    <w:p w14:paraId="6E48D662" w14:textId="7B5572E5" w:rsidR="003A3CB8" w:rsidRPr="00016D8A" w:rsidRDefault="003A3CB8" w:rsidP="00016D8A">
      <w:pPr>
        <w:ind w:left="720"/>
        <w:jc w:val="both"/>
        <w:rPr>
          <w:sz w:val="22"/>
          <w:szCs w:val="22"/>
          <w:lang w:val="es-ES"/>
        </w:rPr>
      </w:pPr>
    </w:p>
    <w:p w14:paraId="0D3B74FC" w14:textId="32DC2CA2" w:rsidR="0005698B" w:rsidRDefault="00AF4641" w:rsidP="00016D8A">
      <w:pPr>
        <w:pStyle w:val="SingleTxtG"/>
        <w:ind w:left="720"/>
        <w:rPr>
          <w:rFonts w:asciiTheme="minorHAnsi" w:hAnsiTheme="minorHAnsi"/>
          <w:sz w:val="22"/>
          <w:szCs w:val="22"/>
        </w:rPr>
      </w:pPr>
      <w:r w:rsidRPr="00AF4641">
        <w:rPr>
          <w:rFonts w:asciiTheme="minorHAnsi" w:hAnsiTheme="minorHAnsi"/>
          <w:b/>
          <w:sz w:val="22"/>
          <w:szCs w:val="22"/>
          <w:u w:val="single"/>
          <w:lang w:val="es-ES_tradnl"/>
        </w:rPr>
        <w:t>PROPUESTA DE MODIFICACIÓN 4</w:t>
      </w:r>
      <w:r w:rsidR="005F4C79" w:rsidRPr="00AF4641">
        <w:rPr>
          <w:rFonts w:asciiTheme="minorHAnsi" w:hAnsiTheme="minorHAnsi"/>
          <w:b/>
          <w:sz w:val="22"/>
          <w:szCs w:val="22"/>
          <w:u w:val="single"/>
          <w:lang w:val="es-ES_tradnl"/>
        </w:rPr>
        <w:t>– Párrafo</w:t>
      </w:r>
      <w:r w:rsidR="005F4C79" w:rsidRPr="00016D8A">
        <w:rPr>
          <w:rFonts w:asciiTheme="minorHAnsi" w:hAnsiTheme="minorHAnsi"/>
          <w:b/>
          <w:sz w:val="22"/>
          <w:szCs w:val="22"/>
          <w:u w:val="single"/>
          <w:lang w:val="es-ES_tradnl"/>
        </w:rPr>
        <w:t xml:space="preserve"> 9</w:t>
      </w:r>
      <w:r w:rsidR="00C15106" w:rsidRPr="00016D8A">
        <w:rPr>
          <w:rFonts w:asciiTheme="minorHAnsi" w:hAnsiTheme="minorHAnsi"/>
          <w:b/>
          <w:sz w:val="22"/>
          <w:szCs w:val="22"/>
          <w:u w:val="single"/>
          <w:lang w:val="es-ES_tradnl"/>
        </w:rPr>
        <w:t>:</w:t>
      </w:r>
      <w:r w:rsidR="00C15106" w:rsidRPr="00016D8A">
        <w:rPr>
          <w:rFonts w:asciiTheme="minorHAnsi" w:hAnsiTheme="minorHAnsi"/>
          <w:sz w:val="22"/>
          <w:szCs w:val="22"/>
          <w:lang w:val="es-ES_tradnl"/>
        </w:rPr>
        <w:t xml:space="preserve">  </w:t>
      </w:r>
      <w:r w:rsidR="0005698B" w:rsidRPr="00016D8A">
        <w:rPr>
          <w:rFonts w:asciiTheme="minorHAnsi" w:hAnsiTheme="minorHAnsi"/>
          <w:sz w:val="22"/>
          <w:szCs w:val="22"/>
          <w:lang w:val="es-ES_tradnl"/>
        </w:rPr>
        <w:t xml:space="preserve">En el párrafo </w:t>
      </w:r>
      <w:r w:rsidR="0005698B">
        <w:rPr>
          <w:rFonts w:asciiTheme="minorHAnsi" w:hAnsiTheme="minorHAnsi"/>
          <w:sz w:val="22"/>
          <w:szCs w:val="22"/>
          <w:lang w:val="es-ES_tradnl"/>
        </w:rPr>
        <w:t>9</w:t>
      </w:r>
      <w:r w:rsidR="0005698B" w:rsidRPr="00016D8A">
        <w:rPr>
          <w:rFonts w:asciiTheme="minorHAnsi" w:hAnsiTheme="minorHAnsi"/>
          <w:sz w:val="22"/>
          <w:szCs w:val="22"/>
          <w:lang w:val="es-ES_tradnl"/>
        </w:rPr>
        <w:t xml:space="preserve"> </w:t>
      </w:r>
      <w:r w:rsidR="0005698B" w:rsidRPr="00016D8A">
        <w:rPr>
          <w:rFonts w:asciiTheme="minorHAnsi" w:hAnsiTheme="minorHAnsi"/>
          <w:sz w:val="22"/>
          <w:szCs w:val="22"/>
        </w:rPr>
        <w:t>se recomienda sumar:</w:t>
      </w:r>
    </w:p>
    <w:p w14:paraId="37AC4BC2" w14:textId="7B79CBA6" w:rsidR="00951974" w:rsidRPr="00016D8A" w:rsidRDefault="003A3CB8" w:rsidP="00016D8A">
      <w:pPr>
        <w:pStyle w:val="SingleTxtG"/>
        <w:ind w:left="720"/>
        <w:rPr>
          <w:rFonts w:asciiTheme="minorHAnsi" w:hAnsiTheme="minorHAnsi"/>
          <w:b/>
          <w:color w:val="4472C4" w:themeColor="accent1"/>
          <w:sz w:val="22"/>
          <w:szCs w:val="22"/>
        </w:rPr>
      </w:pPr>
      <w:r w:rsidRPr="00016D8A">
        <w:rPr>
          <w:rFonts w:asciiTheme="minorHAnsi" w:hAnsiTheme="minorHAnsi"/>
          <w:sz w:val="22"/>
          <w:szCs w:val="22"/>
        </w:rPr>
        <w:t>Por lo tanto, el derecho a la libertad de asociación debe interpretarse y aplicarse teniendo en cuenta las barreras estructurales y entrecruzadas que podrían obstaculizar la realización concreta y efectiva de ese derecho para esas personas, grupos y comunidades</w:t>
      </w:r>
      <w:r w:rsidR="00C15106" w:rsidRPr="00016D8A">
        <w:rPr>
          <w:rFonts w:asciiTheme="minorHAnsi" w:hAnsiTheme="minorHAnsi"/>
          <w:sz w:val="22"/>
          <w:szCs w:val="22"/>
        </w:rPr>
        <w:t xml:space="preserve">, </w:t>
      </w:r>
      <w:r w:rsidR="00C15106" w:rsidRPr="00016D8A">
        <w:rPr>
          <w:rFonts w:asciiTheme="minorHAnsi" w:hAnsiTheme="minorHAnsi"/>
          <w:color w:val="FF0000"/>
          <w:sz w:val="22"/>
          <w:szCs w:val="22"/>
        </w:rPr>
        <w:t xml:space="preserve">reconociendo y mitigando estas </w:t>
      </w:r>
      <w:r w:rsidR="009324B9">
        <w:rPr>
          <w:rFonts w:asciiTheme="minorHAnsi" w:hAnsiTheme="minorHAnsi"/>
          <w:color w:val="FF0000"/>
          <w:sz w:val="22"/>
          <w:szCs w:val="22"/>
        </w:rPr>
        <w:t xml:space="preserve">condiciones de </w:t>
      </w:r>
      <w:r w:rsidR="00C15106" w:rsidRPr="00016D8A">
        <w:rPr>
          <w:rFonts w:asciiTheme="minorHAnsi" w:hAnsiTheme="minorHAnsi"/>
          <w:color w:val="FF0000"/>
          <w:sz w:val="22"/>
          <w:szCs w:val="22"/>
        </w:rPr>
        <w:t>vulnerabilidad específicas.</w:t>
      </w:r>
      <w:r w:rsidR="00610108" w:rsidRPr="00016D8A">
        <w:rPr>
          <w:rStyle w:val="FootnoteReference"/>
          <w:rFonts w:asciiTheme="minorHAnsi" w:hAnsiTheme="minorHAnsi"/>
          <w:color w:val="FF0000"/>
          <w:sz w:val="22"/>
          <w:szCs w:val="22"/>
        </w:rPr>
        <w:footnoteReference w:id="5"/>
      </w:r>
    </w:p>
    <w:p w14:paraId="4DC88E93" w14:textId="69BDE451" w:rsidR="00951974" w:rsidRPr="00016D8A" w:rsidRDefault="00951974" w:rsidP="00016D8A">
      <w:pPr>
        <w:jc w:val="both"/>
        <w:rPr>
          <w:sz w:val="22"/>
          <w:szCs w:val="22"/>
          <w:lang w:val="es-ES"/>
        </w:rPr>
      </w:pPr>
    </w:p>
    <w:p w14:paraId="34ECEFB0" w14:textId="55CDDAB4" w:rsidR="00413889" w:rsidRPr="00016D8A" w:rsidRDefault="00413889" w:rsidP="00016D8A">
      <w:pPr>
        <w:jc w:val="both"/>
        <w:rPr>
          <w:sz w:val="22"/>
          <w:szCs w:val="22"/>
          <w:lang w:val="es-ES_tradnl"/>
        </w:rPr>
      </w:pPr>
      <w:r w:rsidRPr="00016D8A">
        <w:rPr>
          <w:b/>
          <w:sz w:val="22"/>
          <w:szCs w:val="22"/>
          <w:u w:val="single"/>
          <w:lang w:val="es-ES_tradnl"/>
        </w:rPr>
        <w:t>COMENTARIO 3:</w:t>
      </w:r>
      <w:r w:rsidRPr="00016D8A">
        <w:rPr>
          <w:sz w:val="22"/>
          <w:szCs w:val="22"/>
          <w:lang w:val="es-ES_tradnl"/>
        </w:rPr>
        <w:t xml:space="preserve"> </w:t>
      </w:r>
      <w:r w:rsidR="00390D4D" w:rsidRPr="00016D8A">
        <w:rPr>
          <w:sz w:val="22"/>
          <w:szCs w:val="22"/>
          <w:lang w:val="es-ES_tradnl"/>
        </w:rPr>
        <w:t>Las restricciones a la libertad de asociación tienen diversos impactos en el derecho a defender derechos humanos</w:t>
      </w:r>
      <w:r w:rsidR="00F377A8" w:rsidRPr="00016D8A">
        <w:rPr>
          <w:sz w:val="22"/>
          <w:szCs w:val="22"/>
          <w:lang w:val="es-ES_tradnl"/>
        </w:rPr>
        <w:t>, siendo éstas parte de las estrategias deliberadas para limitarlo.</w:t>
      </w:r>
    </w:p>
    <w:p w14:paraId="5F31D119" w14:textId="152FA1CC" w:rsidR="00862A14" w:rsidRPr="00016D8A" w:rsidRDefault="00862A14" w:rsidP="00016D8A">
      <w:pPr>
        <w:jc w:val="both"/>
        <w:rPr>
          <w:sz w:val="22"/>
          <w:szCs w:val="22"/>
          <w:lang w:val="es-ES_tradnl"/>
        </w:rPr>
      </w:pPr>
    </w:p>
    <w:p w14:paraId="5F5ED04C" w14:textId="17FB8D3E" w:rsidR="00862A14" w:rsidRPr="00016D8A" w:rsidRDefault="003E31FB" w:rsidP="003E31FB">
      <w:pPr>
        <w:jc w:val="both"/>
        <w:rPr>
          <w:sz w:val="22"/>
          <w:szCs w:val="22"/>
          <w:lang w:val="es-ES_tradnl"/>
        </w:rPr>
      </w:pPr>
      <w:r>
        <w:rPr>
          <w:b/>
          <w:sz w:val="22"/>
          <w:szCs w:val="22"/>
          <w:u w:val="single"/>
          <w:lang w:val="es-ES"/>
        </w:rPr>
        <w:t>Aclaración</w:t>
      </w:r>
      <w:r w:rsidR="00862A14" w:rsidRPr="00016D8A">
        <w:rPr>
          <w:b/>
          <w:sz w:val="22"/>
          <w:szCs w:val="22"/>
          <w:u w:val="single"/>
          <w:lang w:val="es-ES"/>
        </w:rPr>
        <w:t xml:space="preserve"> acc</w:t>
      </w:r>
      <w:r w:rsidR="009432E0" w:rsidRPr="00016D8A">
        <w:rPr>
          <w:b/>
          <w:sz w:val="22"/>
          <w:szCs w:val="22"/>
          <w:u w:val="single"/>
          <w:lang w:val="es-ES"/>
        </w:rPr>
        <w:t>iones</w:t>
      </w:r>
      <w:r w:rsidR="00862A14" w:rsidRPr="00016D8A">
        <w:rPr>
          <w:b/>
          <w:sz w:val="22"/>
          <w:szCs w:val="22"/>
          <w:u w:val="single"/>
          <w:lang w:val="es-ES"/>
        </w:rPr>
        <w:t xml:space="preserve"> propuesta</w:t>
      </w:r>
      <w:r w:rsidR="009432E0" w:rsidRPr="00016D8A">
        <w:rPr>
          <w:b/>
          <w:sz w:val="22"/>
          <w:szCs w:val="22"/>
          <w:u w:val="single"/>
          <w:lang w:val="es-ES"/>
        </w:rPr>
        <w:t>s</w:t>
      </w:r>
      <w:r w:rsidR="00862A14" w:rsidRPr="00016D8A">
        <w:rPr>
          <w:b/>
          <w:sz w:val="22"/>
          <w:szCs w:val="22"/>
          <w:u w:val="single"/>
          <w:lang w:val="es-ES"/>
        </w:rPr>
        <w:t xml:space="preserve"> 5</w:t>
      </w:r>
      <w:r w:rsidR="009432E0" w:rsidRPr="00016D8A">
        <w:rPr>
          <w:b/>
          <w:sz w:val="22"/>
          <w:szCs w:val="22"/>
          <w:u w:val="single"/>
          <w:lang w:val="es-ES"/>
        </w:rPr>
        <w:t xml:space="preserve"> y 6</w:t>
      </w:r>
      <w:r w:rsidR="00862A14" w:rsidRPr="00016D8A">
        <w:rPr>
          <w:b/>
          <w:sz w:val="22"/>
          <w:szCs w:val="22"/>
          <w:lang w:val="es-ES"/>
        </w:rPr>
        <w:t xml:space="preserve">: </w:t>
      </w:r>
      <w:r w:rsidR="00862A14" w:rsidRPr="00016D8A">
        <w:rPr>
          <w:sz w:val="22"/>
          <w:szCs w:val="22"/>
          <w:lang w:val="es-ES"/>
        </w:rPr>
        <w:t>Las restricciones a la libertad de asociación</w:t>
      </w:r>
      <w:r w:rsidR="009432E0" w:rsidRPr="00016D8A">
        <w:rPr>
          <w:sz w:val="22"/>
          <w:szCs w:val="22"/>
          <w:lang w:val="es-ES"/>
        </w:rPr>
        <w:t>, incluidas las</w:t>
      </w:r>
      <w:r w:rsidR="00862A14" w:rsidRPr="00016D8A">
        <w:rPr>
          <w:sz w:val="22"/>
          <w:szCs w:val="22"/>
          <w:lang w:val="es-ES"/>
        </w:rPr>
        <w:t xml:space="preserve"> derivadas del uso de las nuevas tecnologías</w:t>
      </w:r>
      <w:r w:rsidR="009432E0" w:rsidRPr="00016D8A">
        <w:rPr>
          <w:sz w:val="22"/>
          <w:szCs w:val="22"/>
          <w:lang w:val="es-ES"/>
        </w:rPr>
        <w:t>,</w:t>
      </w:r>
      <w:r w:rsidR="00862A14" w:rsidRPr="00016D8A">
        <w:rPr>
          <w:sz w:val="22"/>
          <w:szCs w:val="22"/>
          <w:lang w:val="es-ES"/>
        </w:rPr>
        <w:t xml:space="preserve"> tienen un impacto que trasciende el ejercicio de este derecho de manera aislada. Al afectar la capacidad de las asociaciones y de las personas defensoras para organizarse, colaborar, documentar violaciones, movilizarse y participar en los asuntos públicos, estas restricciones debilitan el espacio cívico en su conjunto y limitan el ejercicio efectivo del derecho a defender los derechos humanos. La propuesta refleja la evolución de los estándares internacionales, que reconocen cada vez con mayor claridad que la protección de la libertad de asociación en el entorno digital constituye un elemento esencial para garantizar un entorno seguro y propicio para la defensa de los derechos humanos</w:t>
      </w:r>
      <w:r w:rsidR="009432E0" w:rsidRPr="00016D8A">
        <w:rPr>
          <w:sz w:val="22"/>
          <w:szCs w:val="22"/>
          <w:lang w:val="es-ES"/>
        </w:rPr>
        <w:t xml:space="preserve"> (Informe A/HRC/62/45 (2026) </w:t>
      </w:r>
      <w:proofErr w:type="spellStart"/>
      <w:r w:rsidR="009432E0" w:rsidRPr="00016D8A">
        <w:rPr>
          <w:sz w:val="22"/>
          <w:szCs w:val="22"/>
          <w:lang w:val="es-ES"/>
        </w:rPr>
        <w:t>párrs</w:t>
      </w:r>
      <w:proofErr w:type="spellEnd"/>
      <w:r w:rsidR="009432E0" w:rsidRPr="00016D8A">
        <w:rPr>
          <w:sz w:val="22"/>
          <w:szCs w:val="22"/>
          <w:lang w:val="es-ES"/>
        </w:rPr>
        <w:t>. 50, 58 y 109).</w:t>
      </w:r>
    </w:p>
    <w:p w14:paraId="13ABFEE0" w14:textId="77777777" w:rsidR="00413889" w:rsidRPr="00016D8A" w:rsidRDefault="00413889" w:rsidP="00016D8A">
      <w:pPr>
        <w:jc w:val="both"/>
        <w:rPr>
          <w:sz w:val="22"/>
          <w:szCs w:val="22"/>
          <w:lang w:val="es-ES"/>
        </w:rPr>
      </w:pPr>
    </w:p>
    <w:p w14:paraId="4740AB53" w14:textId="163B112A" w:rsidR="00951974" w:rsidRPr="00016D8A" w:rsidRDefault="00951974" w:rsidP="00016D8A">
      <w:pPr>
        <w:ind w:left="720"/>
        <w:jc w:val="both"/>
        <w:rPr>
          <w:sz w:val="22"/>
          <w:szCs w:val="22"/>
          <w:lang w:val="es-ES"/>
        </w:rPr>
      </w:pPr>
      <w:r w:rsidRPr="00016D8A">
        <w:rPr>
          <w:b/>
          <w:sz w:val="22"/>
          <w:szCs w:val="22"/>
          <w:lang w:val="es-ES"/>
        </w:rPr>
        <w:t>P</w:t>
      </w:r>
      <w:r w:rsidR="00B42BF1" w:rsidRPr="00016D8A">
        <w:rPr>
          <w:b/>
          <w:sz w:val="22"/>
          <w:szCs w:val="22"/>
          <w:lang w:val="es-ES"/>
        </w:rPr>
        <w:t>árrafo 11.</w:t>
      </w:r>
      <w:r w:rsidR="00B42BF1" w:rsidRPr="00016D8A">
        <w:rPr>
          <w:sz w:val="22"/>
          <w:szCs w:val="22"/>
          <w:lang w:val="es-ES"/>
        </w:rPr>
        <w:t xml:space="preserve"> </w:t>
      </w:r>
      <w:r w:rsidR="00610108" w:rsidRPr="00016D8A">
        <w:rPr>
          <w:sz w:val="22"/>
          <w:szCs w:val="22"/>
          <w:lang w:val="es-ES"/>
        </w:rPr>
        <w:t>L</w:t>
      </w:r>
      <w:r w:rsidRPr="00016D8A">
        <w:rPr>
          <w:sz w:val="22"/>
          <w:szCs w:val="22"/>
          <w:lang w:val="es-ES"/>
        </w:rPr>
        <w:t xml:space="preserve">as PDDH son un objetivo prioritario de estas tácticas. La vigilancia digital a través de spyware, los ataques de desinformación coordinados en redes sociales y la persecución transfronteriza a través de medios digitales son herramientas sistemáticamente empleadas para silenciar a las personas defensoras. La obligación del Estado no se limita a abstenerse de realizar </w:t>
      </w:r>
      <w:r w:rsidRPr="00016D8A">
        <w:rPr>
          <w:sz w:val="22"/>
          <w:szCs w:val="22"/>
          <w:lang w:val="es-ES"/>
        </w:rPr>
        <w:lastRenderedPageBreak/>
        <w:t>estas acciones, sino que, en virtud de su obligación positiva, debe activamente proteger a las PDDH de estas amenazas, incluso cuando provienen de actores privados o de terceros Estados, e investigar y sancionar su uso.</w:t>
      </w:r>
    </w:p>
    <w:p w14:paraId="0275AFD1" w14:textId="77777777" w:rsidR="00951974" w:rsidRPr="00016D8A" w:rsidRDefault="00951974" w:rsidP="00016D8A">
      <w:pPr>
        <w:ind w:left="720"/>
        <w:jc w:val="both"/>
        <w:rPr>
          <w:sz w:val="22"/>
          <w:szCs w:val="22"/>
          <w:lang w:val="es-ES"/>
        </w:rPr>
      </w:pPr>
    </w:p>
    <w:p w14:paraId="7F2AEAA0" w14:textId="1298B4DC" w:rsidR="00B42BF1" w:rsidRPr="00016D8A" w:rsidRDefault="00354584" w:rsidP="00016D8A">
      <w:pPr>
        <w:ind w:left="720"/>
        <w:jc w:val="both"/>
        <w:rPr>
          <w:sz w:val="22"/>
          <w:szCs w:val="22"/>
          <w:lang w:val="es-ES"/>
        </w:rPr>
      </w:pPr>
      <w:r>
        <w:rPr>
          <w:b/>
          <w:sz w:val="22"/>
          <w:szCs w:val="22"/>
          <w:u w:val="single"/>
          <w:lang w:val="es-ES_tradnl"/>
        </w:rPr>
        <w:t>PROPUESTA DE MODIFICACIÓN</w:t>
      </w:r>
      <w:r w:rsidRPr="00016D8A">
        <w:rPr>
          <w:b/>
          <w:sz w:val="22"/>
          <w:szCs w:val="22"/>
          <w:u w:val="single"/>
          <w:lang w:val="es-ES_tradnl"/>
        </w:rPr>
        <w:t xml:space="preserve"> </w:t>
      </w:r>
      <w:r>
        <w:rPr>
          <w:b/>
          <w:sz w:val="22"/>
          <w:szCs w:val="22"/>
          <w:u w:val="single"/>
          <w:lang w:val="es-ES_tradnl"/>
        </w:rPr>
        <w:t>5</w:t>
      </w:r>
      <w:r w:rsidRPr="00016D8A">
        <w:rPr>
          <w:b/>
          <w:sz w:val="22"/>
          <w:szCs w:val="22"/>
          <w:u w:val="single"/>
          <w:lang w:val="es-ES_tradnl"/>
        </w:rPr>
        <w:t xml:space="preserve"> </w:t>
      </w:r>
      <w:r w:rsidR="005F4C79" w:rsidRPr="00016D8A">
        <w:rPr>
          <w:b/>
          <w:sz w:val="22"/>
          <w:szCs w:val="22"/>
          <w:u w:val="single"/>
          <w:lang w:val="es-ES_tradnl"/>
        </w:rPr>
        <w:t>– Párrafo 11</w:t>
      </w:r>
      <w:r w:rsidR="00610108" w:rsidRPr="00016D8A">
        <w:rPr>
          <w:b/>
          <w:sz w:val="22"/>
          <w:szCs w:val="22"/>
          <w:u w:val="single"/>
          <w:lang w:val="es-ES_tradnl"/>
        </w:rPr>
        <w:t>:</w:t>
      </w:r>
      <w:r w:rsidR="00610108" w:rsidRPr="00016D8A">
        <w:rPr>
          <w:sz w:val="22"/>
          <w:szCs w:val="22"/>
          <w:lang w:val="es-ES_tradnl"/>
        </w:rPr>
        <w:t xml:space="preserve">  </w:t>
      </w:r>
      <w:r w:rsidR="009432E0" w:rsidRPr="00016D8A">
        <w:rPr>
          <w:sz w:val="22"/>
          <w:szCs w:val="22"/>
          <w:lang w:val="es-ES_tradnl"/>
        </w:rPr>
        <w:t xml:space="preserve">En el párrafo 11 </w:t>
      </w:r>
      <w:r w:rsidR="009432E0" w:rsidRPr="00016D8A">
        <w:rPr>
          <w:sz w:val="22"/>
          <w:szCs w:val="22"/>
          <w:lang w:val="es-ES"/>
        </w:rPr>
        <w:t>s</w:t>
      </w:r>
      <w:r w:rsidR="00317078" w:rsidRPr="00016D8A">
        <w:rPr>
          <w:sz w:val="22"/>
          <w:szCs w:val="22"/>
          <w:lang w:val="es-ES"/>
        </w:rPr>
        <w:t>e recomienda s</w:t>
      </w:r>
      <w:r w:rsidR="00B42BF1" w:rsidRPr="00016D8A">
        <w:rPr>
          <w:sz w:val="22"/>
          <w:szCs w:val="22"/>
          <w:lang w:val="es-ES"/>
        </w:rPr>
        <w:t>umar</w:t>
      </w:r>
      <w:r w:rsidR="00413889" w:rsidRPr="00016D8A">
        <w:rPr>
          <w:sz w:val="22"/>
          <w:szCs w:val="22"/>
          <w:lang w:val="es-ES"/>
        </w:rPr>
        <w:t>:</w:t>
      </w:r>
    </w:p>
    <w:p w14:paraId="2C77E746" w14:textId="77777777" w:rsidR="00B42BF1" w:rsidRPr="00016D8A" w:rsidRDefault="00B42BF1" w:rsidP="00016D8A">
      <w:pPr>
        <w:jc w:val="both"/>
        <w:rPr>
          <w:sz w:val="22"/>
          <w:szCs w:val="22"/>
          <w:lang w:val="es-ES"/>
        </w:rPr>
      </w:pPr>
    </w:p>
    <w:p w14:paraId="7354947A" w14:textId="4F656073" w:rsidR="00D66F16" w:rsidRPr="00016D8A" w:rsidRDefault="00B42BF1" w:rsidP="00016D8A">
      <w:pPr>
        <w:pStyle w:val="SingleTxtG"/>
        <w:rPr>
          <w:rFonts w:asciiTheme="minorHAnsi" w:hAnsiTheme="minorHAnsi"/>
          <w:color w:val="FF0000"/>
          <w:sz w:val="22"/>
          <w:szCs w:val="22"/>
        </w:rPr>
      </w:pPr>
      <w:r w:rsidRPr="00016D8A">
        <w:rPr>
          <w:rFonts w:asciiTheme="minorHAnsi" w:hAnsiTheme="minorHAnsi"/>
          <w:sz w:val="22"/>
          <w:szCs w:val="22"/>
        </w:rPr>
        <w:t>11.</w:t>
      </w:r>
      <w:r w:rsidRPr="00016D8A">
        <w:rPr>
          <w:rFonts w:asciiTheme="minorHAnsi" w:hAnsiTheme="minorHAnsi"/>
          <w:sz w:val="22"/>
          <w:szCs w:val="22"/>
        </w:rPr>
        <w:tab/>
      </w:r>
      <w:r w:rsidR="00610108" w:rsidRPr="00016D8A">
        <w:rPr>
          <w:rFonts w:asciiTheme="minorHAnsi" w:hAnsiTheme="minorHAnsi"/>
          <w:sz w:val="22"/>
          <w:szCs w:val="22"/>
        </w:rPr>
        <w:t>[…]</w:t>
      </w:r>
      <w:r w:rsidRPr="00016D8A">
        <w:rPr>
          <w:rFonts w:asciiTheme="minorHAnsi" w:hAnsiTheme="minorHAnsi"/>
          <w:sz w:val="22"/>
          <w:szCs w:val="22"/>
        </w:rPr>
        <w:t xml:space="preserve"> La sociedad civil digital y la acción cívica digital se han convertido en una herramienta importante para las personas y las asociaciones </w:t>
      </w:r>
      <w:r w:rsidRPr="00016D8A">
        <w:rPr>
          <w:rFonts w:asciiTheme="minorHAnsi" w:hAnsiTheme="minorHAnsi"/>
          <w:color w:val="FF0000"/>
          <w:sz w:val="22"/>
          <w:szCs w:val="22"/>
        </w:rPr>
        <w:t>y particularmente para el ejercicio del derecho a defender derechos.</w:t>
      </w:r>
      <w:r w:rsidR="00610108" w:rsidRPr="00016D8A">
        <w:rPr>
          <w:rStyle w:val="FootnoteReference"/>
          <w:rFonts w:asciiTheme="minorHAnsi" w:hAnsiTheme="minorHAnsi"/>
          <w:color w:val="FF0000"/>
          <w:sz w:val="22"/>
          <w:szCs w:val="22"/>
        </w:rPr>
        <w:footnoteReference w:id="6"/>
      </w:r>
      <w:r w:rsidRPr="00016D8A">
        <w:rPr>
          <w:rFonts w:asciiTheme="minorHAnsi" w:hAnsiTheme="minorHAnsi"/>
          <w:sz w:val="22"/>
          <w:szCs w:val="22"/>
        </w:rPr>
        <w:t xml:space="preserve"> Sin embargo, al mismo tiempo, las nuevas tecnologías pueden utilizarse para obstaculizar y socavar el ejercicio y la plena realización del derecho a la libertad de asociación. Por ejemplo, la vigilancia digital, los cortes de Internet, la falta de acceso a herramientas digitales, la represión transnacional en línea y la supervisión indebidamente restrictiva de las redes sociales y los sitios web tienen un efecto disuasorio sobre el ejercicio de la libertad de asociación </w:t>
      </w:r>
      <w:r w:rsidRPr="00016D8A">
        <w:rPr>
          <w:rFonts w:asciiTheme="minorHAnsi" w:hAnsiTheme="minorHAnsi"/>
          <w:color w:val="FF0000"/>
          <w:sz w:val="22"/>
          <w:szCs w:val="22"/>
        </w:rPr>
        <w:t xml:space="preserve">y de forma más amplia sobre la posibilidad de los individuos y la sociedad en su conjunto de </w:t>
      </w:r>
      <w:r w:rsidR="000670F0">
        <w:rPr>
          <w:rFonts w:asciiTheme="minorHAnsi" w:hAnsiTheme="minorHAnsi"/>
          <w:color w:val="FF0000"/>
          <w:sz w:val="22"/>
          <w:szCs w:val="22"/>
        </w:rPr>
        <w:t xml:space="preserve">ejercer su derecho a </w:t>
      </w:r>
      <w:r w:rsidRPr="00016D8A">
        <w:rPr>
          <w:rFonts w:asciiTheme="minorHAnsi" w:hAnsiTheme="minorHAnsi"/>
          <w:color w:val="FF0000"/>
          <w:sz w:val="22"/>
          <w:szCs w:val="22"/>
        </w:rPr>
        <w:t>defender derechos</w:t>
      </w:r>
      <w:r w:rsidR="00317078" w:rsidRPr="00016D8A">
        <w:rPr>
          <w:rFonts w:asciiTheme="minorHAnsi" w:hAnsiTheme="minorHAnsi"/>
          <w:color w:val="FF0000"/>
          <w:sz w:val="22"/>
          <w:szCs w:val="22"/>
        </w:rPr>
        <w:t xml:space="preserve"> humanos</w:t>
      </w:r>
      <w:r w:rsidRPr="00016D8A">
        <w:rPr>
          <w:rFonts w:asciiTheme="minorHAnsi" w:hAnsiTheme="minorHAnsi"/>
          <w:color w:val="FF0000"/>
          <w:sz w:val="22"/>
          <w:szCs w:val="22"/>
        </w:rPr>
        <w:t>.</w:t>
      </w:r>
      <w:r w:rsidR="00610108" w:rsidRPr="00016D8A">
        <w:rPr>
          <w:rStyle w:val="FootnoteReference"/>
          <w:rFonts w:asciiTheme="minorHAnsi" w:hAnsiTheme="minorHAnsi"/>
          <w:color w:val="FF0000"/>
          <w:sz w:val="22"/>
          <w:szCs w:val="22"/>
        </w:rPr>
        <w:footnoteReference w:id="7"/>
      </w:r>
    </w:p>
    <w:p w14:paraId="30B5738D" w14:textId="77777777" w:rsidR="00B42BF1" w:rsidRPr="00016D8A" w:rsidRDefault="00B42BF1" w:rsidP="00016D8A">
      <w:pPr>
        <w:jc w:val="both"/>
        <w:rPr>
          <w:sz w:val="22"/>
          <w:szCs w:val="22"/>
          <w:lang w:val="es-ES"/>
        </w:rPr>
      </w:pPr>
    </w:p>
    <w:p w14:paraId="3C1EC044" w14:textId="77777777" w:rsidR="00655F55" w:rsidRPr="00016D8A" w:rsidRDefault="00655F55" w:rsidP="00016D8A">
      <w:pPr>
        <w:ind w:firstLine="720"/>
        <w:jc w:val="both"/>
        <w:rPr>
          <w:b/>
          <w:sz w:val="22"/>
          <w:szCs w:val="22"/>
          <w:lang w:val="es-ES"/>
        </w:rPr>
      </w:pPr>
      <w:r w:rsidRPr="00016D8A">
        <w:rPr>
          <w:b/>
          <w:sz w:val="22"/>
          <w:szCs w:val="22"/>
          <w:lang w:val="es-ES"/>
        </w:rPr>
        <w:t>II.</w:t>
      </w:r>
      <w:r w:rsidRPr="00016D8A">
        <w:rPr>
          <w:b/>
          <w:sz w:val="22"/>
          <w:szCs w:val="22"/>
          <w:lang w:val="es-ES"/>
        </w:rPr>
        <w:tab/>
        <w:t>Ámbito de aplicación de la libertad de asociación (art. 22 (1))</w:t>
      </w:r>
    </w:p>
    <w:p w14:paraId="02C2B498" w14:textId="77777777" w:rsidR="00655F55" w:rsidRPr="00016D8A" w:rsidRDefault="00655F55" w:rsidP="00016D8A">
      <w:pPr>
        <w:jc w:val="both"/>
        <w:rPr>
          <w:sz w:val="22"/>
          <w:szCs w:val="22"/>
          <w:lang w:val="es-ES"/>
        </w:rPr>
      </w:pPr>
    </w:p>
    <w:p w14:paraId="0296CE11" w14:textId="301DEFB6" w:rsidR="00B42BF1" w:rsidRPr="00016D8A" w:rsidRDefault="00354584" w:rsidP="00016D8A">
      <w:pPr>
        <w:ind w:left="414" w:firstLine="306"/>
        <w:jc w:val="both"/>
        <w:rPr>
          <w:sz w:val="22"/>
          <w:szCs w:val="22"/>
          <w:lang w:val="es-ES"/>
        </w:rPr>
      </w:pPr>
      <w:r>
        <w:rPr>
          <w:b/>
          <w:sz w:val="22"/>
          <w:szCs w:val="22"/>
          <w:u w:val="single"/>
          <w:lang w:val="es-ES_tradnl"/>
        </w:rPr>
        <w:t>PROPUESTA DE MODIFICACIÓN</w:t>
      </w:r>
      <w:r w:rsidRPr="00016D8A">
        <w:rPr>
          <w:b/>
          <w:sz w:val="22"/>
          <w:szCs w:val="22"/>
          <w:u w:val="single"/>
          <w:lang w:val="es-ES_tradnl"/>
        </w:rPr>
        <w:t xml:space="preserve"> </w:t>
      </w:r>
      <w:r>
        <w:rPr>
          <w:b/>
          <w:sz w:val="22"/>
          <w:szCs w:val="22"/>
          <w:u w:val="single"/>
          <w:lang w:val="es-ES_tradnl"/>
        </w:rPr>
        <w:t>6</w:t>
      </w:r>
      <w:r w:rsidRPr="00016D8A">
        <w:rPr>
          <w:b/>
          <w:sz w:val="22"/>
          <w:szCs w:val="22"/>
          <w:u w:val="single"/>
          <w:lang w:val="es-ES_tradnl"/>
        </w:rPr>
        <w:t xml:space="preserve"> </w:t>
      </w:r>
      <w:r w:rsidR="009432E0" w:rsidRPr="00016D8A">
        <w:rPr>
          <w:b/>
          <w:sz w:val="22"/>
          <w:szCs w:val="22"/>
          <w:u w:val="single"/>
          <w:lang w:val="es-ES_tradnl"/>
        </w:rPr>
        <w:t>– Párrafo 14:</w:t>
      </w:r>
      <w:r w:rsidR="009432E0" w:rsidRPr="00016D8A">
        <w:rPr>
          <w:sz w:val="22"/>
          <w:szCs w:val="22"/>
          <w:lang w:val="es-ES_tradnl"/>
        </w:rPr>
        <w:t xml:space="preserve">  </w:t>
      </w:r>
      <w:r w:rsidR="00B42BF1" w:rsidRPr="00016D8A">
        <w:rPr>
          <w:sz w:val="22"/>
          <w:szCs w:val="22"/>
          <w:lang w:val="es-ES"/>
        </w:rPr>
        <w:t>En el párrafo 14</w:t>
      </w:r>
      <w:r w:rsidR="00263FA5" w:rsidRPr="00016D8A">
        <w:rPr>
          <w:sz w:val="22"/>
          <w:szCs w:val="22"/>
          <w:lang w:val="es-ES"/>
        </w:rPr>
        <w:t xml:space="preserve"> s</w:t>
      </w:r>
      <w:r w:rsidR="005F4C79" w:rsidRPr="00016D8A">
        <w:rPr>
          <w:sz w:val="22"/>
          <w:szCs w:val="22"/>
          <w:lang w:val="es-ES"/>
        </w:rPr>
        <w:t>e recomienda sumar</w:t>
      </w:r>
      <w:r w:rsidR="00263FA5" w:rsidRPr="00016D8A">
        <w:rPr>
          <w:sz w:val="22"/>
          <w:szCs w:val="22"/>
          <w:lang w:val="es-ES"/>
        </w:rPr>
        <w:t>:</w:t>
      </w:r>
    </w:p>
    <w:p w14:paraId="6E6C010C" w14:textId="77777777" w:rsidR="00B42BF1" w:rsidRPr="00016D8A" w:rsidRDefault="00B42BF1" w:rsidP="00016D8A">
      <w:pPr>
        <w:jc w:val="both"/>
        <w:rPr>
          <w:sz w:val="22"/>
          <w:szCs w:val="22"/>
          <w:lang w:val="es-ES"/>
        </w:rPr>
      </w:pPr>
    </w:p>
    <w:p w14:paraId="407113E7" w14:textId="36A9104C" w:rsidR="00B42BF1" w:rsidRPr="00016D8A" w:rsidRDefault="00B42BF1" w:rsidP="00016D8A">
      <w:pPr>
        <w:pStyle w:val="SingleTxtG"/>
        <w:rPr>
          <w:rFonts w:asciiTheme="minorHAnsi" w:hAnsiTheme="minorHAnsi"/>
          <w:color w:val="000000" w:themeColor="text1"/>
          <w:sz w:val="22"/>
          <w:szCs w:val="22"/>
        </w:rPr>
      </w:pPr>
      <w:r w:rsidRPr="00016D8A">
        <w:rPr>
          <w:rFonts w:asciiTheme="minorHAnsi" w:hAnsiTheme="minorHAnsi"/>
          <w:sz w:val="22"/>
          <w:szCs w:val="22"/>
        </w:rPr>
        <w:t>14.</w:t>
      </w:r>
      <w:r w:rsidRPr="00016D8A">
        <w:rPr>
          <w:rFonts w:asciiTheme="minorHAnsi" w:hAnsiTheme="minorHAnsi"/>
          <w:b/>
          <w:bCs/>
          <w:sz w:val="22"/>
          <w:szCs w:val="22"/>
        </w:rPr>
        <w:tab/>
      </w:r>
      <w:r w:rsidRPr="00016D8A">
        <w:rPr>
          <w:rFonts w:asciiTheme="minorHAnsi" w:hAnsiTheme="minorHAnsi"/>
          <w:sz w:val="22"/>
          <w:szCs w:val="22"/>
        </w:rPr>
        <w:t>El artículo 22, apartado 1, abarca todo el ciclo de vida de una asociación, incluido el derecho a disolverla cuando sus miembros consideren que no redunda en su interés continuar con ella. El derecho a la libertad de asociación no solo garantiza la formación de asociaciones, sino también el derecho de dichas asociaciones a llevar a cabo sus actividades libremente. Por ejemplo, abarca el derecho a recabar, recibir y utilizar fondos y otros recursos materiales, incluidos los procedentes de fuera del Estado parte, sin el riesgo de ser tildado de «agente extranjero» o de amenaza para la seguridad nacional</w:t>
      </w:r>
      <w:r w:rsidR="007F1446">
        <w:rPr>
          <w:rFonts w:asciiTheme="minorHAnsi" w:hAnsiTheme="minorHAnsi"/>
          <w:sz w:val="22"/>
          <w:szCs w:val="22"/>
        </w:rPr>
        <w:t>.</w:t>
      </w:r>
      <w:r w:rsidRPr="00016D8A">
        <w:rPr>
          <w:rFonts w:asciiTheme="minorHAnsi" w:hAnsiTheme="minorHAnsi"/>
          <w:sz w:val="22"/>
          <w:szCs w:val="22"/>
        </w:rPr>
        <w:t xml:space="preserve"> </w:t>
      </w:r>
      <w:r w:rsidRPr="00016D8A">
        <w:rPr>
          <w:rFonts w:asciiTheme="minorHAnsi" w:hAnsiTheme="minorHAnsi"/>
          <w:color w:val="FF0000"/>
          <w:sz w:val="22"/>
          <w:szCs w:val="22"/>
        </w:rPr>
        <w:t>Con frecuencia, este tipo de ataques están encaminados a estigmatizar y criminalizar a personas defensoras y por tanto penalizar y tener un efecto disuasorio sobre el ejercicio del derecho a defender derechos</w:t>
      </w:r>
      <w:r w:rsidR="00655F55" w:rsidRPr="00016D8A">
        <w:rPr>
          <w:rFonts w:asciiTheme="minorHAnsi" w:hAnsiTheme="minorHAnsi"/>
          <w:color w:val="FF0000"/>
          <w:sz w:val="22"/>
          <w:szCs w:val="22"/>
        </w:rPr>
        <w:t xml:space="preserve"> humanos</w:t>
      </w:r>
      <w:r w:rsidRPr="00016D8A">
        <w:rPr>
          <w:rFonts w:asciiTheme="minorHAnsi" w:hAnsiTheme="minorHAnsi"/>
          <w:color w:val="FF0000"/>
          <w:sz w:val="22"/>
          <w:szCs w:val="22"/>
        </w:rPr>
        <w:t xml:space="preserve"> restringiendo gravemente el espacio cívico.</w:t>
      </w:r>
      <w:r w:rsidR="00A07389" w:rsidRPr="00016D8A">
        <w:rPr>
          <w:rStyle w:val="FootnoteReference"/>
          <w:rFonts w:asciiTheme="minorHAnsi" w:hAnsiTheme="minorHAnsi"/>
          <w:color w:val="FF0000"/>
          <w:sz w:val="22"/>
          <w:szCs w:val="22"/>
        </w:rPr>
        <w:footnoteReference w:id="8"/>
      </w:r>
      <w:r w:rsidRPr="00016D8A">
        <w:rPr>
          <w:rFonts w:asciiTheme="minorHAnsi" w:hAnsiTheme="minorHAnsi"/>
          <w:color w:val="FF0000"/>
          <w:sz w:val="22"/>
          <w:szCs w:val="22"/>
        </w:rPr>
        <w:t xml:space="preserve"> </w:t>
      </w:r>
      <w:r w:rsidRPr="00016D8A">
        <w:rPr>
          <w:rFonts w:asciiTheme="minorHAnsi" w:hAnsiTheme="minorHAnsi"/>
          <w:color w:val="000000" w:themeColor="text1"/>
          <w:sz w:val="22"/>
          <w:szCs w:val="22"/>
        </w:rPr>
        <w:t>También abarca el derecho de la asociación a documentar, conservar y tener acceso a sus propios archivos.</w:t>
      </w:r>
    </w:p>
    <w:p w14:paraId="4D15625A" w14:textId="77777777" w:rsidR="00B42BF1" w:rsidRPr="00016D8A" w:rsidRDefault="00B42BF1" w:rsidP="00016D8A">
      <w:pPr>
        <w:jc w:val="both"/>
        <w:rPr>
          <w:sz w:val="22"/>
          <w:szCs w:val="22"/>
          <w:lang w:val="es-ES"/>
        </w:rPr>
      </w:pPr>
    </w:p>
    <w:p w14:paraId="54EDC727" w14:textId="55BAC918" w:rsidR="00317078" w:rsidRPr="00016D8A" w:rsidRDefault="00655F55" w:rsidP="00016D8A">
      <w:pPr>
        <w:ind w:left="1134"/>
        <w:jc w:val="both"/>
        <w:rPr>
          <w:b/>
          <w:bCs/>
          <w:sz w:val="22"/>
          <w:szCs w:val="22"/>
          <w:lang w:val="es-ES"/>
        </w:rPr>
      </w:pPr>
      <w:r w:rsidRPr="00016D8A">
        <w:rPr>
          <w:b/>
          <w:bCs/>
          <w:sz w:val="22"/>
          <w:szCs w:val="22"/>
          <w:lang w:val="es-ES"/>
        </w:rPr>
        <w:lastRenderedPageBreak/>
        <w:t>IV.</w:t>
      </w:r>
      <w:r w:rsidRPr="00016D8A">
        <w:rPr>
          <w:b/>
          <w:bCs/>
          <w:sz w:val="22"/>
          <w:szCs w:val="22"/>
          <w:lang w:val="es-ES"/>
        </w:rPr>
        <w:tab/>
        <w:t xml:space="preserve">Obligaciones negativas y positivas de los </w:t>
      </w:r>
      <w:proofErr w:type="gramStart"/>
      <w:r w:rsidRPr="00016D8A">
        <w:rPr>
          <w:b/>
          <w:bCs/>
          <w:sz w:val="22"/>
          <w:szCs w:val="22"/>
          <w:lang w:val="es-ES"/>
        </w:rPr>
        <w:t>Estados Partes</w:t>
      </w:r>
      <w:proofErr w:type="gramEnd"/>
    </w:p>
    <w:p w14:paraId="72211598" w14:textId="77777777" w:rsidR="00317078" w:rsidRPr="00016D8A" w:rsidRDefault="00317078" w:rsidP="00B1047F">
      <w:pPr>
        <w:jc w:val="both"/>
        <w:rPr>
          <w:sz w:val="22"/>
          <w:szCs w:val="22"/>
          <w:lang w:val="es-ES"/>
        </w:rPr>
      </w:pPr>
    </w:p>
    <w:p w14:paraId="7A465490" w14:textId="1D0D98C4" w:rsidR="00317078" w:rsidRDefault="003E31FB" w:rsidP="003E31FB">
      <w:pPr>
        <w:jc w:val="both"/>
        <w:rPr>
          <w:sz w:val="22"/>
          <w:szCs w:val="22"/>
          <w:lang w:val="es-ES"/>
        </w:rPr>
      </w:pPr>
      <w:r>
        <w:rPr>
          <w:b/>
          <w:sz w:val="22"/>
          <w:szCs w:val="22"/>
          <w:u w:val="single"/>
          <w:lang w:val="es-ES"/>
        </w:rPr>
        <w:t>Aclaración</w:t>
      </w:r>
      <w:r w:rsidR="009432E0" w:rsidRPr="00016D8A">
        <w:rPr>
          <w:b/>
          <w:sz w:val="22"/>
          <w:szCs w:val="22"/>
          <w:u w:val="single"/>
          <w:lang w:val="es-ES"/>
        </w:rPr>
        <w:t xml:space="preserve"> acción propuesta 7</w:t>
      </w:r>
      <w:r w:rsidR="00317078" w:rsidRPr="00016D8A">
        <w:rPr>
          <w:b/>
          <w:sz w:val="22"/>
          <w:szCs w:val="22"/>
          <w:lang w:val="es-ES"/>
        </w:rPr>
        <w:t>:</w:t>
      </w:r>
      <w:r w:rsidR="00317078" w:rsidRPr="00016D8A">
        <w:rPr>
          <w:sz w:val="22"/>
          <w:szCs w:val="22"/>
          <w:lang w:val="es-ES"/>
        </w:rPr>
        <w:t xml:space="preserve"> Esta lista debe ser presentada no como un catálogo de violaciones genéricas, sino como un </w:t>
      </w:r>
      <w:r w:rsidR="00317078" w:rsidRPr="00016D8A">
        <w:rPr>
          <w:b/>
          <w:sz w:val="22"/>
          <w:szCs w:val="22"/>
          <w:lang w:val="es-ES"/>
        </w:rPr>
        <w:t>manual de tácticas de persecución contra las PDDH</w:t>
      </w:r>
      <w:r w:rsidR="00416E95">
        <w:rPr>
          <w:b/>
          <w:sz w:val="22"/>
          <w:szCs w:val="22"/>
          <w:lang w:val="es-ES"/>
        </w:rPr>
        <w:t xml:space="preserve"> y los colectivos que trabajan de </w:t>
      </w:r>
      <w:r w:rsidR="00416E95" w:rsidRPr="00416E95">
        <w:rPr>
          <w:b/>
          <w:sz w:val="22"/>
          <w:szCs w:val="22"/>
          <w:lang w:val="es-ES"/>
        </w:rPr>
        <w:t>manera conjunta, coordinada o articulada en la promoción o protección de derechos humanos.</w:t>
      </w:r>
      <w:r w:rsidR="00317078" w:rsidRPr="00016D8A">
        <w:rPr>
          <w:sz w:val="22"/>
          <w:szCs w:val="22"/>
          <w:lang w:val="es-ES"/>
        </w:rPr>
        <w:t xml:space="preserve"> Cada uno de los puntos mencionados —denegación de personería jurídica, vigilancia ilegal, prohibiciones de viajar, acoso administrativo y fiscal, y el uso de demandas SLAPP— corresponde a patrones documentados de hostigamiento contra defensores y sus organizaciones. El Comentario General ganaría en contundencia si enmarcara esta lista explícitamente en el contexto de la protección de PDDH, reconociéndolas como las víctimas primarias de estas prácticas.</w:t>
      </w:r>
    </w:p>
    <w:p w14:paraId="0E3A67C1" w14:textId="71AB0A83" w:rsidR="00B1047F" w:rsidRDefault="00B1047F" w:rsidP="003E31FB">
      <w:pPr>
        <w:jc w:val="both"/>
        <w:rPr>
          <w:sz w:val="22"/>
          <w:szCs w:val="22"/>
          <w:lang w:val="es-ES"/>
        </w:rPr>
      </w:pPr>
    </w:p>
    <w:p w14:paraId="49BF34A8" w14:textId="79F5F837" w:rsidR="00B1047F" w:rsidRPr="00016D8A" w:rsidRDefault="00B1047F" w:rsidP="00B1047F">
      <w:pPr>
        <w:ind w:left="1134"/>
        <w:jc w:val="both"/>
        <w:rPr>
          <w:sz w:val="22"/>
          <w:szCs w:val="22"/>
          <w:lang w:val="es-ES"/>
        </w:rPr>
      </w:pPr>
      <w:r w:rsidRPr="00016D8A">
        <w:rPr>
          <w:b/>
          <w:sz w:val="22"/>
          <w:szCs w:val="22"/>
          <w:lang w:val="es-ES"/>
        </w:rPr>
        <w:t>Párrafo 30:</w:t>
      </w:r>
      <w:r w:rsidRPr="00016D8A">
        <w:rPr>
          <w:sz w:val="22"/>
          <w:szCs w:val="22"/>
          <w:lang w:val="es-ES"/>
        </w:rPr>
        <w:t xml:space="preserve"> Enumera una serie de medidas prohibidas, como la denegación de registro, la vigilancia, las represalias y el uso de "litigios estratégicos contra la participación pública (demandas SLAPP)".</w:t>
      </w:r>
    </w:p>
    <w:p w14:paraId="74FD979E" w14:textId="3FAE8168" w:rsidR="00263FA5" w:rsidRPr="00016D8A" w:rsidRDefault="00263FA5" w:rsidP="00016D8A">
      <w:pPr>
        <w:ind w:left="1134"/>
        <w:jc w:val="both"/>
        <w:rPr>
          <w:sz w:val="22"/>
          <w:szCs w:val="22"/>
          <w:lang w:val="es-ES"/>
        </w:rPr>
      </w:pPr>
    </w:p>
    <w:p w14:paraId="24A75A1C" w14:textId="4077EC02" w:rsidR="00263FA5" w:rsidRPr="00016D8A" w:rsidRDefault="00354584" w:rsidP="00016D8A">
      <w:pPr>
        <w:ind w:left="1134"/>
        <w:jc w:val="both"/>
        <w:rPr>
          <w:sz w:val="22"/>
          <w:szCs w:val="22"/>
          <w:lang w:val="es-ES"/>
        </w:rPr>
      </w:pPr>
      <w:r>
        <w:rPr>
          <w:b/>
          <w:sz w:val="22"/>
          <w:szCs w:val="22"/>
          <w:u w:val="single"/>
          <w:lang w:val="es-ES_tradnl"/>
        </w:rPr>
        <w:t>PROPUESTA DE MODIFICACIÓN</w:t>
      </w:r>
      <w:r w:rsidRPr="00016D8A">
        <w:rPr>
          <w:b/>
          <w:sz w:val="22"/>
          <w:szCs w:val="22"/>
          <w:u w:val="single"/>
          <w:lang w:val="es-ES_tradnl"/>
        </w:rPr>
        <w:t xml:space="preserve"> </w:t>
      </w:r>
      <w:r>
        <w:rPr>
          <w:b/>
          <w:sz w:val="22"/>
          <w:szCs w:val="22"/>
          <w:u w:val="single"/>
          <w:lang w:val="es-ES_tradnl"/>
        </w:rPr>
        <w:t>7</w:t>
      </w:r>
      <w:r w:rsidRPr="00016D8A">
        <w:rPr>
          <w:b/>
          <w:sz w:val="22"/>
          <w:szCs w:val="22"/>
          <w:u w:val="single"/>
          <w:lang w:val="es-ES_tradnl"/>
        </w:rPr>
        <w:t xml:space="preserve"> </w:t>
      </w:r>
      <w:r w:rsidR="00263FA5" w:rsidRPr="00016D8A">
        <w:rPr>
          <w:b/>
          <w:sz w:val="22"/>
          <w:szCs w:val="22"/>
          <w:u w:val="single"/>
          <w:lang w:val="es-ES"/>
        </w:rPr>
        <w:t>– Párrafo 30:</w:t>
      </w:r>
      <w:r w:rsidR="00263FA5" w:rsidRPr="00016D8A">
        <w:rPr>
          <w:sz w:val="22"/>
          <w:szCs w:val="22"/>
          <w:lang w:val="es-ES"/>
        </w:rPr>
        <w:t xml:space="preserve">  En el párrafo 30 se recomienda sumar:</w:t>
      </w:r>
    </w:p>
    <w:p w14:paraId="253A62A3" w14:textId="77777777" w:rsidR="00317078" w:rsidRPr="00016D8A" w:rsidRDefault="00317078" w:rsidP="00016D8A">
      <w:pPr>
        <w:jc w:val="both"/>
        <w:rPr>
          <w:sz w:val="22"/>
          <w:szCs w:val="22"/>
          <w:lang w:val="es-ES"/>
        </w:rPr>
      </w:pPr>
    </w:p>
    <w:p w14:paraId="7694F09A" w14:textId="0A86873C" w:rsidR="00655F55" w:rsidRPr="00016D8A" w:rsidRDefault="00317078" w:rsidP="00016D8A">
      <w:pPr>
        <w:pStyle w:val="SingleTxtG"/>
        <w:rPr>
          <w:rFonts w:asciiTheme="minorHAnsi" w:hAnsiTheme="minorHAnsi"/>
          <w:sz w:val="22"/>
          <w:szCs w:val="22"/>
        </w:rPr>
      </w:pPr>
      <w:r w:rsidRPr="00016D8A">
        <w:rPr>
          <w:rFonts w:asciiTheme="minorHAnsi" w:hAnsiTheme="minorHAnsi"/>
          <w:sz w:val="22"/>
          <w:szCs w:val="22"/>
        </w:rPr>
        <w:t>30.</w:t>
      </w:r>
      <w:r w:rsidRPr="00016D8A">
        <w:rPr>
          <w:rFonts w:asciiTheme="minorHAnsi" w:hAnsiTheme="minorHAnsi"/>
          <w:sz w:val="22"/>
          <w:szCs w:val="22"/>
        </w:rPr>
        <w:tab/>
        <w:t xml:space="preserve">Aplicada al derecho a la libertad de asociación, la obligación de respetar significa que los </w:t>
      </w:r>
      <w:proofErr w:type="gramStart"/>
      <w:r w:rsidRPr="00016D8A">
        <w:rPr>
          <w:rFonts w:asciiTheme="minorHAnsi" w:hAnsiTheme="minorHAnsi"/>
          <w:sz w:val="22"/>
          <w:szCs w:val="22"/>
        </w:rPr>
        <w:t>Estados Partes</w:t>
      </w:r>
      <w:proofErr w:type="gramEnd"/>
      <w:r w:rsidRPr="00016D8A">
        <w:rPr>
          <w:rFonts w:asciiTheme="minorHAnsi" w:hAnsiTheme="minorHAnsi"/>
          <w:sz w:val="22"/>
          <w:szCs w:val="22"/>
        </w:rPr>
        <w:t xml:space="preserve"> deben abstenerse de restringir el derecho de jure o de facto de una manera que sea incompatible con el artículo 22, apartado 2 (véase </w:t>
      </w:r>
      <w:r w:rsidRPr="00016D8A">
        <w:rPr>
          <w:rFonts w:asciiTheme="minorHAnsi" w:hAnsiTheme="minorHAnsi"/>
          <w:color w:val="0D0D0D" w:themeColor="text1" w:themeTint="F2"/>
          <w:sz w:val="22"/>
          <w:szCs w:val="22"/>
        </w:rPr>
        <w:t>la sección V más adelante</w:t>
      </w:r>
      <w:r w:rsidRPr="00016D8A">
        <w:rPr>
          <w:rFonts w:asciiTheme="minorHAnsi" w:hAnsiTheme="minorHAnsi"/>
          <w:sz w:val="22"/>
          <w:szCs w:val="22"/>
        </w:rPr>
        <w:t xml:space="preserve">). </w:t>
      </w:r>
      <w:r w:rsidR="009432E0" w:rsidRPr="00016D8A">
        <w:rPr>
          <w:rFonts w:asciiTheme="minorHAnsi" w:hAnsiTheme="minorHAnsi"/>
          <w:color w:val="FF0000"/>
          <w:sz w:val="22"/>
          <w:szCs w:val="22"/>
        </w:rPr>
        <w:t>El Comité observa con especial preocupación que el siguiente catálogo de medidas prohibidas se corresponde con los patrones de hostigamiento y criminalización sistemáticamente empleados por algunos Estados para reprimir a las personas</w:t>
      </w:r>
      <w:r w:rsidR="00481973">
        <w:rPr>
          <w:rFonts w:asciiTheme="minorHAnsi" w:hAnsiTheme="minorHAnsi"/>
          <w:color w:val="FF0000"/>
          <w:sz w:val="22"/>
          <w:szCs w:val="22"/>
        </w:rPr>
        <w:t>,</w:t>
      </w:r>
      <w:r w:rsidR="009432E0" w:rsidRPr="00016D8A">
        <w:rPr>
          <w:rFonts w:asciiTheme="minorHAnsi" w:hAnsiTheme="minorHAnsi"/>
          <w:color w:val="FF0000"/>
          <w:sz w:val="22"/>
          <w:szCs w:val="22"/>
        </w:rPr>
        <w:t xml:space="preserve"> organizaciones</w:t>
      </w:r>
      <w:r w:rsidR="00481973">
        <w:rPr>
          <w:rFonts w:asciiTheme="minorHAnsi" w:hAnsiTheme="minorHAnsi"/>
          <w:color w:val="FF0000"/>
          <w:sz w:val="22"/>
          <w:szCs w:val="22"/>
        </w:rPr>
        <w:t>, colectivos y comunidades</w:t>
      </w:r>
      <w:r w:rsidR="009432E0" w:rsidRPr="00016D8A">
        <w:rPr>
          <w:rFonts w:asciiTheme="minorHAnsi" w:hAnsiTheme="minorHAnsi"/>
          <w:color w:val="FF0000"/>
          <w:sz w:val="22"/>
          <w:szCs w:val="22"/>
        </w:rPr>
        <w:t xml:space="preserve"> defensoras de derechos humanos. </w:t>
      </w:r>
      <w:r w:rsidR="005C6BA6">
        <w:rPr>
          <w:rFonts w:asciiTheme="minorHAnsi" w:hAnsiTheme="minorHAnsi"/>
          <w:sz w:val="22"/>
          <w:szCs w:val="22"/>
        </w:rPr>
        <w:t xml:space="preserve">[…] </w:t>
      </w:r>
      <w:r w:rsidRPr="00016D8A">
        <w:rPr>
          <w:rFonts w:asciiTheme="minorHAnsi" w:hAnsiTheme="minorHAnsi"/>
          <w:sz w:val="22"/>
          <w:szCs w:val="22"/>
        </w:rPr>
        <w:t>Tales medidas impiden la plena realización del derecho y pueden tener un efecto disuasorio sobre su ejercicio,</w:t>
      </w:r>
      <w:r w:rsidRPr="00016D8A">
        <w:rPr>
          <w:rFonts w:asciiTheme="minorHAnsi" w:hAnsiTheme="minorHAnsi"/>
          <w:color w:val="FF0000"/>
          <w:sz w:val="22"/>
          <w:szCs w:val="22"/>
        </w:rPr>
        <w:t xml:space="preserve"> así como en el ejercicio del derecho a defender derechos humanos. </w:t>
      </w:r>
      <w:r w:rsidRPr="00016D8A">
        <w:rPr>
          <w:rFonts w:asciiTheme="minorHAnsi" w:hAnsiTheme="minorHAnsi"/>
          <w:sz w:val="22"/>
          <w:szCs w:val="22"/>
        </w:rPr>
        <w:t xml:space="preserve"> </w:t>
      </w:r>
    </w:p>
    <w:p w14:paraId="0D417408" w14:textId="77777777" w:rsidR="00205F7F" w:rsidRPr="00016D8A" w:rsidRDefault="00205F7F" w:rsidP="00B1047F">
      <w:pPr>
        <w:jc w:val="both"/>
        <w:rPr>
          <w:sz w:val="22"/>
          <w:szCs w:val="22"/>
          <w:lang w:val="es-ES"/>
        </w:rPr>
      </w:pPr>
    </w:p>
    <w:p w14:paraId="034AAF9E" w14:textId="75AC30CB" w:rsidR="00205F7F" w:rsidRPr="00016D8A" w:rsidRDefault="003E31FB" w:rsidP="003E31FB">
      <w:pPr>
        <w:jc w:val="both"/>
        <w:rPr>
          <w:sz w:val="22"/>
          <w:szCs w:val="22"/>
          <w:lang w:val="es-ES"/>
        </w:rPr>
      </w:pPr>
      <w:r>
        <w:rPr>
          <w:b/>
          <w:sz w:val="22"/>
          <w:szCs w:val="22"/>
          <w:u w:val="single"/>
          <w:lang w:val="es-ES"/>
        </w:rPr>
        <w:t>Aclaración</w:t>
      </w:r>
      <w:r w:rsidR="009A204F" w:rsidRPr="00016D8A">
        <w:rPr>
          <w:b/>
          <w:sz w:val="22"/>
          <w:szCs w:val="22"/>
          <w:u w:val="single"/>
          <w:lang w:val="es-ES"/>
        </w:rPr>
        <w:t xml:space="preserve"> acci</w:t>
      </w:r>
      <w:r w:rsidR="009A204F">
        <w:rPr>
          <w:b/>
          <w:sz w:val="22"/>
          <w:szCs w:val="22"/>
          <w:u w:val="single"/>
          <w:lang w:val="es-ES"/>
        </w:rPr>
        <w:t>ones</w:t>
      </w:r>
      <w:r w:rsidR="009A204F" w:rsidRPr="00016D8A">
        <w:rPr>
          <w:b/>
          <w:sz w:val="22"/>
          <w:szCs w:val="22"/>
          <w:u w:val="single"/>
          <w:lang w:val="es-ES"/>
        </w:rPr>
        <w:t xml:space="preserve"> propuesta</w:t>
      </w:r>
      <w:r w:rsidR="009A204F">
        <w:rPr>
          <w:b/>
          <w:sz w:val="22"/>
          <w:szCs w:val="22"/>
          <w:u w:val="single"/>
          <w:lang w:val="es-ES"/>
        </w:rPr>
        <w:t>s 8, 9 y 10</w:t>
      </w:r>
      <w:r w:rsidR="00205F7F" w:rsidRPr="00016D8A">
        <w:rPr>
          <w:b/>
          <w:sz w:val="22"/>
          <w:szCs w:val="22"/>
          <w:lang w:val="es-ES"/>
        </w:rPr>
        <w:t>:</w:t>
      </w:r>
      <w:r w:rsidR="00205F7F" w:rsidRPr="00016D8A">
        <w:rPr>
          <w:sz w:val="22"/>
          <w:szCs w:val="22"/>
          <w:lang w:val="es-ES"/>
        </w:rPr>
        <w:t xml:space="preserve"> Esta es una obligación importante para las PDDH. A menudo, la criminalización o incluso la violencia física contra una persona defensora viene precedida de una campaña de estigmatización y deslegitimación por parte de funcionarios públicos, medios de comunicación afines al gobierno o actores privados. La obligación del Estado no es de mera neutralidad; debe </w:t>
      </w:r>
      <w:r w:rsidR="00205F7F" w:rsidRPr="00016D8A">
        <w:rPr>
          <w:b/>
          <w:sz w:val="22"/>
          <w:szCs w:val="22"/>
          <w:lang w:val="es-ES"/>
        </w:rPr>
        <w:t>activamente reconocer de manera pública y al más alto nivel la legitimidad y la importancia de la labor de defensa de los derechos humanos</w:t>
      </w:r>
      <w:r w:rsidR="00205F7F" w:rsidRPr="00016D8A">
        <w:rPr>
          <w:sz w:val="22"/>
          <w:szCs w:val="22"/>
          <w:lang w:val="es-ES"/>
        </w:rPr>
        <w:t>. Esto implica que los altos funcionarios deben abstenerse de discursos que pongan en riesgo a las PDDH y, además, deben condenar públicamente las campañas de difamación en su contra, contribuyendo así a la creación de un "entorno propicio" que vaya más allá de lo meramente normativo.</w:t>
      </w:r>
    </w:p>
    <w:p w14:paraId="17EFEFE5" w14:textId="6AD2D006" w:rsidR="00E374EA" w:rsidRPr="00016D8A" w:rsidRDefault="00E374EA" w:rsidP="00016D8A">
      <w:pPr>
        <w:ind w:left="720"/>
        <w:jc w:val="both"/>
        <w:rPr>
          <w:sz w:val="22"/>
          <w:szCs w:val="22"/>
          <w:lang w:val="es-ES"/>
        </w:rPr>
      </w:pPr>
    </w:p>
    <w:p w14:paraId="52F177CE" w14:textId="77777777" w:rsidR="00B1047F" w:rsidRPr="00016D8A" w:rsidRDefault="00B1047F" w:rsidP="00B1047F">
      <w:pPr>
        <w:ind w:left="720"/>
        <w:jc w:val="both"/>
        <w:rPr>
          <w:sz w:val="22"/>
          <w:szCs w:val="22"/>
          <w:lang w:val="es-ES"/>
        </w:rPr>
      </w:pPr>
      <w:r w:rsidRPr="00016D8A">
        <w:rPr>
          <w:b/>
          <w:sz w:val="22"/>
          <w:szCs w:val="22"/>
          <w:lang w:val="es-ES"/>
        </w:rPr>
        <w:t>Párrafo 35:</w:t>
      </w:r>
      <w:r w:rsidRPr="00016D8A">
        <w:rPr>
          <w:sz w:val="22"/>
          <w:szCs w:val="22"/>
          <w:lang w:val="es-ES"/>
        </w:rPr>
        <w:t xml:space="preserve"> Se establece la obligación positiva de los Estados de hacer frente a "narrativas hostiles" contra las asociaciones.</w:t>
      </w:r>
    </w:p>
    <w:p w14:paraId="2B7C19AB" w14:textId="77777777" w:rsidR="00B1047F" w:rsidRDefault="00B1047F" w:rsidP="00016D8A">
      <w:pPr>
        <w:ind w:left="720"/>
        <w:jc w:val="both"/>
        <w:rPr>
          <w:b/>
          <w:sz w:val="22"/>
          <w:szCs w:val="22"/>
          <w:u w:val="single"/>
          <w:lang w:val="es-ES"/>
        </w:rPr>
      </w:pPr>
    </w:p>
    <w:p w14:paraId="348359FC" w14:textId="60FCF543" w:rsidR="00E374EA" w:rsidRPr="00016D8A" w:rsidRDefault="00354584" w:rsidP="00016D8A">
      <w:pPr>
        <w:ind w:left="720"/>
        <w:jc w:val="both"/>
        <w:rPr>
          <w:sz w:val="22"/>
          <w:szCs w:val="22"/>
          <w:lang w:val="es-ES"/>
        </w:rPr>
      </w:pPr>
      <w:r>
        <w:rPr>
          <w:b/>
          <w:sz w:val="22"/>
          <w:szCs w:val="22"/>
          <w:u w:val="single"/>
          <w:lang w:val="es-ES_tradnl"/>
        </w:rPr>
        <w:t>PROPUESTA DE MODIFICACIÓN</w:t>
      </w:r>
      <w:r w:rsidRPr="00016D8A">
        <w:rPr>
          <w:b/>
          <w:sz w:val="22"/>
          <w:szCs w:val="22"/>
          <w:u w:val="single"/>
          <w:lang w:val="es-ES_tradnl"/>
        </w:rPr>
        <w:t xml:space="preserve"> </w:t>
      </w:r>
      <w:r>
        <w:rPr>
          <w:b/>
          <w:sz w:val="22"/>
          <w:szCs w:val="22"/>
          <w:u w:val="single"/>
          <w:lang w:val="es-ES_tradnl"/>
        </w:rPr>
        <w:t>8</w:t>
      </w:r>
      <w:r w:rsidRPr="00016D8A">
        <w:rPr>
          <w:b/>
          <w:sz w:val="22"/>
          <w:szCs w:val="22"/>
          <w:u w:val="single"/>
          <w:lang w:val="es-ES_tradnl"/>
        </w:rPr>
        <w:t xml:space="preserve"> </w:t>
      </w:r>
      <w:r w:rsidR="00E374EA" w:rsidRPr="00016D8A">
        <w:rPr>
          <w:b/>
          <w:sz w:val="22"/>
          <w:szCs w:val="22"/>
          <w:u w:val="single"/>
          <w:lang w:val="es-ES"/>
        </w:rPr>
        <w:t>– Párrafo 35:</w:t>
      </w:r>
      <w:r w:rsidR="00E374EA" w:rsidRPr="00016D8A">
        <w:rPr>
          <w:sz w:val="22"/>
          <w:szCs w:val="22"/>
          <w:lang w:val="es-ES"/>
        </w:rPr>
        <w:t xml:space="preserve">  En el párrafo 35 se recomienda sumar:</w:t>
      </w:r>
    </w:p>
    <w:p w14:paraId="274DAC1F" w14:textId="77777777" w:rsidR="00205F7F" w:rsidRPr="00016D8A" w:rsidRDefault="00205F7F" w:rsidP="00016D8A">
      <w:pPr>
        <w:jc w:val="both"/>
        <w:rPr>
          <w:sz w:val="22"/>
          <w:szCs w:val="22"/>
          <w:lang w:val="es-ES"/>
        </w:rPr>
      </w:pPr>
    </w:p>
    <w:p w14:paraId="4EAD80AC" w14:textId="782D9F3D" w:rsidR="00665D74" w:rsidRPr="00016D8A" w:rsidRDefault="00655F55" w:rsidP="00016D8A">
      <w:pPr>
        <w:pStyle w:val="SingleTxtG"/>
        <w:rPr>
          <w:rFonts w:asciiTheme="minorHAnsi" w:hAnsiTheme="minorHAnsi"/>
          <w:color w:val="FF0000"/>
          <w:sz w:val="22"/>
          <w:szCs w:val="22"/>
        </w:rPr>
      </w:pPr>
      <w:r w:rsidRPr="00016D8A">
        <w:rPr>
          <w:rFonts w:asciiTheme="minorHAnsi" w:hAnsiTheme="minorHAnsi"/>
          <w:sz w:val="22"/>
          <w:szCs w:val="22"/>
        </w:rPr>
        <w:t>35.</w:t>
      </w:r>
      <w:r w:rsidRPr="00016D8A">
        <w:rPr>
          <w:rFonts w:asciiTheme="minorHAnsi" w:hAnsiTheme="minorHAnsi"/>
          <w:sz w:val="22"/>
          <w:szCs w:val="22"/>
        </w:rPr>
        <w:tab/>
      </w:r>
      <w:r w:rsidR="003B3D49">
        <w:rPr>
          <w:rFonts w:asciiTheme="minorHAnsi" w:hAnsiTheme="minorHAnsi"/>
          <w:sz w:val="22"/>
          <w:szCs w:val="22"/>
        </w:rPr>
        <w:t>[…]</w:t>
      </w:r>
      <w:r w:rsidRPr="00016D8A">
        <w:rPr>
          <w:rFonts w:asciiTheme="minorHAnsi" w:hAnsiTheme="minorHAnsi"/>
          <w:sz w:val="22"/>
          <w:szCs w:val="22"/>
        </w:rPr>
        <w:t xml:space="preserve"> Esto es especialmente cierto cuando las asociaciones se centran en cuestiones que la mayoría de la población o el Gobierno consideran </w:t>
      </w:r>
      <w:r w:rsidRPr="00016D8A">
        <w:rPr>
          <w:rFonts w:asciiTheme="minorHAnsi" w:hAnsiTheme="minorHAnsi"/>
          <w:sz w:val="22"/>
          <w:szCs w:val="22"/>
        </w:rPr>
        <w:lastRenderedPageBreak/>
        <w:t>controvertidas o delicadas,</w:t>
      </w:r>
      <w:r w:rsidRPr="00016D8A">
        <w:rPr>
          <w:rStyle w:val="FootnoteReference"/>
          <w:rFonts w:asciiTheme="minorHAnsi" w:hAnsiTheme="minorHAnsi"/>
          <w:sz w:val="22"/>
          <w:szCs w:val="22"/>
        </w:rPr>
        <w:footnoteReference w:id="9"/>
      </w:r>
      <w:r w:rsidRPr="00016D8A">
        <w:rPr>
          <w:rFonts w:asciiTheme="minorHAnsi" w:hAnsiTheme="minorHAnsi"/>
          <w:sz w:val="22"/>
          <w:szCs w:val="22"/>
        </w:rPr>
        <w:t xml:space="preserve"> como las cuestiones de género, los derechos de los migrantes, la corrupción, los proyectos empresariales en el contexto de las industrias extractivas, los opositores a proyectos de desarrollo económico o megaproyectos u otras cuestiones de oposición política</w:t>
      </w:r>
      <w:r w:rsidR="007F1446">
        <w:rPr>
          <w:rFonts w:asciiTheme="minorHAnsi" w:hAnsiTheme="minorHAnsi"/>
          <w:color w:val="FF0000"/>
          <w:sz w:val="22"/>
          <w:szCs w:val="22"/>
        </w:rPr>
        <w:t>.</w:t>
      </w:r>
      <w:r w:rsidRPr="00016D8A">
        <w:rPr>
          <w:rFonts w:asciiTheme="minorHAnsi" w:hAnsiTheme="minorHAnsi"/>
          <w:color w:val="FF0000"/>
          <w:sz w:val="22"/>
          <w:szCs w:val="22"/>
        </w:rPr>
        <w:t xml:space="preserve"> En el caso de personas</w:t>
      </w:r>
      <w:r w:rsidR="00481973">
        <w:rPr>
          <w:rFonts w:asciiTheme="minorHAnsi" w:hAnsiTheme="minorHAnsi"/>
          <w:color w:val="FF0000"/>
          <w:sz w:val="22"/>
          <w:szCs w:val="22"/>
        </w:rPr>
        <w:t xml:space="preserve">, </w:t>
      </w:r>
      <w:r w:rsidR="00205F7F" w:rsidRPr="00016D8A">
        <w:rPr>
          <w:rFonts w:asciiTheme="minorHAnsi" w:hAnsiTheme="minorHAnsi"/>
          <w:color w:val="FF0000"/>
          <w:sz w:val="22"/>
          <w:szCs w:val="22"/>
        </w:rPr>
        <w:t>organizaciones</w:t>
      </w:r>
      <w:r w:rsidR="00481973">
        <w:rPr>
          <w:rFonts w:asciiTheme="minorHAnsi" w:hAnsiTheme="minorHAnsi"/>
          <w:color w:val="FF0000"/>
          <w:sz w:val="22"/>
          <w:szCs w:val="22"/>
        </w:rPr>
        <w:t>, colectivos o comunidades</w:t>
      </w:r>
      <w:r w:rsidRPr="00016D8A">
        <w:rPr>
          <w:rFonts w:asciiTheme="minorHAnsi" w:hAnsiTheme="minorHAnsi"/>
          <w:color w:val="FF0000"/>
          <w:sz w:val="22"/>
          <w:szCs w:val="22"/>
        </w:rPr>
        <w:t xml:space="preserve"> </w:t>
      </w:r>
      <w:r w:rsidR="00205F7F" w:rsidRPr="00016D8A">
        <w:rPr>
          <w:rFonts w:asciiTheme="minorHAnsi" w:hAnsiTheme="minorHAnsi"/>
          <w:color w:val="FF0000"/>
          <w:sz w:val="22"/>
          <w:szCs w:val="22"/>
        </w:rPr>
        <w:t xml:space="preserve">defensoras </w:t>
      </w:r>
      <w:r w:rsidRPr="00016D8A">
        <w:rPr>
          <w:rFonts w:asciiTheme="minorHAnsi" w:hAnsiTheme="minorHAnsi"/>
          <w:color w:val="FF0000"/>
          <w:sz w:val="22"/>
          <w:szCs w:val="22"/>
        </w:rPr>
        <w:t>de derechos humanos el deber de los Estados involucra también</w:t>
      </w:r>
      <w:r w:rsidR="00205F7F" w:rsidRPr="00016D8A">
        <w:rPr>
          <w:rFonts w:asciiTheme="minorHAnsi" w:hAnsiTheme="minorHAnsi"/>
          <w:color w:val="FF0000"/>
          <w:sz w:val="22"/>
          <w:szCs w:val="22"/>
        </w:rPr>
        <w:t>:</w:t>
      </w:r>
      <w:r w:rsidRPr="00016D8A">
        <w:rPr>
          <w:rFonts w:asciiTheme="minorHAnsi" w:hAnsiTheme="minorHAnsi"/>
          <w:color w:val="FF0000"/>
          <w:sz w:val="22"/>
          <w:szCs w:val="22"/>
        </w:rPr>
        <w:t xml:space="preserve"> reconocer y afirmar la relevancia de su labor en una sociedad democrática</w:t>
      </w:r>
      <w:r w:rsidR="00205F7F" w:rsidRPr="00016D8A">
        <w:rPr>
          <w:rFonts w:asciiTheme="minorHAnsi" w:hAnsiTheme="minorHAnsi"/>
          <w:color w:val="FF0000"/>
          <w:sz w:val="22"/>
          <w:szCs w:val="22"/>
        </w:rPr>
        <w:t>;</w:t>
      </w:r>
      <w:r w:rsidR="009A204F">
        <w:rPr>
          <w:rStyle w:val="FootnoteReference"/>
          <w:color w:val="FF0000"/>
          <w:szCs w:val="22"/>
        </w:rPr>
        <w:footnoteReference w:id="10"/>
      </w:r>
      <w:r w:rsidR="00205F7F" w:rsidRPr="00016D8A">
        <w:rPr>
          <w:rFonts w:asciiTheme="minorHAnsi" w:hAnsiTheme="minorHAnsi"/>
          <w:color w:val="FF0000"/>
          <w:sz w:val="22"/>
          <w:szCs w:val="22"/>
        </w:rPr>
        <w:t xml:space="preserve"> de abstenerse de realizar declaraciones que estigmaticen a las personas y organizaciones defensoras de </w:t>
      </w:r>
      <w:r w:rsidR="00016D8A">
        <w:rPr>
          <w:rFonts w:asciiTheme="minorHAnsi" w:hAnsiTheme="minorHAnsi"/>
          <w:color w:val="FF0000"/>
          <w:sz w:val="22"/>
          <w:szCs w:val="22"/>
        </w:rPr>
        <w:t>derechos humanos</w:t>
      </w:r>
      <w:r w:rsidR="00205F7F" w:rsidRPr="00016D8A">
        <w:rPr>
          <w:rFonts w:asciiTheme="minorHAnsi" w:hAnsiTheme="minorHAnsi"/>
          <w:color w:val="FF0000"/>
          <w:sz w:val="22"/>
          <w:szCs w:val="22"/>
        </w:rPr>
        <w:t>; y el deber de condenar enérgica y públicamente cualquier narrativa hostil que las ponga en riesgo</w:t>
      </w:r>
      <w:r w:rsidRPr="00016D8A">
        <w:rPr>
          <w:rFonts w:asciiTheme="minorHAnsi" w:hAnsiTheme="minorHAnsi"/>
          <w:color w:val="FF0000"/>
          <w:sz w:val="22"/>
          <w:szCs w:val="22"/>
        </w:rPr>
        <w:t>.</w:t>
      </w:r>
      <w:r w:rsidRPr="00016D8A">
        <w:rPr>
          <w:rStyle w:val="FootnoteReference"/>
          <w:rFonts w:asciiTheme="minorHAnsi" w:hAnsiTheme="minorHAnsi"/>
          <w:color w:val="FF0000"/>
          <w:sz w:val="22"/>
          <w:szCs w:val="22"/>
        </w:rPr>
        <w:footnoteReference w:id="11"/>
      </w:r>
    </w:p>
    <w:p w14:paraId="59469188" w14:textId="77777777" w:rsidR="00665D74" w:rsidRPr="00016D8A" w:rsidRDefault="00665D74" w:rsidP="00016D8A">
      <w:pPr>
        <w:jc w:val="both"/>
        <w:rPr>
          <w:sz w:val="22"/>
          <w:szCs w:val="22"/>
          <w:lang w:val="es-ES"/>
        </w:rPr>
      </w:pPr>
    </w:p>
    <w:p w14:paraId="23A16261" w14:textId="0942D156" w:rsidR="00655F55" w:rsidRPr="00016D8A" w:rsidRDefault="00354584" w:rsidP="003B3D49">
      <w:pPr>
        <w:ind w:left="720"/>
        <w:jc w:val="both"/>
        <w:rPr>
          <w:sz w:val="22"/>
          <w:szCs w:val="22"/>
          <w:lang w:val="es-ES"/>
        </w:rPr>
      </w:pPr>
      <w:r>
        <w:rPr>
          <w:b/>
          <w:sz w:val="22"/>
          <w:szCs w:val="22"/>
          <w:u w:val="single"/>
          <w:lang w:val="es-ES_tradnl"/>
        </w:rPr>
        <w:t>PROPUESTA DE MODIFICACIÓN</w:t>
      </w:r>
      <w:r w:rsidRPr="00016D8A">
        <w:rPr>
          <w:b/>
          <w:sz w:val="22"/>
          <w:szCs w:val="22"/>
          <w:u w:val="single"/>
          <w:lang w:val="es-ES_tradnl"/>
        </w:rPr>
        <w:t xml:space="preserve"> </w:t>
      </w:r>
      <w:r>
        <w:rPr>
          <w:b/>
          <w:sz w:val="22"/>
          <w:szCs w:val="22"/>
          <w:u w:val="single"/>
          <w:lang w:val="es-ES_tradnl"/>
        </w:rPr>
        <w:t>9</w:t>
      </w:r>
      <w:r w:rsidR="00E374EA" w:rsidRPr="00016D8A">
        <w:rPr>
          <w:b/>
          <w:sz w:val="22"/>
          <w:szCs w:val="22"/>
          <w:u w:val="single"/>
          <w:lang w:val="es-ES"/>
        </w:rPr>
        <w:t xml:space="preserve">: </w:t>
      </w:r>
      <w:r w:rsidR="00665D74" w:rsidRPr="00016D8A">
        <w:rPr>
          <w:sz w:val="22"/>
          <w:szCs w:val="22"/>
          <w:lang w:val="es-ES"/>
        </w:rPr>
        <w:t>P</w:t>
      </w:r>
      <w:r w:rsidR="00655F55" w:rsidRPr="00016D8A">
        <w:rPr>
          <w:sz w:val="22"/>
          <w:szCs w:val="22"/>
          <w:lang w:val="es-ES"/>
        </w:rPr>
        <w:t>árrafos 39 y 40, se recomienda incluir</w:t>
      </w:r>
      <w:r w:rsidR="00665D74" w:rsidRPr="00016D8A">
        <w:rPr>
          <w:sz w:val="22"/>
          <w:szCs w:val="22"/>
          <w:lang w:val="es-ES"/>
        </w:rPr>
        <w:t xml:space="preserve"> el siguiente párrafo entre ellos</w:t>
      </w:r>
      <w:r w:rsidR="00655F55" w:rsidRPr="00016D8A">
        <w:rPr>
          <w:sz w:val="22"/>
          <w:szCs w:val="22"/>
          <w:lang w:val="es-ES"/>
        </w:rPr>
        <w:t>:</w:t>
      </w:r>
    </w:p>
    <w:p w14:paraId="69B4DC4E" w14:textId="77777777" w:rsidR="00655F55" w:rsidRPr="00016D8A" w:rsidRDefault="00655F55" w:rsidP="00016D8A">
      <w:pPr>
        <w:jc w:val="both"/>
        <w:rPr>
          <w:sz w:val="22"/>
          <w:szCs w:val="22"/>
          <w:lang w:val="es-ES"/>
        </w:rPr>
      </w:pPr>
    </w:p>
    <w:p w14:paraId="587D14EC" w14:textId="0BD7550A" w:rsidR="00655F55" w:rsidRPr="00016D8A" w:rsidRDefault="00655F55" w:rsidP="00016D8A">
      <w:pPr>
        <w:pStyle w:val="SingleTxtG"/>
        <w:rPr>
          <w:rFonts w:asciiTheme="minorHAnsi" w:hAnsiTheme="minorHAnsi"/>
          <w:color w:val="FF0000"/>
          <w:sz w:val="22"/>
          <w:szCs w:val="22"/>
        </w:rPr>
      </w:pPr>
      <w:r w:rsidRPr="00016D8A">
        <w:rPr>
          <w:rFonts w:asciiTheme="minorHAnsi" w:hAnsiTheme="minorHAnsi"/>
          <w:color w:val="FF0000"/>
          <w:sz w:val="22"/>
          <w:szCs w:val="22"/>
        </w:rPr>
        <w:t>X. En el caso de personas defensoras</w:t>
      </w:r>
      <w:r w:rsidR="00481973">
        <w:rPr>
          <w:rFonts w:asciiTheme="minorHAnsi" w:hAnsiTheme="minorHAnsi"/>
          <w:color w:val="FF0000"/>
          <w:sz w:val="22"/>
          <w:szCs w:val="22"/>
        </w:rPr>
        <w:t>, colectivos, organizaciones o comunidades</w:t>
      </w:r>
      <w:r w:rsidRPr="00016D8A">
        <w:rPr>
          <w:rFonts w:asciiTheme="minorHAnsi" w:hAnsiTheme="minorHAnsi"/>
          <w:color w:val="FF0000"/>
          <w:sz w:val="22"/>
          <w:szCs w:val="22"/>
        </w:rPr>
        <w:t xml:space="preserve"> de derechos humanos los estándares de internacionales reconocen una obligación reforzada de debida diligencia en la investigación y esclarecimiento de hechos que puedan suponer ataques, amenazas e intimidaciones en el desarrollo de sus labores de defensa de derechos.</w:t>
      </w:r>
      <w:r w:rsidRPr="00016D8A">
        <w:rPr>
          <w:rStyle w:val="FootnoteReference"/>
          <w:rFonts w:asciiTheme="minorHAnsi" w:hAnsiTheme="minorHAnsi"/>
          <w:color w:val="FF0000"/>
          <w:sz w:val="22"/>
          <w:szCs w:val="22"/>
        </w:rPr>
        <w:footnoteReference w:id="12"/>
      </w:r>
      <w:r w:rsidRPr="00016D8A">
        <w:rPr>
          <w:rFonts w:asciiTheme="minorHAnsi" w:hAnsiTheme="minorHAnsi"/>
          <w:color w:val="FF0000"/>
          <w:sz w:val="22"/>
          <w:szCs w:val="22"/>
        </w:rPr>
        <w:t xml:space="preserve"> Esto incluye aquellas limitaciones que puedan derivarse de restricciones al derecho de la libertad de asociación y que afecten al derecho a defender derechos.</w:t>
      </w:r>
    </w:p>
    <w:p w14:paraId="457299A4" w14:textId="77777777" w:rsidR="00655F55" w:rsidRPr="00016D8A" w:rsidRDefault="00655F55" w:rsidP="00016D8A">
      <w:pPr>
        <w:jc w:val="both"/>
        <w:rPr>
          <w:sz w:val="22"/>
          <w:szCs w:val="22"/>
          <w:lang w:val="es-ES"/>
        </w:rPr>
      </w:pPr>
    </w:p>
    <w:p w14:paraId="39E8800D" w14:textId="0179FC20" w:rsidR="00197A14" w:rsidRDefault="00197A14" w:rsidP="00016D8A">
      <w:pPr>
        <w:ind w:left="720"/>
        <w:jc w:val="both"/>
        <w:rPr>
          <w:sz w:val="22"/>
          <w:szCs w:val="22"/>
          <w:lang w:val="es-ES"/>
        </w:rPr>
      </w:pPr>
      <w:r w:rsidRPr="00016D8A">
        <w:rPr>
          <w:b/>
          <w:sz w:val="22"/>
          <w:szCs w:val="22"/>
          <w:lang w:val="es-ES"/>
        </w:rPr>
        <w:t>Párrafo 43:</w:t>
      </w:r>
      <w:r w:rsidR="00463A7C" w:rsidRPr="00016D8A">
        <w:rPr>
          <w:b/>
          <w:sz w:val="22"/>
          <w:szCs w:val="22"/>
          <w:lang w:val="es-ES"/>
        </w:rPr>
        <w:t xml:space="preserve"> </w:t>
      </w:r>
      <w:r w:rsidR="00463A7C" w:rsidRPr="00016D8A">
        <w:rPr>
          <w:sz w:val="22"/>
          <w:szCs w:val="22"/>
          <w:lang w:val="es-ES"/>
        </w:rPr>
        <w:t>Menciona el abuso e instrumentalización de leyes penales para la criminalización de individuos y colectivos.</w:t>
      </w:r>
    </w:p>
    <w:p w14:paraId="5300E739" w14:textId="64B34761" w:rsidR="00945503" w:rsidRPr="00016D8A" w:rsidRDefault="00945503" w:rsidP="009A204F">
      <w:pPr>
        <w:jc w:val="both"/>
        <w:rPr>
          <w:sz w:val="22"/>
          <w:szCs w:val="22"/>
          <w:lang w:val="es-ES"/>
        </w:rPr>
      </w:pPr>
    </w:p>
    <w:p w14:paraId="4CC62DA1" w14:textId="418CD533" w:rsidR="00945503" w:rsidRPr="00016D8A" w:rsidRDefault="00354584" w:rsidP="00016D8A">
      <w:pPr>
        <w:ind w:left="720"/>
        <w:jc w:val="both"/>
        <w:rPr>
          <w:sz w:val="22"/>
          <w:szCs w:val="22"/>
          <w:lang w:val="es-ES"/>
        </w:rPr>
      </w:pPr>
      <w:r>
        <w:rPr>
          <w:b/>
          <w:sz w:val="22"/>
          <w:szCs w:val="22"/>
          <w:u w:val="single"/>
          <w:lang w:val="es-ES_tradnl"/>
        </w:rPr>
        <w:t>PROPUESTA DE MODIFICACIÓN</w:t>
      </w:r>
      <w:r w:rsidRPr="00016D8A">
        <w:rPr>
          <w:b/>
          <w:sz w:val="22"/>
          <w:szCs w:val="22"/>
          <w:u w:val="single"/>
          <w:lang w:val="es-ES_tradnl"/>
        </w:rPr>
        <w:t xml:space="preserve"> 1</w:t>
      </w:r>
      <w:r>
        <w:rPr>
          <w:b/>
          <w:sz w:val="22"/>
          <w:szCs w:val="22"/>
          <w:u w:val="single"/>
          <w:lang w:val="es-ES_tradnl"/>
        </w:rPr>
        <w:t>0</w:t>
      </w:r>
      <w:r w:rsidRPr="00016D8A">
        <w:rPr>
          <w:b/>
          <w:sz w:val="22"/>
          <w:szCs w:val="22"/>
          <w:u w:val="single"/>
          <w:lang w:val="es-ES_tradnl"/>
        </w:rPr>
        <w:t xml:space="preserve"> </w:t>
      </w:r>
      <w:r w:rsidR="00945503" w:rsidRPr="00016D8A">
        <w:rPr>
          <w:b/>
          <w:sz w:val="22"/>
          <w:szCs w:val="22"/>
          <w:u w:val="single"/>
          <w:lang w:val="es-ES"/>
        </w:rPr>
        <w:t>– Párrafo 43:</w:t>
      </w:r>
      <w:r w:rsidR="00945503" w:rsidRPr="00016D8A">
        <w:rPr>
          <w:sz w:val="22"/>
          <w:szCs w:val="22"/>
          <w:lang w:val="es-ES"/>
        </w:rPr>
        <w:t xml:space="preserve">  En el párrafo 43 se recomienda sumar:</w:t>
      </w:r>
    </w:p>
    <w:p w14:paraId="62C4FB45" w14:textId="4B7C9F0C" w:rsidR="00197A14" w:rsidRPr="00016D8A" w:rsidRDefault="00197A14" w:rsidP="00016D8A">
      <w:pPr>
        <w:jc w:val="both"/>
        <w:rPr>
          <w:sz w:val="22"/>
          <w:szCs w:val="22"/>
          <w:lang w:val="es-ES"/>
        </w:rPr>
      </w:pPr>
    </w:p>
    <w:p w14:paraId="01C84C67" w14:textId="6365928D" w:rsidR="00945503" w:rsidRPr="00016D8A" w:rsidRDefault="00945503" w:rsidP="00016D8A">
      <w:pPr>
        <w:pStyle w:val="SingleTxtG"/>
        <w:rPr>
          <w:rFonts w:asciiTheme="minorHAnsi" w:hAnsiTheme="minorHAnsi"/>
          <w:sz w:val="22"/>
          <w:szCs w:val="22"/>
        </w:rPr>
      </w:pPr>
      <w:r w:rsidRPr="00016D8A">
        <w:rPr>
          <w:rFonts w:asciiTheme="minorHAnsi" w:hAnsiTheme="minorHAnsi"/>
          <w:sz w:val="22"/>
          <w:szCs w:val="22"/>
        </w:rPr>
        <w:t>43.</w:t>
      </w:r>
      <w:r w:rsidRPr="00016D8A">
        <w:rPr>
          <w:rFonts w:asciiTheme="minorHAnsi" w:hAnsiTheme="minorHAnsi"/>
          <w:sz w:val="22"/>
          <w:szCs w:val="22"/>
        </w:rPr>
        <w:tab/>
        <w:t>[…]</w:t>
      </w:r>
      <w:r w:rsidR="003B3D49">
        <w:rPr>
          <w:rFonts w:asciiTheme="minorHAnsi" w:hAnsiTheme="minorHAnsi"/>
          <w:sz w:val="22"/>
          <w:szCs w:val="22"/>
        </w:rPr>
        <w:t xml:space="preserve"> </w:t>
      </w:r>
      <w:r w:rsidRPr="00016D8A">
        <w:rPr>
          <w:rFonts w:asciiTheme="minorHAnsi" w:hAnsiTheme="minorHAnsi"/>
          <w:sz w:val="22"/>
          <w:szCs w:val="22"/>
        </w:rPr>
        <w:t>Del mismo modo, la práctica de designar a personas y organizaciones como «terroristas» con el fin de imponerles prohibiciones de viaje o sanciones financieras, incluida la congelación de activos, debe cumplir estrictos requisitos de legalidad, especialmente en lo que respecta a la claridad, precisión y accesibilidad de los criterios,</w:t>
      </w:r>
      <w:r w:rsidR="00016D8A" w:rsidRPr="00016D8A">
        <w:rPr>
          <w:rFonts w:asciiTheme="minorHAnsi" w:hAnsiTheme="minorHAnsi"/>
          <w:sz w:val="22"/>
          <w:szCs w:val="22"/>
        </w:rPr>
        <w:t xml:space="preserve"> </w:t>
      </w:r>
      <w:r w:rsidRPr="00016D8A">
        <w:rPr>
          <w:rFonts w:asciiTheme="minorHAnsi" w:hAnsiTheme="minorHAnsi"/>
          <w:sz w:val="22"/>
          <w:szCs w:val="22"/>
        </w:rPr>
        <w:t xml:space="preserve">y debe ir acompañada de garantías judiciales que cumplan con los artículos 2 (3) y 14 del Pacto. </w:t>
      </w:r>
      <w:r w:rsidR="00481973" w:rsidRPr="00016D8A">
        <w:rPr>
          <w:rFonts w:asciiTheme="minorHAnsi" w:hAnsiTheme="minorHAnsi"/>
          <w:color w:val="FF0000"/>
          <w:sz w:val="22"/>
          <w:szCs w:val="22"/>
        </w:rPr>
        <w:t>La instrumentalización</w:t>
      </w:r>
      <w:r w:rsidRPr="00016D8A">
        <w:rPr>
          <w:rFonts w:asciiTheme="minorHAnsi" w:hAnsiTheme="minorHAnsi"/>
          <w:color w:val="FF0000"/>
          <w:sz w:val="22"/>
          <w:szCs w:val="22"/>
        </w:rPr>
        <w:t xml:space="preserve"> de los tipos penales es una metodología usada con frecuencia para perseguir la labor de personas</w:t>
      </w:r>
      <w:r w:rsidR="00481973">
        <w:rPr>
          <w:rFonts w:asciiTheme="minorHAnsi" w:hAnsiTheme="minorHAnsi"/>
          <w:color w:val="FF0000"/>
          <w:sz w:val="22"/>
          <w:szCs w:val="22"/>
        </w:rPr>
        <w:t>, colectivos, organizaciones y comunidades</w:t>
      </w:r>
      <w:r w:rsidRPr="00016D8A">
        <w:rPr>
          <w:rFonts w:asciiTheme="minorHAnsi" w:hAnsiTheme="minorHAnsi"/>
          <w:color w:val="FF0000"/>
          <w:sz w:val="22"/>
          <w:szCs w:val="22"/>
        </w:rPr>
        <w:t xml:space="preserve"> defensoras de derechos humanos.</w:t>
      </w:r>
      <w:r w:rsidR="00924DE0">
        <w:rPr>
          <w:rStyle w:val="FootnoteReference"/>
          <w:color w:val="FF0000"/>
          <w:szCs w:val="22"/>
        </w:rPr>
        <w:footnoteReference w:id="13"/>
      </w:r>
      <w:r w:rsidRPr="00016D8A">
        <w:rPr>
          <w:rFonts w:asciiTheme="minorHAnsi" w:hAnsiTheme="minorHAnsi"/>
          <w:color w:val="FF0000"/>
          <w:sz w:val="22"/>
          <w:szCs w:val="22"/>
        </w:rPr>
        <w:t xml:space="preserve"> </w:t>
      </w:r>
    </w:p>
    <w:p w14:paraId="06EE5F3D" w14:textId="77777777" w:rsidR="00945503" w:rsidRPr="00016D8A" w:rsidRDefault="00945503" w:rsidP="00016D8A">
      <w:pPr>
        <w:jc w:val="both"/>
        <w:rPr>
          <w:sz w:val="22"/>
          <w:szCs w:val="22"/>
          <w:lang w:val="es-ES"/>
        </w:rPr>
      </w:pPr>
    </w:p>
    <w:sectPr w:rsidR="00945503" w:rsidRPr="00016D8A" w:rsidSect="004D0F5A">
      <w:footerReference w:type="even" r:id="rId12"/>
      <w:footerReference w:type="default" r:id="rId13"/>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D768A" w14:textId="77777777" w:rsidR="00712A73" w:rsidRDefault="00712A73" w:rsidP="00B42BF1">
      <w:r>
        <w:separator/>
      </w:r>
    </w:p>
  </w:endnote>
  <w:endnote w:type="continuationSeparator" w:id="0">
    <w:p w14:paraId="4B1AFD8C" w14:textId="77777777" w:rsidR="00712A73" w:rsidRDefault="00712A73" w:rsidP="00B42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6590272"/>
      <w:docPartObj>
        <w:docPartGallery w:val="Page Numbers (Bottom of Page)"/>
        <w:docPartUnique/>
      </w:docPartObj>
    </w:sdtPr>
    <w:sdtContent>
      <w:p w14:paraId="23F1E8CD" w14:textId="55AAF662" w:rsidR="00197A14" w:rsidRDefault="00197A14" w:rsidP="002158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72C2770" w14:textId="77777777" w:rsidR="00197A14" w:rsidRDefault="00197A14" w:rsidP="00197A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58797193"/>
      <w:docPartObj>
        <w:docPartGallery w:val="Page Numbers (Bottom of Page)"/>
        <w:docPartUnique/>
      </w:docPartObj>
    </w:sdtPr>
    <w:sdtContent>
      <w:p w14:paraId="1D9F6ACF" w14:textId="54BCBF9A" w:rsidR="00197A14" w:rsidRDefault="00197A14" w:rsidP="002158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1F9B8D" w14:textId="77777777" w:rsidR="00197A14" w:rsidRDefault="00197A14" w:rsidP="00197A1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839FA" w14:textId="77777777" w:rsidR="00712A73" w:rsidRDefault="00712A73" w:rsidP="00B42BF1">
      <w:r>
        <w:separator/>
      </w:r>
    </w:p>
  </w:footnote>
  <w:footnote w:type="continuationSeparator" w:id="0">
    <w:p w14:paraId="2CFC9073" w14:textId="77777777" w:rsidR="00712A73" w:rsidRDefault="00712A73" w:rsidP="00B42BF1">
      <w:r>
        <w:continuationSeparator/>
      </w:r>
    </w:p>
  </w:footnote>
  <w:footnote w:id="1">
    <w:p w14:paraId="3449483A" w14:textId="77F58E3E" w:rsidR="005F08DC" w:rsidRPr="001221C7" w:rsidRDefault="005F08DC">
      <w:pPr>
        <w:pStyle w:val="FootnoteText"/>
        <w:rPr>
          <w:rFonts w:asciiTheme="minorHAnsi" w:hAnsiTheme="minorHAnsi"/>
          <w:sz w:val="20"/>
          <w:szCs w:val="20"/>
        </w:rPr>
      </w:pPr>
      <w:r w:rsidRPr="001221C7">
        <w:rPr>
          <w:rStyle w:val="FootnoteReference"/>
          <w:rFonts w:asciiTheme="minorHAnsi" w:hAnsiTheme="minorHAnsi"/>
          <w:sz w:val="20"/>
          <w:szCs w:val="20"/>
        </w:rPr>
        <w:footnoteRef/>
      </w:r>
      <w:r w:rsidRPr="001221C7">
        <w:rPr>
          <w:rFonts w:asciiTheme="minorHAnsi" w:hAnsiTheme="minorHAnsi"/>
          <w:sz w:val="20"/>
          <w:szCs w:val="20"/>
        </w:rPr>
        <w:t xml:space="preserve"> </w:t>
      </w:r>
      <w:r w:rsidR="00392B87" w:rsidRPr="001221C7">
        <w:rPr>
          <w:rFonts w:asciiTheme="minorHAnsi" w:hAnsiTheme="minorHAnsi"/>
          <w:sz w:val="20"/>
          <w:szCs w:val="20"/>
        </w:rPr>
        <w:t xml:space="preserve">Declaración de Naciones Unidas sobre personas defensoras de derechos humanos, art. 5; y Corte IDH, </w:t>
      </w:r>
      <w:proofErr w:type="gramStart"/>
      <w:r w:rsidR="00392B87" w:rsidRPr="001221C7">
        <w:rPr>
          <w:rFonts w:asciiTheme="minorHAnsi" w:hAnsiTheme="minorHAnsi"/>
          <w:i/>
          <w:sz w:val="20"/>
          <w:szCs w:val="20"/>
        </w:rPr>
        <w:t>Caso  José</w:t>
      </w:r>
      <w:proofErr w:type="gramEnd"/>
      <w:r w:rsidR="00392B87" w:rsidRPr="001221C7">
        <w:rPr>
          <w:rFonts w:asciiTheme="minorHAnsi" w:hAnsiTheme="minorHAnsi"/>
          <w:i/>
          <w:sz w:val="20"/>
          <w:szCs w:val="20"/>
        </w:rPr>
        <w:t xml:space="preserve"> Alvear Restrepo vs. Colombia</w:t>
      </w:r>
      <w:r w:rsidR="00392B87" w:rsidRPr="001221C7">
        <w:rPr>
          <w:rFonts w:asciiTheme="minorHAnsi" w:hAnsiTheme="minorHAnsi"/>
          <w:sz w:val="20"/>
          <w:szCs w:val="20"/>
          <w:lang w:val="es-ES_tradnl"/>
        </w:rPr>
        <w:t>, párr. 975.</w:t>
      </w:r>
    </w:p>
  </w:footnote>
  <w:footnote w:id="2">
    <w:p w14:paraId="73BA67A5" w14:textId="77777777" w:rsidR="00B42BF1" w:rsidRPr="001221C7" w:rsidRDefault="00B42BF1" w:rsidP="00B42BF1">
      <w:pPr>
        <w:pStyle w:val="FootnoteText"/>
        <w:rPr>
          <w:rFonts w:asciiTheme="minorHAnsi" w:hAnsiTheme="minorHAnsi"/>
          <w:sz w:val="20"/>
          <w:szCs w:val="20"/>
          <w:lang w:val="es-ES_tradnl"/>
        </w:rPr>
      </w:pPr>
      <w:r w:rsidRPr="001221C7">
        <w:rPr>
          <w:rStyle w:val="FootnoteReference"/>
          <w:rFonts w:asciiTheme="minorHAnsi" w:hAnsiTheme="minorHAnsi"/>
          <w:sz w:val="20"/>
          <w:szCs w:val="20"/>
        </w:rPr>
        <w:footnoteRef/>
      </w:r>
      <w:r w:rsidRPr="001221C7">
        <w:rPr>
          <w:rFonts w:asciiTheme="minorHAnsi" w:hAnsiTheme="minorHAnsi"/>
          <w:sz w:val="20"/>
          <w:szCs w:val="20"/>
        </w:rPr>
        <w:t xml:space="preserve"> Corte IDH, </w:t>
      </w:r>
      <w:r w:rsidRPr="001221C7">
        <w:rPr>
          <w:rFonts w:asciiTheme="minorHAnsi" w:hAnsiTheme="minorHAnsi"/>
          <w:i/>
          <w:sz w:val="20"/>
          <w:szCs w:val="20"/>
        </w:rPr>
        <w:t>Caso Escaleras Mejía y Otros Vs. Honduras</w:t>
      </w:r>
      <w:r w:rsidRPr="001221C7">
        <w:rPr>
          <w:rFonts w:asciiTheme="minorHAnsi" w:hAnsiTheme="minorHAnsi"/>
          <w:sz w:val="20"/>
          <w:szCs w:val="20"/>
        </w:rPr>
        <w:t xml:space="preserve">, párr. 58 y 60; y Corte IDH, </w:t>
      </w:r>
      <w:proofErr w:type="gramStart"/>
      <w:r w:rsidRPr="001221C7">
        <w:rPr>
          <w:rFonts w:asciiTheme="minorHAnsi" w:hAnsiTheme="minorHAnsi"/>
          <w:i/>
          <w:sz w:val="20"/>
          <w:szCs w:val="20"/>
        </w:rPr>
        <w:t>Caso  José</w:t>
      </w:r>
      <w:proofErr w:type="gramEnd"/>
      <w:r w:rsidRPr="001221C7">
        <w:rPr>
          <w:rFonts w:asciiTheme="minorHAnsi" w:hAnsiTheme="minorHAnsi"/>
          <w:i/>
          <w:sz w:val="20"/>
          <w:szCs w:val="20"/>
        </w:rPr>
        <w:t xml:space="preserve"> Alvear Restrepo vs. Colombia</w:t>
      </w:r>
      <w:r w:rsidRPr="001221C7">
        <w:rPr>
          <w:rFonts w:asciiTheme="minorHAnsi" w:hAnsiTheme="minorHAnsi"/>
          <w:sz w:val="20"/>
          <w:szCs w:val="20"/>
        </w:rPr>
        <w:t>, párr. 477.</w:t>
      </w:r>
    </w:p>
  </w:footnote>
  <w:footnote w:id="3">
    <w:p w14:paraId="5127146F" w14:textId="2C45E026" w:rsidR="00B42BF1" w:rsidRPr="00416E95" w:rsidRDefault="00B42BF1" w:rsidP="00B42BF1">
      <w:pPr>
        <w:pStyle w:val="FootnoteText"/>
        <w:rPr>
          <w:rFonts w:asciiTheme="minorHAnsi" w:hAnsiTheme="minorHAnsi"/>
          <w:sz w:val="20"/>
          <w:szCs w:val="20"/>
        </w:rPr>
      </w:pPr>
      <w:r w:rsidRPr="001221C7">
        <w:rPr>
          <w:rStyle w:val="FootnoteReference"/>
          <w:rFonts w:asciiTheme="minorHAnsi" w:hAnsiTheme="minorHAnsi"/>
          <w:sz w:val="20"/>
          <w:szCs w:val="20"/>
        </w:rPr>
        <w:footnoteRef/>
      </w:r>
      <w:r w:rsidRPr="001221C7">
        <w:rPr>
          <w:rFonts w:asciiTheme="minorHAnsi" w:hAnsiTheme="minorHAnsi"/>
          <w:sz w:val="20"/>
          <w:szCs w:val="20"/>
        </w:rPr>
        <w:t xml:space="preserve"> Corte IDH, </w:t>
      </w:r>
      <w:proofErr w:type="gramStart"/>
      <w:r w:rsidRPr="001221C7">
        <w:rPr>
          <w:rFonts w:asciiTheme="minorHAnsi" w:hAnsiTheme="minorHAnsi"/>
          <w:i/>
          <w:sz w:val="20"/>
          <w:szCs w:val="20"/>
        </w:rPr>
        <w:t>Caso  José</w:t>
      </w:r>
      <w:proofErr w:type="gramEnd"/>
      <w:r w:rsidRPr="001221C7">
        <w:rPr>
          <w:rFonts w:asciiTheme="minorHAnsi" w:hAnsiTheme="minorHAnsi"/>
          <w:i/>
          <w:sz w:val="20"/>
          <w:szCs w:val="20"/>
        </w:rPr>
        <w:t xml:space="preserve"> Alvear Restrepo vs. Colombia</w:t>
      </w:r>
      <w:r w:rsidRPr="001221C7">
        <w:rPr>
          <w:rFonts w:asciiTheme="minorHAnsi" w:hAnsiTheme="minorHAnsi"/>
          <w:sz w:val="20"/>
          <w:szCs w:val="20"/>
          <w:lang w:val="es-ES_tradnl"/>
        </w:rPr>
        <w:t xml:space="preserve">, párr. </w:t>
      </w:r>
      <w:r w:rsidR="00392B87" w:rsidRPr="00416E95">
        <w:rPr>
          <w:rFonts w:asciiTheme="minorHAnsi" w:hAnsiTheme="minorHAnsi"/>
          <w:sz w:val="20"/>
          <w:szCs w:val="20"/>
        </w:rPr>
        <w:t xml:space="preserve">477, </w:t>
      </w:r>
      <w:r w:rsidRPr="00416E95">
        <w:rPr>
          <w:rFonts w:asciiTheme="minorHAnsi" w:hAnsiTheme="minorHAnsi"/>
          <w:sz w:val="20"/>
          <w:szCs w:val="20"/>
        </w:rPr>
        <w:t>972</w:t>
      </w:r>
      <w:r w:rsidR="00392B87" w:rsidRPr="00416E95">
        <w:rPr>
          <w:rFonts w:asciiTheme="minorHAnsi" w:hAnsiTheme="minorHAnsi"/>
          <w:sz w:val="20"/>
          <w:szCs w:val="20"/>
        </w:rPr>
        <w:t>, 975</w:t>
      </w:r>
      <w:r w:rsidRPr="00416E95">
        <w:rPr>
          <w:rFonts w:asciiTheme="minorHAnsi" w:hAnsiTheme="minorHAnsi"/>
          <w:sz w:val="20"/>
          <w:szCs w:val="20"/>
        </w:rPr>
        <w:t xml:space="preserve"> y 979.</w:t>
      </w:r>
    </w:p>
  </w:footnote>
  <w:footnote w:id="4">
    <w:p w14:paraId="6347CAF3" w14:textId="25797AF8" w:rsidR="00B42BF1" w:rsidRPr="00ED53A3" w:rsidRDefault="00B42BF1" w:rsidP="00B42BF1">
      <w:pPr>
        <w:pStyle w:val="FootnoteText"/>
        <w:rPr>
          <w:lang w:val="en-US"/>
        </w:rPr>
      </w:pPr>
      <w:r w:rsidRPr="00416E95">
        <w:rPr>
          <w:rFonts w:asciiTheme="minorHAnsi" w:hAnsiTheme="minorHAnsi"/>
          <w:sz w:val="20"/>
          <w:szCs w:val="20"/>
        </w:rPr>
        <w:tab/>
      </w:r>
      <w:r w:rsidRPr="001221C7">
        <w:rPr>
          <w:rStyle w:val="FootnoteReference"/>
          <w:rFonts w:asciiTheme="minorHAnsi" w:hAnsiTheme="minorHAnsi"/>
          <w:sz w:val="20"/>
          <w:szCs w:val="20"/>
        </w:rPr>
        <w:footnoteRef/>
      </w:r>
      <w:r w:rsidRPr="001221C7">
        <w:rPr>
          <w:rFonts w:asciiTheme="minorHAnsi" w:hAnsiTheme="minorHAnsi"/>
          <w:sz w:val="20"/>
          <w:szCs w:val="20"/>
          <w:lang w:val="en-US"/>
        </w:rPr>
        <w:tab/>
      </w:r>
      <w:r w:rsidR="00ED53A3" w:rsidRPr="001221C7">
        <w:rPr>
          <w:rFonts w:asciiTheme="minorHAnsi" w:hAnsiTheme="minorHAnsi"/>
          <w:sz w:val="20"/>
          <w:szCs w:val="20"/>
          <w:lang w:val="en-US"/>
        </w:rPr>
        <w:t>United Nations Guidance Note, Protection and P2omotion of Civic Space, September 2020, page 3 and 8.</w:t>
      </w:r>
    </w:p>
  </w:footnote>
  <w:footnote w:id="5">
    <w:p w14:paraId="456946F2" w14:textId="0845A415" w:rsidR="00610108" w:rsidRPr="001221C7" w:rsidRDefault="00610108">
      <w:pPr>
        <w:pStyle w:val="FootnoteText"/>
        <w:rPr>
          <w:rFonts w:asciiTheme="minorHAnsi" w:hAnsiTheme="minorHAnsi"/>
          <w:sz w:val="20"/>
          <w:szCs w:val="20"/>
          <w:lang w:val="es-ES_tradnl"/>
        </w:rPr>
      </w:pPr>
      <w:r w:rsidRPr="001221C7">
        <w:rPr>
          <w:rStyle w:val="FootnoteReference"/>
          <w:rFonts w:asciiTheme="minorHAnsi" w:hAnsiTheme="minorHAnsi"/>
          <w:sz w:val="20"/>
          <w:szCs w:val="20"/>
        </w:rPr>
        <w:footnoteRef/>
      </w:r>
      <w:r w:rsidRPr="001221C7">
        <w:rPr>
          <w:rFonts w:asciiTheme="minorHAnsi" w:hAnsiTheme="minorHAnsi"/>
          <w:sz w:val="20"/>
          <w:szCs w:val="20"/>
        </w:rPr>
        <w:t xml:space="preserve"> Corte IDH, Caso Pérez Lucas y Otros Vs. Guatemala, párr. c; y Corte IDH, Caso González Méndez y Otros Vs. México, párr. 70.</w:t>
      </w:r>
    </w:p>
  </w:footnote>
  <w:footnote w:id="6">
    <w:p w14:paraId="4CD5150A" w14:textId="77777777" w:rsidR="00610108" w:rsidRPr="001221C7" w:rsidRDefault="00610108" w:rsidP="00610108">
      <w:pPr>
        <w:pStyle w:val="Heading2"/>
        <w:rPr>
          <w:rFonts w:asciiTheme="minorHAnsi" w:eastAsia="SimSun" w:hAnsiTheme="minorHAnsi" w:cs="Times New Roman"/>
          <w:color w:val="auto"/>
          <w:sz w:val="20"/>
          <w:szCs w:val="20"/>
          <w:lang w:eastAsia="zh-CN"/>
        </w:rPr>
      </w:pPr>
      <w:r w:rsidRPr="001221C7">
        <w:rPr>
          <w:rStyle w:val="FootnoteReference"/>
          <w:rFonts w:asciiTheme="minorHAnsi" w:hAnsiTheme="minorHAnsi"/>
          <w:sz w:val="20"/>
          <w:szCs w:val="20"/>
        </w:rPr>
        <w:footnoteRef/>
      </w:r>
      <w:r w:rsidRPr="001221C7">
        <w:rPr>
          <w:rFonts w:asciiTheme="minorHAnsi" w:hAnsiTheme="minorHAnsi"/>
          <w:sz w:val="20"/>
          <w:szCs w:val="20"/>
        </w:rPr>
        <w:t xml:space="preserve"> </w:t>
      </w:r>
      <w:r w:rsidRPr="001221C7">
        <w:rPr>
          <w:rFonts w:asciiTheme="minorHAnsi" w:eastAsia="SimSun" w:hAnsiTheme="minorHAnsi" w:cs="Times New Roman"/>
          <w:color w:val="auto"/>
          <w:sz w:val="20"/>
          <w:szCs w:val="20"/>
          <w:lang w:eastAsia="zh-CN"/>
        </w:rPr>
        <w:t>Relatora Especial sobre los derechos a la libertad de reunión pacífica y de asociación</w:t>
      </w:r>
    </w:p>
    <w:p w14:paraId="7EF72DDC" w14:textId="0AFC7726" w:rsidR="00610108" w:rsidRPr="00610108" w:rsidRDefault="00610108" w:rsidP="00610108">
      <w:pPr>
        <w:pStyle w:val="FootnoteText"/>
        <w:rPr>
          <w:lang w:val="es-ES_tradnl"/>
        </w:rPr>
      </w:pPr>
      <w:r w:rsidRPr="001221C7">
        <w:rPr>
          <w:rFonts w:asciiTheme="minorHAnsi" w:hAnsiTheme="minorHAnsi"/>
          <w:sz w:val="20"/>
          <w:szCs w:val="20"/>
        </w:rPr>
        <w:t>Informe A/HRC/62/45 (2026), párr.50</w:t>
      </w:r>
    </w:p>
  </w:footnote>
  <w:footnote w:id="7">
    <w:p w14:paraId="72F70B4F" w14:textId="77777777" w:rsidR="00610108" w:rsidRPr="001221C7" w:rsidRDefault="00610108" w:rsidP="00610108">
      <w:pPr>
        <w:pStyle w:val="Heading2"/>
        <w:rPr>
          <w:rFonts w:asciiTheme="minorHAnsi" w:eastAsia="SimSun" w:hAnsiTheme="minorHAnsi" w:cs="Times New Roman"/>
          <w:color w:val="auto"/>
          <w:sz w:val="20"/>
          <w:szCs w:val="20"/>
          <w:lang w:eastAsia="zh-CN"/>
        </w:rPr>
      </w:pPr>
      <w:r w:rsidRPr="001221C7">
        <w:rPr>
          <w:rStyle w:val="FootnoteReference"/>
          <w:rFonts w:asciiTheme="minorHAnsi" w:hAnsiTheme="minorHAnsi"/>
          <w:sz w:val="20"/>
          <w:szCs w:val="20"/>
        </w:rPr>
        <w:footnoteRef/>
      </w:r>
      <w:r w:rsidRPr="001221C7">
        <w:rPr>
          <w:rFonts w:asciiTheme="minorHAnsi" w:hAnsiTheme="minorHAnsi"/>
          <w:sz w:val="20"/>
          <w:szCs w:val="20"/>
        </w:rPr>
        <w:t xml:space="preserve"> </w:t>
      </w:r>
      <w:r w:rsidRPr="001221C7">
        <w:rPr>
          <w:rFonts w:asciiTheme="minorHAnsi" w:eastAsia="SimSun" w:hAnsiTheme="minorHAnsi" w:cs="Times New Roman"/>
          <w:color w:val="auto"/>
          <w:sz w:val="20"/>
          <w:szCs w:val="20"/>
          <w:lang w:eastAsia="zh-CN"/>
        </w:rPr>
        <w:t>Relatora Especial sobre los derechos a la libertad de reunión pacífica y de asociación</w:t>
      </w:r>
    </w:p>
    <w:p w14:paraId="15A2FCD1" w14:textId="2F75BDE6" w:rsidR="00610108" w:rsidRPr="001221C7" w:rsidRDefault="00610108" w:rsidP="008B4F07">
      <w:pPr>
        <w:pStyle w:val="Heading2"/>
        <w:rPr>
          <w:rFonts w:asciiTheme="minorHAnsi" w:hAnsiTheme="minorHAnsi"/>
          <w:sz w:val="20"/>
          <w:szCs w:val="20"/>
          <w:lang w:val="es-ES_tradnl"/>
        </w:rPr>
      </w:pPr>
      <w:r w:rsidRPr="001221C7">
        <w:rPr>
          <w:rFonts w:asciiTheme="minorHAnsi" w:eastAsia="SimSun" w:hAnsiTheme="minorHAnsi" w:cs="Times New Roman"/>
          <w:color w:val="auto"/>
          <w:sz w:val="20"/>
          <w:szCs w:val="20"/>
          <w:lang w:eastAsia="zh-CN"/>
        </w:rPr>
        <w:t>Informe A/HRC/62/45 (2026), párr.58 y 109.</w:t>
      </w:r>
    </w:p>
  </w:footnote>
  <w:footnote w:id="8">
    <w:p w14:paraId="4CB3E445" w14:textId="72E8EB61" w:rsidR="00861481" w:rsidRPr="001221C7" w:rsidRDefault="00A07389" w:rsidP="008B4F07">
      <w:pPr>
        <w:pStyle w:val="Heading2"/>
        <w:rPr>
          <w:rFonts w:asciiTheme="minorHAnsi" w:eastAsia="SimSun" w:hAnsiTheme="minorHAnsi" w:cs="Times New Roman"/>
          <w:color w:val="auto"/>
          <w:sz w:val="20"/>
          <w:szCs w:val="20"/>
          <w:lang w:eastAsia="zh-CN"/>
        </w:rPr>
      </w:pPr>
      <w:r w:rsidRPr="001221C7">
        <w:rPr>
          <w:rStyle w:val="FootnoteReference"/>
          <w:rFonts w:asciiTheme="minorHAnsi" w:hAnsiTheme="minorHAnsi"/>
          <w:sz w:val="20"/>
          <w:szCs w:val="20"/>
        </w:rPr>
        <w:footnoteRef/>
      </w:r>
      <w:r w:rsidRPr="001221C7">
        <w:rPr>
          <w:rFonts w:asciiTheme="minorHAnsi" w:hAnsiTheme="minorHAnsi"/>
          <w:sz w:val="20"/>
          <w:szCs w:val="20"/>
        </w:rPr>
        <w:t xml:space="preserve"> </w:t>
      </w:r>
      <w:r w:rsidRPr="001221C7">
        <w:rPr>
          <w:rFonts w:asciiTheme="minorHAnsi" w:eastAsia="SimSun" w:hAnsiTheme="minorHAnsi" w:cs="Times New Roman"/>
          <w:color w:val="auto"/>
          <w:sz w:val="20"/>
          <w:szCs w:val="20"/>
          <w:lang w:eastAsia="zh-CN"/>
        </w:rPr>
        <w:t>Relatora Especial sobre los derechos a la libertad de reunión pacífica y de asociación</w:t>
      </w:r>
      <w:r w:rsidR="008B4F07" w:rsidRPr="001221C7">
        <w:rPr>
          <w:rFonts w:asciiTheme="minorHAnsi" w:eastAsia="SimSun" w:hAnsiTheme="minorHAnsi" w:cs="Times New Roman"/>
          <w:color w:val="auto"/>
          <w:sz w:val="20"/>
          <w:szCs w:val="20"/>
          <w:lang w:eastAsia="zh-CN"/>
        </w:rPr>
        <w:t xml:space="preserve">, </w:t>
      </w:r>
      <w:r w:rsidRPr="001221C7">
        <w:rPr>
          <w:rFonts w:asciiTheme="minorHAnsi" w:eastAsia="SimSun" w:hAnsiTheme="minorHAnsi" w:cs="Times New Roman"/>
          <w:color w:val="auto"/>
          <w:sz w:val="20"/>
          <w:szCs w:val="20"/>
          <w:lang w:eastAsia="zh-CN"/>
        </w:rPr>
        <w:t>Informe A/HRC/62/45 (2026), párr.58 y 109</w:t>
      </w:r>
      <w:r w:rsidR="00794D06" w:rsidRPr="001221C7">
        <w:rPr>
          <w:rFonts w:asciiTheme="minorHAnsi" w:eastAsia="SimSun" w:hAnsiTheme="minorHAnsi" w:cs="Times New Roman"/>
          <w:color w:val="auto"/>
          <w:sz w:val="20"/>
          <w:szCs w:val="20"/>
          <w:lang w:eastAsia="zh-CN"/>
        </w:rPr>
        <w:t xml:space="preserve">; Corte IDH, </w:t>
      </w:r>
      <w:proofErr w:type="gramStart"/>
      <w:r w:rsidR="00794D06" w:rsidRPr="001221C7">
        <w:rPr>
          <w:rFonts w:asciiTheme="minorHAnsi" w:eastAsia="SimSun" w:hAnsiTheme="minorHAnsi" w:cs="Times New Roman"/>
          <w:i/>
          <w:color w:val="auto"/>
          <w:sz w:val="20"/>
          <w:szCs w:val="20"/>
          <w:lang w:eastAsia="zh-CN"/>
        </w:rPr>
        <w:t>Caso  José</w:t>
      </w:r>
      <w:proofErr w:type="gramEnd"/>
      <w:r w:rsidR="00794D06" w:rsidRPr="001221C7">
        <w:rPr>
          <w:rFonts w:asciiTheme="minorHAnsi" w:eastAsia="SimSun" w:hAnsiTheme="minorHAnsi" w:cs="Times New Roman"/>
          <w:i/>
          <w:color w:val="auto"/>
          <w:sz w:val="20"/>
          <w:szCs w:val="20"/>
          <w:lang w:eastAsia="zh-CN"/>
        </w:rPr>
        <w:t xml:space="preserve"> Alvear Restrepo vs. Colombia</w:t>
      </w:r>
      <w:r w:rsidR="00794D06" w:rsidRPr="001221C7">
        <w:rPr>
          <w:rFonts w:asciiTheme="minorHAnsi" w:eastAsia="SimSun" w:hAnsiTheme="minorHAnsi" w:cs="Times New Roman"/>
          <w:color w:val="auto"/>
          <w:sz w:val="20"/>
          <w:szCs w:val="20"/>
          <w:lang w:eastAsia="zh-CN"/>
        </w:rPr>
        <w:t xml:space="preserve">, párr. 477 </w:t>
      </w:r>
      <w:r w:rsidR="00861481" w:rsidRPr="001221C7">
        <w:rPr>
          <w:rFonts w:asciiTheme="minorHAnsi" w:eastAsia="SimSun" w:hAnsiTheme="minorHAnsi" w:cs="Times New Roman"/>
          <w:color w:val="auto"/>
          <w:sz w:val="20"/>
          <w:szCs w:val="20"/>
          <w:lang w:eastAsia="zh-CN"/>
        </w:rPr>
        <w:t xml:space="preserve">y </w:t>
      </w:r>
      <w:r w:rsidR="00F37593" w:rsidRPr="001221C7">
        <w:rPr>
          <w:rFonts w:asciiTheme="minorHAnsi" w:eastAsia="SimSun" w:hAnsiTheme="minorHAnsi" w:cs="Times New Roman"/>
          <w:color w:val="auto"/>
          <w:sz w:val="20"/>
          <w:szCs w:val="20"/>
          <w:lang w:eastAsia="zh-CN"/>
        </w:rPr>
        <w:t xml:space="preserve">Distintos procedimientos regionales y de Naciones Unidas, </w:t>
      </w:r>
      <w:r w:rsidR="00861481" w:rsidRPr="001221C7">
        <w:rPr>
          <w:rFonts w:asciiTheme="minorHAnsi" w:eastAsia="SimSun" w:hAnsiTheme="minorHAnsi" w:cs="Times New Roman"/>
          <w:color w:val="auto"/>
          <w:sz w:val="20"/>
          <w:szCs w:val="20"/>
          <w:lang w:eastAsia="zh-CN"/>
        </w:rPr>
        <w:t>Declaración conjunta sobre la protección de los derechos a la libertad de reunión pacífica y de asociación frente a la criminalización en medio de la intensificación amenazas existenciales</w:t>
      </w:r>
      <w:r w:rsidR="00F37593" w:rsidRPr="001221C7">
        <w:rPr>
          <w:rFonts w:asciiTheme="minorHAnsi" w:eastAsia="SimSun" w:hAnsiTheme="minorHAnsi" w:cs="Times New Roman"/>
          <w:color w:val="auto"/>
          <w:sz w:val="20"/>
          <w:szCs w:val="20"/>
          <w:lang w:eastAsia="zh-CN"/>
        </w:rPr>
        <w:t xml:space="preserve"> (19 diciembre 2025).</w:t>
      </w:r>
    </w:p>
    <w:p w14:paraId="7D2BE475" w14:textId="1603C6A1" w:rsidR="00A07389" w:rsidRPr="00A07389" w:rsidRDefault="00794D06" w:rsidP="00A07389">
      <w:pPr>
        <w:pStyle w:val="FootnoteText"/>
        <w:rPr>
          <w:lang w:val="es-ES_tradnl"/>
        </w:rPr>
      </w:pPr>
      <w:r w:rsidRPr="001221C7">
        <w:rPr>
          <w:rFonts w:asciiTheme="minorHAnsi" w:hAnsiTheme="minorHAnsi"/>
          <w:sz w:val="20"/>
          <w:szCs w:val="20"/>
        </w:rPr>
        <w:t>y 972.</w:t>
      </w:r>
    </w:p>
  </w:footnote>
  <w:footnote w:id="9">
    <w:p w14:paraId="77F95669" w14:textId="77777777" w:rsidR="00655F55" w:rsidRPr="001221C7" w:rsidRDefault="00655F55" w:rsidP="00655F55">
      <w:pPr>
        <w:pStyle w:val="FootnoteText"/>
        <w:jc w:val="both"/>
        <w:rPr>
          <w:rFonts w:asciiTheme="minorHAnsi" w:hAnsiTheme="minorHAnsi"/>
          <w:sz w:val="20"/>
          <w:szCs w:val="20"/>
        </w:rPr>
      </w:pPr>
      <w:r w:rsidRPr="004F0A64">
        <w:tab/>
      </w:r>
      <w:r w:rsidRPr="001221C7">
        <w:rPr>
          <w:rStyle w:val="FootnoteReference"/>
          <w:rFonts w:asciiTheme="minorHAnsi" w:hAnsiTheme="minorHAnsi"/>
          <w:sz w:val="20"/>
          <w:szCs w:val="20"/>
        </w:rPr>
        <w:footnoteRef/>
      </w:r>
      <w:r w:rsidRPr="001221C7">
        <w:rPr>
          <w:rFonts w:asciiTheme="minorHAnsi" w:hAnsiTheme="minorHAnsi"/>
          <w:sz w:val="20"/>
          <w:szCs w:val="20"/>
        </w:rPr>
        <w:tab/>
      </w:r>
      <w:r w:rsidRPr="001221C7">
        <w:rPr>
          <w:rFonts w:asciiTheme="minorHAnsi" w:hAnsiTheme="minorHAnsi"/>
          <w:i/>
          <w:iCs/>
          <w:sz w:val="20"/>
          <w:szCs w:val="20"/>
        </w:rPr>
        <w:t>Lee y otros c. la República de Corea</w:t>
      </w:r>
      <w:r w:rsidRPr="001221C7">
        <w:rPr>
          <w:rFonts w:asciiTheme="minorHAnsi" w:hAnsiTheme="minorHAnsi"/>
          <w:sz w:val="20"/>
          <w:szCs w:val="20"/>
        </w:rPr>
        <w:t xml:space="preserve">, párr. 7.4; y </w:t>
      </w:r>
      <w:r w:rsidRPr="001221C7">
        <w:rPr>
          <w:rFonts w:asciiTheme="minorHAnsi" w:hAnsiTheme="minorHAnsi"/>
          <w:i/>
          <w:iCs/>
          <w:sz w:val="20"/>
          <w:szCs w:val="20"/>
        </w:rPr>
        <w:t xml:space="preserve">Romanovsky c. </w:t>
      </w:r>
      <w:proofErr w:type="spellStart"/>
      <w:r w:rsidRPr="001221C7">
        <w:rPr>
          <w:rFonts w:asciiTheme="minorHAnsi" w:hAnsiTheme="minorHAnsi"/>
          <w:i/>
          <w:iCs/>
          <w:sz w:val="20"/>
          <w:szCs w:val="20"/>
        </w:rPr>
        <w:t>Belarús</w:t>
      </w:r>
      <w:proofErr w:type="spellEnd"/>
      <w:r w:rsidRPr="001221C7">
        <w:rPr>
          <w:rFonts w:asciiTheme="minorHAnsi" w:hAnsiTheme="minorHAnsi"/>
          <w:sz w:val="20"/>
          <w:szCs w:val="20"/>
        </w:rPr>
        <w:t xml:space="preserve">, párr. 7.2. Véase también </w:t>
      </w:r>
      <w:hyperlink r:id="rId1" w:history="1">
        <w:r w:rsidRPr="001221C7">
          <w:rPr>
            <w:rStyle w:val="Hyperlink"/>
            <w:rFonts w:asciiTheme="minorHAnsi" w:hAnsiTheme="minorHAnsi"/>
            <w:sz w:val="20"/>
            <w:szCs w:val="20"/>
          </w:rPr>
          <w:t>CCPR/C/BDI/CO/3</w:t>
        </w:r>
      </w:hyperlink>
      <w:r w:rsidRPr="001221C7">
        <w:rPr>
          <w:rFonts w:asciiTheme="minorHAnsi" w:hAnsiTheme="minorHAnsi"/>
          <w:sz w:val="20"/>
          <w:szCs w:val="20"/>
        </w:rPr>
        <w:t xml:space="preserve">, </w:t>
      </w:r>
      <w:proofErr w:type="spellStart"/>
      <w:r w:rsidRPr="001221C7">
        <w:rPr>
          <w:rFonts w:asciiTheme="minorHAnsi" w:hAnsiTheme="minorHAnsi"/>
          <w:sz w:val="20"/>
          <w:szCs w:val="20"/>
        </w:rPr>
        <w:t>párrs</w:t>
      </w:r>
      <w:proofErr w:type="spellEnd"/>
      <w:r w:rsidRPr="001221C7">
        <w:rPr>
          <w:rFonts w:asciiTheme="minorHAnsi" w:hAnsiTheme="minorHAnsi"/>
          <w:sz w:val="20"/>
          <w:szCs w:val="20"/>
        </w:rPr>
        <w:t>. 41 y 42.</w:t>
      </w:r>
    </w:p>
  </w:footnote>
  <w:footnote w:id="10">
    <w:p w14:paraId="1B80F1F4" w14:textId="6FC0E4A7" w:rsidR="009A204F" w:rsidRPr="001221C7" w:rsidRDefault="009A204F">
      <w:pPr>
        <w:pStyle w:val="FootnoteText"/>
        <w:rPr>
          <w:rFonts w:asciiTheme="minorHAnsi" w:hAnsiTheme="minorHAnsi"/>
          <w:sz w:val="20"/>
          <w:szCs w:val="20"/>
        </w:rPr>
      </w:pPr>
      <w:r w:rsidRPr="001221C7">
        <w:rPr>
          <w:rStyle w:val="FootnoteReference"/>
          <w:rFonts w:asciiTheme="minorHAnsi" w:hAnsiTheme="minorHAnsi"/>
          <w:sz w:val="20"/>
          <w:szCs w:val="20"/>
        </w:rPr>
        <w:footnoteRef/>
      </w:r>
      <w:r w:rsidRPr="001221C7">
        <w:rPr>
          <w:rFonts w:asciiTheme="minorHAnsi" w:hAnsiTheme="minorHAnsi"/>
          <w:sz w:val="20"/>
          <w:szCs w:val="20"/>
        </w:rPr>
        <w:t xml:space="preserve"> </w:t>
      </w:r>
      <w:r w:rsidR="005D5BEA" w:rsidRPr="001221C7">
        <w:rPr>
          <w:rFonts w:asciiTheme="minorHAnsi" w:hAnsiTheme="minorHAnsi"/>
          <w:sz w:val="20"/>
          <w:szCs w:val="20"/>
          <w:lang w:val="es-ES_tradnl"/>
        </w:rPr>
        <w:t xml:space="preserve">Corte IDH, </w:t>
      </w:r>
      <w:proofErr w:type="gramStart"/>
      <w:r w:rsidR="005D5BEA" w:rsidRPr="001221C7">
        <w:rPr>
          <w:rFonts w:asciiTheme="minorHAnsi" w:hAnsiTheme="minorHAnsi"/>
          <w:i/>
          <w:sz w:val="20"/>
          <w:szCs w:val="20"/>
        </w:rPr>
        <w:t>Caso  José</w:t>
      </w:r>
      <w:proofErr w:type="gramEnd"/>
      <w:r w:rsidR="005D5BEA" w:rsidRPr="001221C7">
        <w:rPr>
          <w:rFonts w:asciiTheme="minorHAnsi" w:hAnsiTheme="minorHAnsi"/>
          <w:i/>
          <w:sz w:val="20"/>
          <w:szCs w:val="20"/>
        </w:rPr>
        <w:t xml:space="preserve"> Alvear Restrepo vs. Colombia</w:t>
      </w:r>
      <w:r w:rsidR="005D5BEA" w:rsidRPr="001221C7">
        <w:rPr>
          <w:rFonts w:asciiTheme="minorHAnsi" w:hAnsiTheme="minorHAnsi"/>
          <w:sz w:val="20"/>
          <w:szCs w:val="20"/>
          <w:lang w:val="es-ES_tradnl"/>
        </w:rPr>
        <w:t>, párr. 979 (i); y Corte IDH, OC-32/25, párr. 566</w:t>
      </w:r>
    </w:p>
  </w:footnote>
  <w:footnote w:id="11">
    <w:p w14:paraId="2AF12BDB" w14:textId="6679C5A5" w:rsidR="00655F55" w:rsidRPr="00FF1CF8" w:rsidRDefault="00655F55" w:rsidP="00655F55">
      <w:pPr>
        <w:pStyle w:val="FootnoteText"/>
        <w:rPr>
          <w:i/>
          <w:lang w:val="es-ES_tradnl"/>
        </w:rPr>
      </w:pPr>
      <w:r w:rsidRPr="001221C7">
        <w:rPr>
          <w:rStyle w:val="FootnoteReference"/>
          <w:rFonts w:asciiTheme="minorHAnsi" w:hAnsiTheme="minorHAnsi"/>
          <w:sz w:val="20"/>
          <w:szCs w:val="20"/>
        </w:rPr>
        <w:footnoteRef/>
      </w:r>
      <w:r w:rsidRPr="001221C7">
        <w:rPr>
          <w:rFonts w:asciiTheme="minorHAnsi" w:hAnsiTheme="minorHAnsi"/>
          <w:sz w:val="20"/>
          <w:szCs w:val="20"/>
        </w:rPr>
        <w:t xml:space="preserve"> </w:t>
      </w:r>
      <w:r w:rsidRPr="001221C7">
        <w:rPr>
          <w:rFonts w:asciiTheme="minorHAnsi" w:hAnsiTheme="minorHAnsi"/>
          <w:sz w:val="20"/>
          <w:szCs w:val="20"/>
          <w:lang w:val="es-ES_tradnl"/>
        </w:rPr>
        <w:t xml:space="preserve">Corte IDH, </w:t>
      </w:r>
      <w:proofErr w:type="gramStart"/>
      <w:r w:rsidRPr="001221C7">
        <w:rPr>
          <w:rFonts w:asciiTheme="minorHAnsi" w:hAnsiTheme="minorHAnsi"/>
          <w:i/>
          <w:sz w:val="20"/>
          <w:szCs w:val="20"/>
        </w:rPr>
        <w:t>Caso  José</w:t>
      </w:r>
      <w:proofErr w:type="gramEnd"/>
      <w:r w:rsidRPr="001221C7">
        <w:rPr>
          <w:rFonts w:asciiTheme="minorHAnsi" w:hAnsiTheme="minorHAnsi"/>
          <w:i/>
          <w:sz w:val="20"/>
          <w:szCs w:val="20"/>
        </w:rPr>
        <w:t xml:space="preserve"> Alvear Restrepo vs. Colombia</w:t>
      </w:r>
      <w:r w:rsidRPr="001221C7">
        <w:rPr>
          <w:rFonts w:asciiTheme="minorHAnsi" w:hAnsiTheme="minorHAnsi"/>
          <w:sz w:val="20"/>
          <w:szCs w:val="20"/>
          <w:lang w:val="es-ES_tradnl"/>
        </w:rPr>
        <w:t>, párr. 979</w:t>
      </w:r>
      <w:r w:rsidR="005D5BEA" w:rsidRPr="001221C7">
        <w:rPr>
          <w:rFonts w:asciiTheme="minorHAnsi" w:hAnsiTheme="minorHAnsi"/>
          <w:sz w:val="20"/>
          <w:szCs w:val="20"/>
          <w:lang w:val="es-ES_tradnl"/>
        </w:rPr>
        <w:t xml:space="preserve"> (i)</w:t>
      </w:r>
      <w:r w:rsidRPr="001221C7">
        <w:rPr>
          <w:rFonts w:asciiTheme="minorHAnsi" w:hAnsiTheme="minorHAnsi"/>
          <w:sz w:val="20"/>
          <w:szCs w:val="20"/>
          <w:lang w:val="es-ES_tradnl"/>
        </w:rPr>
        <w:t>; y Corte IDH, OC-32/25, párr. 566.</w:t>
      </w:r>
    </w:p>
  </w:footnote>
  <w:footnote w:id="12">
    <w:p w14:paraId="51989499" w14:textId="25F5E2B8" w:rsidR="00655F55" w:rsidRPr="001221C7" w:rsidRDefault="00655F55" w:rsidP="00E374EA">
      <w:pPr>
        <w:pStyle w:val="CommentText"/>
        <w:rPr>
          <w:lang w:val="es-ES"/>
        </w:rPr>
      </w:pPr>
      <w:r w:rsidRPr="001221C7">
        <w:rPr>
          <w:rStyle w:val="FootnoteReference"/>
          <w:rFonts w:asciiTheme="minorHAnsi" w:hAnsiTheme="minorHAnsi"/>
          <w:sz w:val="20"/>
        </w:rPr>
        <w:footnoteRef/>
      </w:r>
      <w:r w:rsidRPr="001221C7">
        <w:t xml:space="preserve"> Corte IDH, </w:t>
      </w:r>
      <w:proofErr w:type="gramStart"/>
      <w:r w:rsidRPr="001221C7">
        <w:rPr>
          <w:i/>
        </w:rPr>
        <w:t>Caso  José</w:t>
      </w:r>
      <w:proofErr w:type="gramEnd"/>
      <w:r w:rsidRPr="001221C7">
        <w:rPr>
          <w:i/>
        </w:rPr>
        <w:t xml:space="preserve"> Alvear Restrepo vs. Colombia</w:t>
      </w:r>
      <w:r w:rsidRPr="001221C7">
        <w:rPr>
          <w:lang w:val="es-ES_tradnl"/>
        </w:rPr>
        <w:t>, párr. 979; y Corte IDH, OC-32/25, párr. 566</w:t>
      </w:r>
      <w:r w:rsidR="00E374EA" w:rsidRPr="001221C7">
        <w:rPr>
          <w:lang w:val="es-ES_tradnl"/>
        </w:rPr>
        <w:t xml:space="preserve">; </w:t>
      </w:r>
      <w:r w:rsidR="00E374EA" w:rsidRPr="001221C7">
        <w:rPr>
          <w:lang w:val="es-ES"/>
        </w:rPr>
        <w:t>Corte IDH, Caso González Méndez y Otros Vs. México*, párr. 71; y Corte IDH, Caso Pérez Lucas y Otros Vs. Guatemala, párr. a</w:t>
      </w:r>
    </w:p>
  </w:footnote>
  <w:footnote w:id="13">
    <w:p w14:paraId="548218F3" w14:textId="77777777" w:rsidR="00924DE0" w:rsidRPr="001221C7" w:rsidRDefault="00924DE0" w:rsidP="00924DE0">
      <w:pPr>
        <w:rPr>
          <w:rFonts w:eastAsia="SimSun" w:cs="Times New Roman"/>
          <w:kern w:val="0"/>
          <w:sz w:val="20"/>
          <w:szCs w:val="20"/>
          <w:lang w:val="es-ES" w:eastAsia="zh-CN"/>
          <w14:ligatures w14:val="none"/>
        </w:rPr>
      </w:pPr>
      <w:r w:rsidRPr="001221C7">
        <w:rPr>
          <w:rStyle w:val="FootnoteReference"/>
          <w:rFonts w:asciiTheme="minorHAnsi" w:hAnsiTheme="minorHAnsi"/>
          <w:sz w:val="20"/>
          <w:szCs w:val="20"/>
        </w:rPr>
        <w:footnoteRef/>
      </w:r>
      <w:r w:rsidRPr="001221C7">
        <w:rPr>
          <w:sz w:val="20"/>
          <w:szCs w:val="20"/>
        </w:rPr>
        <w:t xml:space="preserve"> </w:t>
      </w:r>
      <w:r w:rsidRPr="001221C7">
        <w:rPr>
          <w:rFonts w:eastAsia="SimSun" w:cs="Times New Roman"/>
          <w:kern w:val="0"/>
          <w:sz w:val="20"/>
          <w:szCs w:val="20"/>
          <w:lang w:val="es-ES" w:eastAsia="zh-CN"/>
          <w14:ligatures w14:val="none"/>
        </w:rPr>
        <w:t>Relatora Especial de la ONU sobre personas defensoras de derechos humanos, /HRC/49/49</w:t>
      </w:r>
    </w:p>
    <w:p w14:paraId="47336077" w14:textId="79DDF49C" w:rsidR="00924DE0" w:rsidRPr="00741621" w:rsidRDefault="00924DE0" w:rsidP="00741621">
      <w:pPr>
        <w:rPr>
          <w:rFonts w:ascii="Times New Roman" w:eastAsia="Times New Roman" w:hAnsi="Times New Roman" w:cs="Times New Roman"/>
          <w:kern w:val="0"/>
          <w:lang w:val="es-ES" w:eastAsia="es-ES_tradnl"/>
          <w14:ligatures w14:val="none"/>
        </w:rPr>
      </w:pPr>
      <w:proofErr w:type="gramStart"/>
      <w:r w:rsidRPr="001221C7">
        <w:rPr>
          <w:sz w:val="20"/>
          <w:szCs w:val="20"/>
        </w:rPr>
        <w:t>,</w:t>
      </w:r>
      <w:r w:rsidR="00073FCE" w:rsidRPr="001221C7">
        <w:rPr>
          <w:rFonts w:eastAsia="SimSun" w:cs="Times New Roman"/>
          <w:kern w:val="0"/>
          <w:sz w:val="20"/>
          <w:szCs w:val="20"/>
          <w:lang w:val="es-ES" w:eastAsia="zh-CN"/>
          <w14:ligatures w14:val="none"/>
        </w:rPr>
        <w:t>p</w:t>
      </w:r>
      <w:r w:rsidRPr="001221C7">
        <w:rPr>
          <w:rFonts w:eastAsia="SimSun" w:cs="Times New Roman"/>
          <w:kern w:val="0"/>
          <w:sz w:val="20"/>
          <w:szCs w:val="20"/>
          <w:lang w:val="es-ES" w:eastAsia="zh-CN"/>
          <w14:ligatures w14:val="none"/>
        </w:rPr>
        <w:t>árra</w:t>
      </w:r>
      <w:r w:rsidR="00073FCE" w:rsidRPr="001221C7">
        <w:rPr>
          <w:rFonts w:eastAsia="SimSun" w:cs="Times New Roman"/>
          <w:kern w:val="0"/>
          <w:sz w:val="20"/>
          <w:szCs w:val="20"/>
          <w:lang w:val="es-ES" w:eastAsia="zh-CN"/>
          <w14:ligatures w14:val="none"/>
        </w:rPr>
        <w:t>s</w:t>
      </w:r>
      <w:proofErr w:type="gramEnd"/>
      <w:r w:rsidRPr="001221C7">
        <w:rPr>
          <w:rFonts w:eastAsia="SimSun" w:cs="Times New Roman"/>
          <w:kern w:val="0"/>
          <w:sz w:val="20"/>
          <w:szCs w:val="20"/>
          <w:lang w:val="es-ES" w:eastAsia="zh-CN"/>
          <w14:ligatures w14:val="none"/>
        </w:rPr>
        <w:t>.61, 114</w:t>
      </w:r>
      <w:r w:rsidR="00741621" w:rsidRPr="001221C7">
        <w:rPr>
          <w:rFonts w:eastAsia="SimSun" w:cs="Times New Roman"/>
          <w:kern w:val="0"/>
          <w:sz w:val="20"/>
          <w:szCs w:val="20"/>
          <w:lang w:val="es-ES" w:eastAsia="zh-CN"/>
          <w14:ligatures w14:val="none"/>
        </w:rPr>
        <w:t xml:space="preserve"> y</w:t>
      </w:r>
      <w:r w:rsidR="0078234F" w:rsidRPr="001221C7">
        <w:rPr>
          <w:rFonts w:eastAsia="SimSun" w:cs="Times New Roman"/>
          <w:kern w:val="0"/>
          <w:sz w:val="20"/>
          <w:szCs w:val="20"/>
          <w:lang w:val="es-ES" w:eastAsia="zh-CN"/>
          <w14:ligatures w14:val="none"/>
        </w:rPr>
        <w:t xml:space="preserve"> A/77/178</w:t>
      </w:r>
      <w:r w:rsidR="00741621" w:rsidRPr="001221C7">
        <w:rPr>
          <w:rFonts w:eastAsia="SimSun" w:cs="Times New Roman"/>
          <w:kern w:val="0"/>
          <w:sz w:val="20"/>
          <w:szCs w:val="20"/>
          <w:lang w:val="es-ES" w:eastAsia="zh-CN"/>
          <w14:ligatures w14:val="none"/>
        </w:rPr>
        <w:t xml:space="preserve"> </w:t>
      </w:r>
      <w:proofErr w:type="spellStart"/>
      <w:r w:rsidR="0078234F" w:rsidRPr="001221C7">
        <w:rPr>
          <w:rFonts w:eastAsia="SimSun" w:cs="Times New Roman"/>
          <w:kern w:val="0"/>
          <w:sz w:val="20"/>
          <w:szCs w:val="20"/>
          <w:lang w:val="es-ES" w:eastAsia="zh-CN"/>
          <w14:ligatures w14:val="none"/>
        </w:rPr>
        <w:t>p</w:t>
      </w:r>
      <w:r w:rsidR="00073FCE" w:rsidRPr="001221C7">
        <w:rPr>
          <w:rFonts w:eastAsia="SimSun" w:cs="Times New Roman"/>
          <w:kern w:val="0"/>
          <w:sz w:val="20"/>
          <w:szCs w:val="20"/>
          <w:lang w:val="es-ES" w:eastAsia="zh-CN"/>
          <w14:ligatures w14:val="none"/>
        </w:rPr>
        <w:t>árrs</w:t>
      </w:r>
      <w:proofErr w:type="spellEnd"/>
      <w:r w:rsidR="0078234F" w:rsidRPr="001221C7">
        <w:rPr>
          <w:rFonts w:eastAsia="SimSun" w:cs="Times New Roman"/>
          <w:kern w:val="0"/>
          <w:sz w:val="20"/>
          <w:szCs w:val="20"/>
          <w:lang w:val="es-ES" w:eastAsia="zh-CN"/>
          <w14:ligatures w14:val="none"/>
        </w:rPr>
        <w:t>. 38, 40 y 92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grammar="clean"/>
  <w:defaultTabStop w:val="720"/>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BF1"/>
    <w:rsid w:val="00002EDF"/>
    <w:rsid w:val="00016D8A"/>
    <w:rsid w:val="00050BDE"/>
    <w:rsid w:val="0005698B"/>
    <w:rsid w:val="00065416"/>
    <w:rsid w:val="000670F0"/>
    <w:rsid w:val="00073FCE"/>
    <w:rsid w:val="0007679C"/>
    <w:rsid w:val="000C5617"/>
    <w:rsid w:val="000C5AC5"/>
    <w:rsid w:val="00100227"/>
    <w:rsid w:val="001221C7"/>
    <w:rsid w:val="00131D04"/>
    <w:rsid w:val="0017427E"/>
    <w:rsid w:val="0017483E"/>
    <w:rsid w:val="00177D27"/>
    <w:rsid w:val="00193304"/>
    <w:rsid w:val="00197A14"/>
    <w:rsid w:val="001C331F"/>
    <w:rsid w:val="00205F7F"/>
    <w:rsid w:val="00263FA5"/>
    <w:rsid w:val="002A54CE"/>
    <w:rsid w:val="00317078"/>
    <w:rsid w:val="0032356A"/>
    <w:rsid w:val="00354584"/>
    <w:rsid w:val="00390D4D"/>
    <w:rsid w:val="00392B87"/>
    <w:rsid w:val="003A2331"/>
    <w:rsid w:val="003A3CB8"/>
    <w:rsid w:val="003B3D49"/>
    <w:rsid w:val="003E31FB"/>
    <w:rsid w:val="00413889"/>
    <w:rsid w:val="00416E95"/>
    <w:rsid w:val="00463A7C"/>
    <w:rsid w:val="0046727D"/>
    <w:rsid w:val="004730EA"/>
    <w:rsid w:val="00481973"/>
    <w:rsid w:val="004D0F5A"/>
    <w:rsid w:val="005C6BA6"/>
    <w:rsid w:val="005D5BEA"/>
    <w:rsid w:val="005F08DC"/>
    <w:rsid w:val="005F4C79"/>
    <w:rsid w:val="00610108"/>
    <w:rsid w:val="00650946"/>
    <w:rsid w:val="00655F55"/>
    <w:rsid w:val="00665D74"/>
    <w:rsid w:val="00674BE0"/>
    <w:rsid w:val="00712A73"/>
    <w:rsid w:val="007211F8"/>
    <w:rsid w:val="00741621"/>
    <w:rsid w:val="00745DA1"/>
    <w:rsid w:val="0078234F"/>
    <w:rsid w:val="00792C59"/>
    <w:rsid w:val="00794D06"/>
    <w:rsid w:val="007C1219"/>
    <w:rsid w:val="007E2A0B"/>
    <w:rsid w:val="007F1446"/>
    <w:rsid w:val="0082697F"/>
    <w:rsid w:val="00861481"/>
    <w:rsid w:val="008624D0"/>
    <w:rsid w:val="00862A14"/>
    <w:rsid w:val="008B4F07"/>
    <w:rsid w:val="00924DE0"/>
    <w:rsid w:val="009324B9"/>
    <w:rsid w:val="009432E0"/>
    <w:rsid w:val="00945503"/>
    <w:rsid w:val="00951974"/>
    <w:rsid w:val="00974738"/>
    <w:rsid w:val="00996C48"/>
    <w:rsid w:val="009A204F"/>
    <w:rsid w:val="00A01082"/>
    <w:rsid w:val="00A07389"/>
    <w:rsid w:val="00A23C3E"/>
    <w:rsid w:val="00A95954"/>
    <w:rsid w:val="00AE1108"/>
    <w:rsid w:val="00AF4641"/>
    <w:rsid w:val="00B1047F"/>
    <w:rsid w:val="00B31639"/>
    <w:rsid w:val="00B42BF1"/>
    <w:rsid w:val="00C15106"/>
    <w:rsid w:val="00C85F26"/>
    <w:rsid w:val="00CF5BB2"/>
    <w:rsid w:val="00D6053C"/>
    <w:rsid w:val="00D66F16"/>
    <w:rsid w:val="00E374EA"/>
    <w:rsid w:val="00ED2708"/>
    <w:rsid w:val="00ED53A3"/>
    <w:rsid w:val="00EE1612"/>
    <w:rsid w:val="00F02227"/>
    <w:rsid w:val="00F37593"/>
    <w:rsid w:val="00F377A8"/>
    <w:rsid w:val="00FB4DF0"/>
    <w:rsid w:val="00FC7463"/>
    <w:rsid w:val="00FD705F"/>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DB9E4"/>
  <w15:chartTrackingRefBased/>
  <w15:docId w15:val="{C90CE49C-ADBF-3245-BE5B-A7D103DA7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86148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10108"/>
    <w:pPr>
      <w:keepNext/>
      <w:keepLines/>
      <w:spacing w:before="40"/>
      <w:outlineLvl w:val="1"/>
    </w:pPr>
    <w:rPr>
      <w:rFonts w:asciiTheme="majorHAnsi" w:eastAsiaTheme="majorEastAsia" w:hAnsiTheme="majorHAnsi" w:cstheme="majorBidi"/>
      <w:color w:val="2F5496" w:themeColor="accent1" w:themeShade="BF"/>
      <w:kern w:val="0"/>
      <w:sz w:val="26"/>
      <w:szCs w:val="26"/>
      <w:lang w:val="es-ES" w:eastAsia="es-ES_trad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rsid w:val="00B42BF1"/>
    <w:pPr>
      <w:tabs>
        <w:tab w:val="left" w:pos="1701"/>
        <w:tab w:val="left" w:pos="2268"/>
      </w:tabs>
      <w:spacing w:after="120"/>
      <w:ind w:left="1134" w:right="1134"/>
      <w:jc w:val="both"/>
    </w:pPr>
    <w:rPr>
      <w:rFonts w:ascii="Times New Roman" w:eastAsia="SimSun" w:hAnsi="Times New Roman" w:cs="Times New Roman"/>
      <w:kern w:val="0"/>
      <w:lang w:val="es-ES" w:eastAsia="zh-CN"/>
      <w14:ligatures w14:val="none"/>
    </w:rPr>
  </w:style>
  <w:style w:type="paragraph" w:styleId="FootnoteText">
    <w:name w:val="footnote text"/>
    <w:aliases w:val="5_G,Footnote Text Char Char Char Char Char,Footnote Text Char Char Char Char,Footnote reference,FA Fu,Footnote Text Char Char Char,Footnote Reference1, Char,Char,ft,Style 27,Char Char Char Char Char,Style 11, Char Char Char"/>
    <w:basedOn w:val="Normal"/>
    <w:link w:val="FootnoteTextChar"/>
    <w:qFormat/>
    <w:rsid w:val="00B42BF1"/>
    <w:pPr>
      <w:tabs>
        <w:tab w:val="right" w:pos="1021"/>
      </w:tabs>
      <w:spacing w:line="220" w:lineRule="exact"/>
      <w:ind w:left="1134" w:right="1134" w:hanging="1134"/>
    </w:pPr>
    <w:rPr>
      <w:rFonts w:ascii="Times New Roman" w:eastAsia="SimSun" w:hAnsi="Times New Roman" w:cs="Times New Roman"/>
      <w:kern w:val="0"/>
      <w:sz w:val="18"/>
      <w:lang w:val="es-ES" w:eastAsia="zh-CN"/>
      <w14:ligatures w14:val="none"/>
    </w:rPr>
  </w:style>
  <w:style w:type="character" w:customStyle="1" w:styleId="FootnoteTextChar">
    <w:name w:val="Footnote Text Char"/>
    <w:aliases w:val="5_G Char,Footnote Text Char Char Char Char Char Char,Footnote Text Char Char Char Char Char1,Footnote reference Char,FA Fu Char,Footnote Text Char Char Char Char1,Footnote Reference1 Char, Char Char,Char Char,ft Char,Style 27 Char"/>
    <w:basedOn w:val="DefaultParagraphFont"/>
    <w:link w:val="FootnoteText"/>
    <w:qFormat/>
    <w:rsid w:val="00B42BF1"/>
    <w:rPr>
      <w:rFonts w:ascii="Times New Roman" w:eastAsia="SimSun" w:hAnsi="Times New Roman" w:cs="Times New Roman"/>
      <w:kern w:val="0"/>
      <w:sz w:val="18"/>
      <w:lang w:val="es-ES" w:eastAsia="zh-CN"/>
      <w14:ligatures w14:val="none"/>
    </w:rPr>
  </w:style>
  <w:style w:type="character" w:styleId="FootnoteReference">
    <w:name w:val="footnote reference"/>
    <w:aliases w:val="4_G,Footnote number,ftref,Footnotes refss,Style 10,referencia nota al pie,BVI fnr,Footnote text,4_Footnote text,callout,Fago Fußnotenzeichen,16 Point,Superscript 6 Point,Footnote,Footnote symbol,f,Footnote Refernece,Ref,callou"/>
    <w:link w:val="Appelnotedebasde"/>
    <w:qFormat/>
    <w:rsid w:val="00B42BF1"/>
    <w:rPr>
      <w:rFonts w:ascii="Times New Roman" w:hAnsi="Times New Roman"/>
      <w:sz w:val="18"/>
      <w:vertAlign w:val="superscript"/>
    </w:rPr>
  </w:style>
  <w:style w:type="paragraph" w:customStyle="1" w:styleId="Appelnotedebasde">
    <w:name w:val="Appel note de bas de"/>
    <w:aliases w:val="Appel note de bas de page Char Char Char Char Char Char Char Char,Appel note de bas de page Char2 Char Char Char Char Char Char Char Char Char Char,Appel note de bas de page Char1"/>
    <w:basedOn w:val="Normal"/>
    <w:link w:val="FootnoteReference"/>
    <w:rsid w:val="00B42BF1"/>
    <w:pPr>
      <w:spacing w:before="120" w:after="120"/>
    </w:pPr>
    <w:rPr>
      <w:rFonts w:ascii="Times New Roman" w:eastAsiaTheme="minorHAnsi" w:hAnsi="Times New Roman"/>
      <w:sz w:val="18"/>
      <w:vertAlign w:val="superscript"/>
    </w:rPr>
  </w:style>
  <w:style w:type="character" w:styleId="Hyperlink">
    <w:name w:val="Hyperlink"/>
    <w:basedOn w:val="DefaultParagraphFont"/>
    <w:uiPriority w:val="99"/>
    <w:unhideWhenUsed/>
    <w:rsid w:val="00B42BF1"/>
    <w:rPr>
      <w:rFonts w:eastAsiaTheme="minorEastAsia"/>
      <w:color w:val="0000FF"/>
    </w:rPr>
  </w:style>
  <w:style w:type="character" w:styleId="CommentReference">
    <w:name w:val="annotation reference"/>
    <w:basedOn w:val="DefaultParagraphFont"/>
    <w:uiPriority w:val="99"/>
    <w:semiHidden/>
    <w:unhideWhenUsed/>
    <w:rsid w:val="00655F55"/>
    <w:rPr>
      <w:sz w:val="16"/>
      <w:szCs w:val="16"/>
    </w:rPr>
  </w:style>
  <w:style w:type="paragraph" w:styleId="CommentText">
    <w:name w:val="annotation text"/>
    <w:basedOn w:val="Normal"/>
    <w:link w:val="CommentTextChar"/>
    <w:uiPriority w:val="99"/>
    <w:unhideWhenUsed/>
    <w:rsid w:val="00655F55"/>
    <w:rPr>
      <w:sz w:val="20"/>
      <w:szCs w:val="20"/>
    </w:rPr>
  </w:style>
  <w:style w:type="character" w:customStyle="1" w:styleId="CommentTextChar">
    <w:name w:val="Comment Text Char"/>
    <w:basedOn w:val="DefaultParagraphFont"/>
    <w:link w:val="CommentText"/>
    <w:uiPriority w:val="99"/>
    <w:rsid w:val="00655F55"/>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55F55"/>
    <w:rPr>
      <w:b/>
      <w:bCs/>
    </w:rPr>
  </w:style>
  <w:style w:type="character" w:customStyle="1" w:styleId="CommentSubjectChar">
    <w:name w:val="Comment Subject Char"/>
    <w:basedOn w:val="CommentTextChar"/>
    <w:link w:val="CommentSubject"/>
    <w:uiPriority w:val="99"/>
    <w:semiHidden/>
    <w:rsid w:val="00655F55"/>
    <w:rPr>
      <w:rFonts w:eastAsiaTheme="minorEastAsia"/>
      <w:b/>
      <w:bCs/>
      <w:sz w:val="20"/>
      <w:szCs w:val="20"/>
    </w:rPr>
  </w:style>
  <w:style w:type="paragraph" w:styleId="Footer">
    <w:name w:val="footer"/>
    <w:basedOn w:val="Normal"/>
    <w:link w:val="FooterChar"/>
    <w:uiPriority w:val="99"/>
    <w:unhideWhenUsed/>
    <w:rsid w:val="00197A14"/>
    <w:pPr>
      <w:tabs>
        <w:tab w:val="center" w:pos="4680"/>
        <w:tab w:val="right" w:pos="9360"/>
      </w:tabs>
    </w:pPr>
  </w:style>
  <w:style w:type="character" w:customStyle="1" w:styleId="FooterChar">
    <w:name w:val="Footer Char"/>
    <w:basedOn w:val="DefaultParagraphFont"/>
    <w:link w:val="Footer"/>
    <w:uiPriority w:val="99"/>
    <w:rsid w:val="00197A14"/>
    <w:rPr>
      <w:rFonts w:eastAsiaTheme="minorEastAsia"/>
    </w:rPr>
  </w:style>
  <w:style w:type="character" w:styleId="PageNumber">
    <w:name w:val="page number"/>
    <w:basedOn w:val="DefaultParagraphFont"/>
    <w:uiPriority w:val="99"/>
    <w:semiHidden/>
    <w:unhideWhenUsed/>
    <w:rsid w:val="00197A14"/>
  </w:style>
  <w:style w:type="paragraph" w:styleId="BalloonText">
    <w:name w:val="Balloon Text"/>
    <w:basedOn w:val="Normal"/>
    <w:link w:val="BalloonTextChar"/>
    <w:uiPriority w:val="99"/>
    <w:semiHidden/>
    <w:unhideWhenUsed/>
    <w:rsid w:val="00A9595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95954"/>
    <w:rPr>
      <w:rFonts w:ascii="Times New Roman" w:eastAsiaTheme="minorEastAsia" w:hAnsi="Times New Roman" w:cs="Times New Roman"/>
      <w:sz w:val="18"/>
      <w:szCs w:val="18"/>
    </w:rPr>
  </w:style>
  <w:style w:type="paragraph" w:customStyle="1" w:styleId="pdq2pgselectionanchorcontainer">
    <w:name w:val="pdq2pg_selectionanchorcontainer"/>
    <w:basedOn w:val="Normal"/>
    <w:rsid w:val="007211F8"/>
    <w:pPr>
      <w:spacing w:before="100" w:beforeAutospacing="1" w:after="100" w:afterAutospacing="1"/>
    </w:pPr>
    <w:rPr>
      <w:rFonts w:ascii="Times New Roman" w:eastAsia="Times New Roman" w:hAnsi="Times New Roman" w:cs="Times New Roman"/>
      <w:kern w:val="0"/>
      <w:lang w:val="es-ES" w:eastAsia="es-ES_tradnl"/>
      <w14:ligatures w14:val="none"/>
    </w:rPr>
  </w:style>
  <w:style w:type="character" w:styleId="Strong">
    <w:name w:val="Strong"/>
    <w:basedOn w:val="DefaultParagraphFont"/>
    <w:uiPriority w:val="22"/>
    <w:qFormat/>
    <w:rsid w:val="007211F8"/>
    <w:rPr>
      <w:b/>
      <w:bCs/>
    </w:rPr>
  </w:style>
  <w:style w:type="character" w:styleId="Emphasis">
    <w:name w:val="Emphasis"/>
    <w:basedOn w:val="DefaultParagraphFont"/>
    <w:uiPriority w:val="20"/>
    <w:qFormat/>
    <w:rsid w:val="007211F8"/>
    <w:rPr>
      <w:i/>
      <w:iCs/>
    </w:rPr>
  </w:style>
  <w:style w:type="paragraph" w:styleId="NormalWeb">
    <w:name w:val="Normal (Web)"/>
    <w:basedOn w:val="Normal"/>
    <w:uiPriority w:val="99"/>
    <w:unhideWhenUsed/>
    <w:rsid w:val="007211F8"/>
    <w:pPr>
      <w:spacing w:before="100" w:beforeAutospacing="1" w:after="100" w:afterAutospacing="1"/>
    </w:pPr>
    <w:rPr>
      <w:rFonts w:ascii="Times New Roman" w:eastAsia="Times New Roman" w:hAnsi="Times New Roman" w:cs="Times New Roman"/>
      <w:kern w:val="0"/>
      <w:lang w:val="es-ES" w:eastAsia="es-ES_tradnl"/>
      <w14:ligatures w14:val="none"/>
    </w:rPr>
  </w:style>
  <w:style w:type="character" w:styleId="FollowedHyperlink">
    <w:name w:val="FollowedHyperlink"/>
    <w:basedOn w:val="DefaultParagraphFont"/>
    <w:uiPriority w:val="99"/>
    <w:semiHidden/>
    <w:unhideWhenUsed/>
    <w:rsid w:val="00792C59"/>
    <w:rPr>
      <w:color w:val="954F72" w:themeColor="followedHyperlink"/>
      <w:u w:val="single"/>
    </w:rPr>
  </w:style>
  <w:style w:type="character" w:customStyle="1" w:styleId="Heading2Char">
    <w:name w:val="Heading 2 Char"/>
    <w:basedOn w:val="DefaultParagraphFont"/>
    <w:link w:val="Heading2"/>
    <w:uiPriority w:val="9"/>
    <w:semiHidden/>
    <w:rsid w:val="00610108"/>
    <w:rPr>
      <w:rFonts w:asciiTheme="majorHAnsi" w:eastAsiaTheme="majorEastAsia" w:hAnsiTheme="majorHAnsi" w:cstheme="majorBidi"/>
      <w:color w:val="2F5496" w:themeColor="accent1" w:themeShade="BF"/>
      <w:kern w:val="0"/>
      <w:sz w:val="26"/>
      <w:szCs w:val="26"/>
      <w:lang w:val="es-ES" w:eastAsia="es-ES_tradnl"/>
      <w14:ligatures w14:val="none"/>
    </w:rPr>
  </w:style>
  <w:style w:type="table" w:styleId="TableGrid">
    <w:name w:val="Table Grid"/>
    <w:basedOn w:val="TableNormal"/>
    <w:uiPriority w:val="39"/>
    <w:rsid w:val="00610108"/>
    <w:rPr>
      <w:kern w:val="0"/>
      <w:lang w:val="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61481"/>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17483E"/>
    <w:rPr>
      <w:rFonts w:eastAsiaTheme="minorEastAsia"/>
    </w:rPr>
  </w:style>
  <w:style w:type="paragraph" w:styleId="Header">
    <w:name w:val="header"/>
    <w:basedOn w:val="Normal"/>
    <w:link w:val="HeaderChar"/>
    <w:uiPriority w:val="99"/>
    <w:unhideWhenUsed/>
    <w:rsid w:val="0046727D"/>
    <w:pPr>
      <w:tabs>
        <w:tab w:val="center" w:pos="4513"/>
        <w:tab w:val="right" w:pos="9026"/>
      </w:tabs>
    </w:pPr>
  </w:style>
  <w:style w:type="character" w:customStyle="1" w:styleId="HeaderChar">
    <w:name w:val="Header Char"/>
    <w:basedOn w:val="DefaultParagraphFont"/>
    <w:link w:val="Header"/>
    <w:uiPriority w:val="99"/>
    <w:rsid w:val="0046727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32608">
      <w:bodyDiv w:val="1"/>
      <w:marLeft w:val="0"/>
      <w:marRight w:val="0"/>
      <w:marTop w:val="0"/>
      <w:marBottom w:val="0"/>
      <w:divBdr>
        <w:top w:val="none" w:sz="0" w:space="0" w:color="auto"/>
        <w:left w:val="none" w:sz="0" w:space="0" w:color="auto"/>
        <w:bottom w:val="none" w:sz="0" w:space="0" w:color="auto"/>
        <w:right w:val="none" w:sz="0" w:space="0" w:color="auto"/>
      </w:divBdr>
    </w:div>
    <w:div w:id="708066556">
      <w:bodyDiv w:val="1"/>
      <w:marLeft w:val="0"/>
      <w:marRight w:val="0"/>
      <w:marTop w:val="0"/>
      <w:marBottom w:val="0"/>
      <w:divBdr>
        <w:top w:val="none" w:sz="0" w:space="0" w:color="auto"/>
        <w:left w:val="none" w:sz="0" w:space="0" w:color="auto"/>
        <w:bottom w:val="none" w:sz="0" w:space="0" w:color="auto"/>
        <w:right w:val="none" w:sz="0" w:space="0" w:color="auto"/>
      </w:divBdr>
    </w:div>
    <w:div w:id="836044338">
      <w:bodyDiv w:val="1"/>
      <w:marLeft w:val="0"/>
      <w:marRight w:val="0"/>
      <w:marTop w:val="0"/>
      <w:marBottom w:val="0"/>
      <w:divBdr>
        <w:top w:val="none" w:sz="0" w:space="0" w:color="auto"/>
        <w:left w:val="none" w:sz="0" w:space="0" w:color="auto"/>
        <w:bottom w:val="none" w:sz="0" w:space="0" w:color="auto"/>
        <w:right w:val="none" w:sz="0" w:space="0" w:color="auto"/>
      </w:divBdr>
    </w:div>
    <w:div w:id="1529028717">
      <w:bodyDiv w:val="1"/>
      <w:marLeft w:val="0"/>
      <w:marRight w:val="0"/>
      <w:marTop w:val="0"/>
      <w:marBottom w:val="0"/>
      <w:divBdr>
        <w:top w:val="none" w:sz="0" w:space="0" w:color="auto"/>
        <w:left w:val="none" w:sz="0" w:space="0" w:color="auto"/>
        <w:bottom w:val="none" w:sz="0" w:space="0" w:color="auto"/>
        <w:right w:val="none" w:sz="0" w:space="0" w:color="auto"/>
      </w:divBdr>
    </w:div>
    <w:div w:id="166516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cs.un.org/en/CCPR/C/BDI/CO/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797b77-c200-4d7e-b06b-42fe1f777de1">
      <Terms xmlns="http://schemas.microsoft.com/office/infopath/2007/PartnerControls"/>
    </lcf76f155ced4ddcb4097134ff3c332f>
    <TaxCatchAll xmlns="e8c630da-1593-4b40-8ff7-bd949da10589" xsi:nil="true"/>
    <contributortype xmlns="66797b77-c200-4d7e-b06b-42fe1f777de1" xsi:nil="true"/>
    <additionalsubmission xmlns="66797b77-c200-4d7e-b06b-42fe1f777de1" xsi:nil="true"/>
    <language xmlns="66797b77-c200-4d7e-b06b-42fe1f777de1">En</languag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186A0-8821-4ABA-A5C3-B731D81DFA62}"/>
</file>

<file path=customXml/itemProps2.xml><?xml version="1.0" encoding="utf-8"?>
<ds:datastoreItem xmlns:ds="http://schemas.openxmlformats.org/officeDocument/2006/customXml" ds:itemID="{3C164A11-7767-4772-B099-01AD94818A92}">
  <ds:schemaRefs>
    <ds:schemaRef ds:uri="http://schemas.microsoft.com/sharepoint/v3/contenttype/forms"/>
  </ds:schemaRefs>
</ds:datastoreItem>
</file>

<file path=customXml/itemProps3.xml><?xml version="1.0" encoding="utf-8"?>
<ds:datastoreItem xmlns:ds="http://schemas.openxmlformats.org/officeDocument/2006/customXml" ds:itemID="{69DC503D-D2EB-44E0-A5D2-0ACD0D27FBF8}">
  <ds:schemaRefs>
    <ds:schemaRef ds:uri="http://schemas.microsoft.com/office/2006/metadata/properties"/>
    <ds:schemaRef ds:uri="http://schemas.microsoft.com/office/infopath/2007/PartnerControls"/>
    <ds:schemaRef ds:uri="985ec44e-1bab-4c0b-9df0-6ba128686fc9"/>
    <ds:schemaRef ds:uri="11a6fe0c-d8de-4390-afb3-d9c7c54181f0"/>
    <ds:schemaRef ds:uri="b248d7e1-e1e1-4a8e-9310-749402edb8a9"/>
  </ds:schemaRefs>
</ds:datastoreItem>
</file>

<file path=customXml/itemProps4.xml><?xml version="1.0" encoding="utf-8"?>
<ds:datastoreItem xmlns:ds="http://schemas.openxmlformats.org/officeDocument/2006/customXml" ds:itemID="{89A60E95-CC3E-624E-AD5B-6F34605B2D4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TotalTime>
  <Pages>6</Pages>
  <Words>2429</Words>
  <Characters>13848</Characters>
  <Application>Microsoft Office Word</Application>
  <DocSecurity>0</DocSecurity>
  <Lines>115</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Bolaños Vargas</dc:creator>
  <cp:keywords/>
  <dc:description/>
  <cp:lastModifiedBy>Cherry Balmaceda</cp:lastModifiedBy>
  <cp:revision>7</cp:revision>
  <dcterms:created xsi:type="dcterms:W3CDTF">2026-07-13T22:34:00Z</dcterms:created>
  <dcterms:modified xsi:type="dcterms:W3CDTF">2026-07-15T12:18:00Z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