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Gill Sans MT" w:hAnsi="Gill Sans MT"/>
        </w:rPr>
        <w:id w:val="-398285470"/>
        <w:docPartObj>
          <w:docPartGallery w:val="Cover Pages"/>
          <w:docPartUnique/>
        </w:docPartObj>
      </w:sdtPr>
      <w:sdtEndPr>
        <w:rPr>
          <w:rFonts w:eastAsia="Times New Roman" w:cs="Times New Roman"/>
          <w:sz w:val="24"/>
          <w:szCs w:val="24"/>
          <w:lang w:val="en-US"/>
        </w:rPr>
      </w:sdtEndPr>
      <w:sdtContent>
        <w:p w14:paraId="3D312A8F" w14:textId="2FEC5B09" w:rsidR="001440BE" w:rsidRPr="00C74359" w:rsidRDefault="001440BE">
          <w:pPr>
            <w:rPr>
              <w:rFonts w:ascii="Gill Sans MT" w:hAnsi="Gill Sans MT"/>
            </w:rPr>
          </w:pPr>
          <w:r w:rsidRPr="00C74359">
            <w:rPr>
              <w:rFonts w:ascii="Gill Sans MT" w:hAnsi="Gill Sans MT"/>
              <w:noProof/>
            </w:rPr>
            <mc:AlternateContent>
              <mc:Choice Requires="wpg">
                <w:drawing>
                  <wp:anchor distT="0" distB="0" distL="114300" distR="114300" simplePos="0" relativeHeight="251662336" behindDoc="0" locked="0" layoutInCell="1" allowOverlap="1" wp14:anchorId="223A7EA0" wp14:editId="39188F53">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C848481"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0" o:title="" recolor="t" rotate="t" type="frame"/>
                    </v:rect>
                    <w10:wrap anchorx="page" anchory="page"/>
                  </v:group>
                </w:pict>
              </mc:Fallback>
            </mc:AlternateContent>
          </w:r>
          <w:r w:rsidRPr="00C74359">
            <w:rPr>
              <w:rFonts w:ascii="Gill Sans MT" w:hAnsi="Gill Sans MT"/>
              <w:noProof/>
            </w:rPr>
            <mc:AlternateContent>
              <mc:Choice Requires="wps">
                <w:drawing>
                  <wp:anchor distT="0" distB="0" distL="114300" distR="114300" simplePos="0" relativeHeight="251660288" behindDoc="0" locked="0" layoutInCell="1" allowOverlap="1" wp14:anchorId="7E3F3CC3" wp14:editId="5B0B0E55">
                    <wp:simplePos x="0" y="0"/>
                    <wp:positionH relativeFrom="page">
                      <wp:align>center</wp:align>
                    </wp:positionH>
                    <mc:AlternateContent>
                      <mc:Choice Requires="wp14">
                        <wp:positionV relativeFrom="page">
                          <wp14:pctPosVOffset>81800</wp14:pctPosVOffset>
                        </wp:positionV>
                      </mc:Choice>
                      <mc:Fallback>
                        <wp:positionV relativeFrom="page">
                          <wp:posOffset>8743950</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D249A0" w14:textId="77777777" w:rsidR="001440BE" w:rsidRPr="00794281" w:rsidRDefault="001440BE" w:rsidP="001440BE">
                                <w:pPr>
                                  <w:spacing w:line="259" w:lineRule="auto"/>
                                  <w:jc w:val="center"/>
                                  <w:rPr>
                                    <w:rFonts w:ascii="Gill Sans MT" w:eastAsia="Times New Roman" w:hAnsi="Gill Sans MT" w:cs="Times New Roman"/>
                                    <w:sz w:val="24"/>
                                    <w:szCs w:val="24"/>
                                    <w:lang w:val="en-US"/>
                                  </w:rPr>
                                </w:pPr>
                                <w:r w:rsidRPr="00794281">
                                  <w:rPr>
                                    <w:rFonts w:ascii="Gill Sans MT" w:eastAsia="Times New Roman" w:hAnsi="Gill Sans MT" w:cs="Times New Roman"/>
                                    <w:sz w:val="24"/>
                                    <w:szCs w:val="24"/>
                                    <w:lang w:val="en-US"/>
                                  </w:rPr>
                                  <w:t>Tbilisi, 2026</w:t>
                                </w:r>
                              </w:p>
                              <w:p w14:paraId="12707487" w14:textId="07159093" w:rsidR="001440BE" w:rsidRDefault="001440BE" w:rsidP="001440BE">
                                <w:pPr>
                                  <w:pStyle w:val="NoSpacing"/>
                                  <w:rPr>
                                    <w:color w:val="595959" w:themeColor="text1" w:themeTint="A6"/>
                                    <w:sz w:val="18"/>
                                    <w:szCs w:val="1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7E3F3CC3"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p w14:paraId="5AD249A0" w14:textId="77777777" w:rsidR="001440BE" w:rsidRPr="00794281" w:rsidRDefault="001440BE" w:rsidP="001440BE">
                          <w:pPr>
                            <w:spacing w:line="259" w:lineRule="auto"/>
                            <w:jc w:val="center"/>
                            <w:rPr>
                              <w:rFonts w:ascii="Gill Sans MT" w:eastAsia="Times New Roman" w:hAnsi="Gill Sans MT" w:cs="Times New Roman"/>
                              <w:sz w:val="24"/>
                              <w:szCs w:val="24"/>
                              <w:lang w:val="en-US"/>
                            </w:rPr>
                          </w:pPr>
                          <w:r w:rsidRPr="00794281">
                            <w:rPr>
                              <w:rFonts w:ascii="Gill Sans MT" w:eastAsia="Times New Roman" w:hAnsi="Gill Sans MT" w:cs="Times New Roman"/>
                              <w:sz w:val="24"/>
                              <w:szCs w:val="24"/>
                              <w:lang w:val="en-US"/>
                            </w:rPr>
                            <w:t>Tbilisi, 2026</w:t>
                          </w:r>
                        </w:p>
                        <w:p w14:paraId="12707487" w14:textId="07159093" w:rsidR="001440BE" w:rsidRDefault="001440BE" w:rsidP="001440BE">
                          <w:pPr>
                            <w:pStyle w:val="NoSpacing"/>
                            <w:rPr>
                              <w:color w:val="595959" w:themeColor="text1" w:themeTint="A6"/>
                              <w:sz w:val="18"/>
                              <w:szCs w:val="18"/>
                            </w:rPr>
                          </w:pPr>
                        </w:p>
                      </w:txbxContent>
                    </v:textbox>
                    <w10:wrap type="square" anchorx="page" anchory="page"/>
                  </v:shape>
                </w:pict>
              </mc:Fallback>
            </mc:AlternateContent>
          </w:r>
        </w:p>
        <w:p w14:paraId="3219D24C" w14:textId="09636448" w:rsidR="001440BE" w:rsidRPr="00C74359" w:rsidRDefault="00E04E5E" w:rsidP="001440BE">
          <w:pPr>
            <w:spacing w:after="160" w:line="259" w:lineRule="auto"/>
            <w:rPr>
              <w:rFonts w:ascii="Gill Sans MT" w:eastAsia="Times New Roman" w:hAnsi="Gill Sans MT" w:cs="Times New Roman"/>
              <w:sz w:val="24"/>
              <w:szCs w:val="24"/>
              <w:lang w:val="en-US"/>
            </w:rPr>
          </w:pPr>
          <w:r w:rsidRPr="00C74359">
            <w:rPr>
              <w:rFonts w:ascii="Gill Sans MT" w:hAnsi="Gill Sans MT"/>
              <w:noProof/>
            </w:rPr>
            <mc:AlternateContent>
              <mc:Choice Requires="wps">
                <w:drawing>
                  <wp:anchor distT="0" distB="0" distL="114300" distR="114300" simplePos="0" relativeHeight="251659264" behindDoc="0" locked="0" layoutInCell="1" allowOverlap="1" wp14:anchorId="6CA32FD9" wp14:editId="513DDEF3">
                    <wp:simplePos x="0" y="0"/>
                    <wp:positionH relativeFrom="page">
                      <wp:posOffset>222250</wp:posOffset>
                    </wp:positionH>
                    <wp:positionV relativeFrom="page">
                      <wp:posOffset>1835150</wp:posOffset>
                    </wp:positionV>
                    <wp:extent cx="6858000" cy="260350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6858000" cy="2603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95F0AE" w14:textId="4D48D44A" w:rsidR="001440BE" w:rsidRPr="00E04E5E" w:rsidRDefault="00433FEE">
                                <w:pPr>
                                  <w:jc w:val="right"/>
                                  <w:rPr>
                                    <w:rFonts w:ascii="Gill Sans MT" w:hAnsi="Gill Sans MT"/>
                                    <w:color w:val="4472C4" w:themeColor="accent1"/>
                                    <w:sz w:val="32"/>
                                    <w:szCs w:val="32"/>
                                  </w:rPr>
                                </w:pPr>
                                <w:sdt>
                                  <w:sdtPr>
                                    <w:rPr>
                                      <w:rFonts w:ascii="Gill Sans MT" w:hAnsi="Gill Sans MT"/>
                                      <w:caps/>
                                      <w:color w:val="4472C4" w:themeColor="accent1"/>
                                      <w:sz w:val="32"/>
                                      <w:szCs w:val="32"/>
                                      <w:lang w:val="en-US"/>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105B6F">
                                      <w:rPr>
                                        <w:rFonts w:ascii="Gill Sans MT" w:hAnsi="Gill Sans MT"/>
                                        <w:caps/>
                                        <w:color w:val="4472C4" w:themeColor="accent1"/>
                                        <w:sz w:val="32"/>
                                        <w:szCs w:val="32"/>
                                        <w:lang w:val="en-US"/>
                                      </w:rPr>
                                      <w:t>Human Rights Clinic at Ilia State University School of Law</w:t>
                                    </w:r>
                                  </w:sdtContent>
                                </w:sdt>
                              </w:p>
                              <w:sdt>
                                <w:sdtPr>
                                  <w:rPr>
                                    <w:rFonts w:ascii="Gill Sans MT" w:hAnsi="Gill Sans MT"/>
                                    <w:color w:val="404040" w:themeColor="text1" w:themeTint="BF"/>
                                    <w:sz w:val="28"/>
                                    <w:szCs w:val="28"/>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5B3F2C7C" w14:textId="6B35541E" w:rsidR="001440BE" w:rsidRPr="00E04E5E" w:rsidRDefault="00105B6F">
                                    <w:pPr>
                                      <w:jc w:val="right"/>
                                      <w:rPr>
                                        <w:rFonts w:ascii="Gill Sans MT" w:hAnsi="Gill Sans MT"/>
                                        <w:smallCaps/>
                                        <w:color w:val="404040" w:themeColor="text1" w:themeTint="BF"/>
                                        <w:sz w:val="28"/>
                                        <w:szCs w:val="28"/>
                                      </w:rPr>
                                    </w:pPr>
                                    <w:r>
                                      <w:rPr>
                                        <w:rFonts w:ascii="Gill Sans MT" w:hAnsi="Gill Sans MT"/>
                                        <w:color w:val="404040" w:themeColor="text1" w:themeTint="BF"/>
                                        <w:sz w:val="28"/>
                                        <w:szCs w:val="28"/>
                                      </w:rPr>
                                      <w:t>Contribution to the Draft General Comment No. 38 on Article 22 of the ICCPR (Right to Freedom of Association)</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CA32FD9" id="_x0000_t202" coordsize="21600,21600" o:spt="202" path="m,l,21600r21600,l21600,xe">
                    <v:stroke joinstyle="miter"/>
                    <v:path gradientshapeok="t" o:connecttype="rect"/>
                  </v:shapetype>
                  <v:shape id="Text Box 154" o:spid="_x0000_s1027" type="#_x0000_t202" style="position:absolute;margin-left:17.5pt;margin-top:144.5pt;width:540pt;height:2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" filled="f" stroked="f" strokeweight=".5pt">
                    <v:textbox inset="126pt,0,54pt,0">
                      <w:txbxContent>
                        <w:p w14:paraId="6895F0AE" w14:textId="4D48D44A" w:rsidR="001440BE" w:rsidRPr="00E04E5E" w:rsidRDefault="006358C9">
                          <w:pPr>
                            <w:jc w:val="right"/>
                            <w:rPr>
                              <w:rFonts w:ascii="Gill Sans MT" w:hAnsi="Gill Sans MT"/>
                              <w:color w:val="4472C4" w:themeColor="accent1"/>
                              <w:sz w:val="32"/>
                              <w:szCs w:val="32"/>
                            </w:rPr>
                          </w:pPr>
                          <w:sdt>
                            <w:sdtPr>
                              <w:rPr>
                                <w:rFonts w:ascii="Gill Sans MT" w:hAnsi="Gill Sans MT"/>
                                <w:caps/>
                                <w:color w:val="4472C4" w:themeColor="accent1"/>
                                <w:sz w:val="32"/>
                                <w:szCs w:val="32"/>
                                <w:lang w:val="en-US"/>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105B6F">
                                <w:rPr>
                                  <w:rFonts w:ascii="Gill Sans MT" w:hAnsi="Gill Sans MT"/>
                                  <w:caps/>
                                  <w:color w:val="4472C4" w:themeColor="accent1"/>
                                  <w:sz w:val="32"/>
                                  <w:szCs w:val="32"/>
                                  <w:lang w:val="en-US"/>
                                </w:rPr>
                                <w:t>Human Rights Clinic at Ilia State University School of Law</w:t>
                              </w:r>
                            </w:sdtContent>
                          </w:sdt>
                        </w:p>
                        <w:sdt>
                          <w:sdtPr>
                            <w:rPr>
                              <w:rFonts w:ascii="Gill Sans MT" w:hAnsi="Gill Sans MT"/>
                              <w:color w:val="404040" w:themeColor="text1" w:themeTint="BF"/>
                              <w:sz w:val="28"/>
                              <w:szCs w:val="28"/>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5B3F2C7C" w14:textId="6B35541E" w:rsidR="001440BE" w:rsidRPr="00E04E5E" w:rsidRDefault="00105B6F">
                              <w:pPr>
                                <w:jc w:val="right"/>
                                <w:rPr>
                                  <w:rFonts w:ascii="Gill Sans MT" w:hAnsi="Gill Sans MT"/>
                                  <w:smallCaps/>
                                  <w:color w:val="404040" w:themeColor="text1" w:themeTint="BF"/>
                                  <w:sz w:val="28"/>
                                  <w:szCs w:val="28"/>
                                </w:rPr>
                              </w:pPr>
                              <w:r>
                                <w:rPr>
                                  <w:rFonts w:ascii="Gill Sans MT" w:hAnsi="Gill Sans MT"/>
                                  <w:color w:val="404040" w:themeColor="text1" w:themeTint="BF"/>
                                  <w:sz w:val="28"/>
                                  <w:szCs w:val="28"/>
                                </w:rPr>
                                <w:t>Contribution to the Draft General Comment No. 38 on Article 22 of the ICCPR (Right to Freedom of Association)</w:t>
                              </w:r>
                            </w:p>
                          </w:sdtContent>
                        </w:sdt>
                      </w:txbxContent>
                    </v:textbox>
                    <w10:wrap type="square" anchorx="page" anchory="page"/>
                  </v:shape>
                </w:pict>
              </mc:Fallback>
            </mc:AlternateContent>
          </w:r>
          <w:r w:rsidR="001440BE" w:rsidRPr="00C74359">
            <w:rPr>
              <w:rFonts w:ascii="Gill Sans MT" w:hAnsi="Gill Sans MT"/>
              <w:noProof/>
            </w:rPr>
            <mc:AlternateContent>
              <mc:Choice Requires="wps">
                <w:drawing>
                  <wp:anchor distT="0" distB="0" distL="114300" distR="114300" simplePos="0" relativeHeight="251661312" behindDoc="0" locked="0" layoutInCell="1" allowOverlap="1" wp14:anchorId="5231B8B5" wp14:editId="028F5456">
                    <wp:simplePos x="0" y="0"/>
                    <wp:positionH relativeFrom="page">
                      <wp:posOffset>222250</wp:posOffset>
                    </wp:positionH>
                    <wp:positionV relativeFrom="page">
                      <wp:posOffset>5683250</wp:posOffset>
                    </wp:positionV>
                    <wp:extent cx="7277100" cy="3568700"/>
                    <wp:effectExtent l="0" t="0" r="0" b="12700"/>
                    <wp:wrapSquare wrapText="bothSides"/>
                    <wp:docPr id="153" name="Text Box 153"/>
                    <wp:cNvGraphicFramePr/>
                    <a:graphic xmlns:a="http://schemas.openxmlformats.org/drawingml/2006/main">
                      <a:graphicData uri="http://schemas.microsoft.com/office/word/2010/wordprocessingShape">
                        <wps:wsp>
                          <wps:cNvSpPr txBox="1"/>
                          <wps:spPr>
                            <a:xfrm>
                              <a:off x="0" y="0"/>
                              <a:ext cx="7277100" cy="3568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20CC93" w14:textId="6CA35C97" w:rsidR="001440BE" w:rsidRDefault="001440BE">
                                <w:pPr>
                                  <w:pStyle w:val="NoSpacing"/>
                                  <w:jc w:val="right"/>
                                  <w:rPr>
                                    <w:color w:val="4472C4" w:themeColor="accent1"/>
                                    <w:sz w:val="28"/>
                                    <w:szCs w:val="28"/>
                                  </w:rPr>
                                </w:pPr>
                                <w:r w:rsidRPr="001440BE">
                                  <w:rPr>
                                    <w:color w:val="4472C4" w:themeColor="accent1"/>
                                    <w:sz w:val="28"/>
                                    <w:szCs w:val="28"/>
                                  </w:rPr>
                                  <w:t xml:space="preserve">Contributors  </w:t>
                                </w:r>
                              </w:p>
                              <w:sdt>
                                <w:sdtPr>
                                  <w:rPr>
                                    <w:rFonts w:ascii="Gill Sans MT" w:eastAsia="Times New Roman" w:hAnsi="Gill Sans MT" w:cs="Times New Roman"/>
                                    <w:sz w:val="24"/>
                                    <w:szCs w:val="24"/>
                                  </w:rPr>
                                  <w:alias w:val="Abstract"/>
                                  <w:tag w:val=""/>
                                  <w:id w:val="1375273687"/>
                                  <w:dataBinding w:prefixMappings="xmlns:ns0='http://schemas.microsoft.com/office/2006/coverPageProps' " w:xpath="/ns0:CoverPageProperties[1]/ns0:Abstract[1]" w:storeItemID="{55AF091B-3C7A-41E3-B477-F2FDAA23CFDA}"/>
                                  <w:text w:multiLine="1"/>
                                </w:sdtPr>
                                <w:sdtEndPr/>
                                <w:sdtContent>
                                  <w:p w14:paraId="365502A3" w14:textId="1DE585DA" w:rsidR="001440BE" w:rsidRDefault="001440BE" w:rsidP="00E04E5E">
                                    <w:pPr>
                                      <w:pStyle w:val="NoSpacing"/>
                                      <w:jc w:val="right"/>
                                      <w:rPr>
                                        <w:color w:val="595959" w:themeColor="text1" w:themeTint="A6"/>
                                        <w:sz w:val="20"/>
                                        <w:szCs w:val="20"/>
                                      </w:rPr>
                                    </w:pPr>
                                    <w:r w:rsidRPr="001440BE">
                                      <w:rPr>
                                        <w:rFonts w:ascii="Gill Sans MT" w:eastAsia="Times New Roman" w:hAnsi="Gill Sans MT" w:cs="Times New Roman"/>
                                        <w:sz w:val="24"/>
                                        <w:szCs w:val="24"/>
                                      </w:rPr>
                                      <w:t xml:space="preserve">This submission has been prepared by the Human Rights Clinic </w:t>
                                    </w:r>
                                    <w:r w:rsidR="00E04E5E">
                                      <w:rPr>
                                        <w:rFonts w:ascii="Gill Sans MT" w:eastAsia="Times New Roman" w:hAnsi="Gill Sans MT" w:cs="Times New Roman"/>
                                        <w:sz w:val="24"/>
                                        <w:szCs w:val="24"/>
                                      </w:rPr>
                                      <w:br/>
                                    </w:r>
                                    <w:r w:rsidRPr="001440BE">
                                      <w:rPr>
                                        <w:rFonts w:ascii="Gill Sans MT" w:eastAsia="Times New Roman" w:hAnsi="Gill Sans MT" w:cs="Times New Roman"/>
                                        <w:sz w:val="24"/>
                                        <w:szCs w:val="24"/>
                                      </w:rPr>
                                      <w:t xml:space="preserve">at Ilia State University School of Law Tamar </w:t>
                                    </w:r>
                                    <w:proofErr w:type="spellStart"/>
                                    <w:r w:rsidRPr="001440BE">
                                      <w:rPr>
                                        <w:rFonts w:ascii="Gill Sans MT" w:eastAsia="Times New Roman" w:hAnsi="Gill Sans MT" w:cs="Times New Roman"/>
                                        <w:sz w:val="24"/>
                                        <w:szCs w:val="24"/>
                                      </w:rPr>
                                      <w:t>Gurchiani</w:t>
                                    </w:r>
                                    <w:proofErr w:type="spellEnd"/>
                                    <w:r w:rsidRPr="001440BE">
                                      <w:rPr>
                                        <w:rFonts w:ascii="Gill Sans MT" w:eastAsia="Times New Roman" w:hAnsi="Gill Sans MT" w:cs="Times New Roman"/>
                                        <w:sz w:val="24"/>
                                        <w:szCs w:val="24"/>
                                      </w:rPr>
                                      <w:t xml:space="preserve">, Khatia Tsetskhladze, </w:t>
                                    </w:r>
                                    <w:proofErr w:type="spellStart"/>
                                    <w:r w:rsidRPr="001440BE">
                                      <w:rPr>
                                        <w:rFonts w:ascii="Gill Sans MT" w:eastAsia="Times New Roman" w:hAnsi="Gill Sans MT" w:cs="Times New Roman"/>
                                        <w:sz w:val="24"/>
                                        <w:szCs w:val="24"/>
                                      </w:rPr>
                                      <w:t>Nato</w:t>
                                    </w:r>
                                    <w:proofErr w:type="spellEnd"/>
                                    <w:r w:rsidRPr="001440BE">
                                      <w:rPr>
                                        <w:rFonts w:ascii="Gill Sans MT" w:eastAsia="Times New Roman" w:hAnsi="Gill Sans MT" w:cs="Times New Roman"/>
                                        <w:sz w:val="24"/>
                                        <w:szCs w:val="24"/>
                                      </w:rPr>
                                      <w:t xml:space="preserve"> </w:t>
                                    </w:r>
                                    <w:proofErr w:type="spellStart"/>
                                    <w:r w:rsidRPr="001440BE">
                                      <w:rPr>
                                        <w:rFonts w:ascii="Gill Sans MT" w:eastAsia="Times New Roman" w:hAnsi="Gill Sans MT" w:cs="Times New Roman"/>
                                        <w:sz w:val="24"/>
                                        <w:szCs w:val="24"/>
                                      </w:rPr>
                                      <w:t>Mirzashvili</w:t>
                                    </w:r>
                                    <w:proofErr w:type="spellEnd"/>
                                    <w:r w:rsidRPr="001440BE">
                                      <w:rPr>
                                        <w:rFonts w:ascii="Gill Sans MT" w:eastAsia="Times New Roman" w:hAnsi="Gill Sans MT" w:cs="Times New Roman"/>
                                        <w:sz w:val="24"/>
                                        <w:szCs w:val="24"/>
                                      </w:rPr>
                                      <w:t xml:space="preserve">, </w:t>
                                    </w:r>
                                    <w:proofErr w:type="spellStart"/>
                                    <w:r w:rsidRPr="001440BE">
                                      <w:rPr>
                                        <w:rFonts w:ascii="Gill Sans MT" w:eastAsia="Times New Roman" w:hAnsi="Gill Sans MT" w:cs="Times New Roman"/>
                                        <w:sz w:val="24"/>
                                        <w:szCs w:val="24"/>
                                      </w:rPr>
                                      <w:t>Manuchar</w:t>
                                    </w:r>
                                    <w:proofErr w:type="spellEnd"/>
                                    <w:r w:rsidRPr="001440BE">
                                      <w:rPr>
                                        <w:rFonts w:ascii="Gill Sans MT" w:eastAsia="Times New Roman" w:hAnsi="Gill Sans MT" w:cs="Times New Roman"/>
                                        <w:sz w:val="24"/>
                                        <w:szCs w:val="24"/>
                                      </w:rPr>
                                      <w:t xml:space="preserve"> Tsetskhladze with the participation of students engaged in clinical legal educatio</w:t>
                                    </w:r>
                                    <w:r>
                                      <w:rPr>
                                        <w:rFonts w:ascii="Gill Sans MT" w:eastAsia="Times New Roman" w:hAnsi="Gill Sans MT" w:cs="Times New Roman"/>
                                        <w:sz w:val="24"/>
                                        <w:szCs w:val="24"/>
                                      </w:rPr>
                                      <w:t>n.</w:t>
                                    </w:r>
                                    <w:r>
                                      <w:rPr>
                                        <w:rFonts w:ascii="Gill Sans MT" w:eastAsia="Times New Roman" w:hAnsi="Gill Sans MT" w:cs="Times New Roman"/>
                                        <w:sz w:val="24"/>
                                        <w:szCs w:val="24"/>
                                      </w:rPr>
                                      <w:br/>
                                    </w:r>
                                    <w:r>
                                      <w:rPr>
                                        <w:rFonts w:ascii="Gill Sans MT" w:eastAsia="Times New Roman" w:hAnsi="Gill Sans MT" w:cs="Times New Roman"/>
                                        <w:sz w:val="24"/>
                                        <w:szCs w:val="24"/>
                                      </w:rPr>
                                      <w:br/>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231B8B5" id="Text Box 153" o:spid="_x0000_s1028" type="#_x0000_t202" style="position:absolute;margin-left:17.5pt;margin-top:447.5pt;width:573pt;height:28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" filled="f" stroked="f" strokeweight=".5pt">
                    <v:textbox inset="126pt,0,54pt,0">
                      <w:txbxContent>
                        <w:p w14:paraId="6520CC93" w14:textId="6CA35C97" w:rsidR="001440BE" w:rsidRDefault="001440BE">
                          <w:pPr>
                            <w:pStyle w:val="NoSpacing"/>
                            <w:jc w:val="right"/>
                            <w:rPr>
                              <w:color w:val="4472C4" w:themeColor="accent1"/>
                              <w:sz w:val="28"/>
                              <w:szCs w:val="28"/>
                            </w:rPr>
                          </w:pPr>
                          <w:r w:rsidRPr="001440BE">
                            <w:rPr>
                              <w:color w:val="4472C4" w:themeColor="accent1"/>
                              <w:sz w:val="28"/>
                              <w:szCs w:val="28"/>
                            </w:rPr>
                            <w:t xml:space="preserve">Contributors  </w:t>
                          </w:r>
                        </w:p>
                        <w:sdt>
                          <w:sdtPr>
                            <w:rPr>
                              <w:rFonts w:ascii="Gill Sans MT" w:eastAsia="Times New Roman" w:hAnsi="Gill Sans MT" w:cs="Times New Roman"/>
                              <w:sz w:val="24"/>
                              <w:szCs w:val="24"/>
                            </w:rPr>
                            <w:alias w:val="Abstract"/>
                            <w:tag w:val=""/>
                            <w:id w:val="1375273687"/>
                            <w:dataBinding w:prefixMappings="xmlns:ns0='http://schemas.microsoft.com/office/2006/coverPageProps' " w:xpath="/ns0:CoverPageProperties[1]/ns0:Abstract[1]" w:storeItemID="{55AF091B-3C7A-41E3-B477-F2FDAA23CFDA}"/>
                            <w:text w:multiLine="1"/>
                          </w:sdtPr>
                          <w:sdtContent>
                            <w:p w14:paraId="365502A3" w14:textId="1DE585DA" w:rsidR="001440BE" w:rsidRDefault="001440BE" w:rsidP="00E04E5E">
                              <w:pPr>
                                <w:pStyle w:val="NoSpacing"/>
                                <w:jc w:val="right"/>
                                <w:rPr>
                                  <w:color w:val="595959" w:themeColor="text1" w:themeTint="A6"/>
                                  <w:sz w:val="20"/>
                                  <w:szCs w:val="20"/>
                                </w:rPr>
                              </w:pPr>
                              <w:r w:rsidRPr="001440BE">
                                <w:rPr>
                                  <w:rFonts w:ascii="Gill Sans MT" w:eastAsia="Times New Roman" w:hAnsi="Gill Sans MT" w:cs="Times New Roman"/>
                                  <w:sz w:val="24"/>
                                  <w:szCs w:val="24"/>
                                </w:rPr>
                                <w:t xml:space="preserve">This submission has been prepared by the Human Rights Clinic </w:t>
                              </w:r>
                              <w:r w:rsidR="00E04E5E">
                                <w:rPr>
                                  <w:rFonts w:ascii="Gill Sans MT" w:eastAsia="Times New Roman" w:hAnsi="Gill Sans MT" w:cs="Times New Roman"/>
                                  <w:sz w:val="24"/>
                                  <w:szCs w:val="24"/>
                                </w:rPr>
                                <w:br/>
                              </w:r>
                              <w:r w:rsidRPr="001440BE">
                                <w:rPr>
                                  <w:rFonts w:ascii="Gill Sans MT" w:eastAsia="Times New Roman" w:hAnsi="Gill Sans MT" w:cs="Times New Roman"/>
                                  <w:sz w:val="24"/>
                                  <w:szCs w:val="24"/>
                                </w:rPr>
                                <w:t xml:space="preserve">at Ilia State University School of Law Tamar </w:t>
                              </w:r>
                              <w:proofErr w:type="spellStart"/>
                              <w:r w:rsidRPr="001440BE">
                                <w:rPr>
                                  <w:rFonts w:ascii="Gill Sans MT" w:eastAsia="Times New Roman" w:hAnsi="Gill Sans MT" w:cs="Times New Roman"/>
                                  <w:sz w:val="24"/>
                                  <w:szCs w:val="24"/>
                                </w:rPr>
                                <w:t>Gurchiani</w:t>
                              </w:r>
                              <w:proofErr w:type="spellEnd"/>
                              <w:r w:rsidRPr="001440BE">
                                <w:rPr>
                                  <w:rFonts w:ascii="Gill Sans MT" w:eastAsia="Times New Roman" w:hAnsi="Gill Sans MT" w:cs="Times New Roman"/>
                                  <w:sz w:val="24"/>
                                  <w:szCs w:val="24"/>
                                </w:rPr>
                                <w:t xml:space="preserve">, Khatia Tsetskhladze, </w:t>
                              </w:r>
                              <w:proofErr w:type="spellStart"/>
                              <w:r w:rsidRPr="001440BE">
                                <w:rPr>
                                  <w:rFonts w:ascii="Gill Sans MT" w:eastAsia="Times New Roman" w:hAnsi="Gill Sans MT" w:cs="Times New Roman"/>
                                  <w:sz w:val="24"/>
                                  <w:szCs w:val="24"/>
                                </w:rPr>
                                <w:t>Nato</w:t>
                              </w:r>
                              <w:proofErr w:type="spellEnd"/>
                              <w:r w:rsidRPr="001440BE">
                                <w:rPr>
                                  <w:rFonts w:ascii="Gill Sans MT" w:eastAsia="Times New Roman" w:hAnsi="Gill Sans MT" w:cs="Times New Roman"/>
                                  <w:sz w:val="24"/>
                                  <w:szCs w:val="24"/>
                                </w:rPr>
                                <w:t xml:space="preserve"> </w:t>
                              </w:r>
                              <w:proofErr w:type="spellStart"/>
                              <w:r w:rsidRPr="001440BE">
                                <w:rPr>
                                  <w:rFonts w:ascii="Gill Sans MT" w:eastAsia="Times New Roman" w:hAnsi="Gill Sans MT" w:cs="Times New Roman"/>
                                  <w:sz w:val="24"/>
                                  <w:szCs w:val="24"/>
                                </w:rPr>
                                <w:t>Mirzashvili</w:t>
                              </w:r>
                              <w:proofErr w:type="spellEnd"/>
                              <w:r w:rsidRPr="001440BE">
                                <w:rPr>
                                  <w:rFonts w:ascii="Gill Sans MT" w:eastAsia="Times New Roman" w:hAnsi="Gill Sans MT" w:cs="Times New Roman"/>
                                  <w:sz w:val="24"/>
                                  <w:szCs w:val="24"/>
                                </w:rPr>
                                <w:t xml:space="preserve">, </w:t>
                              </w:r>
                              <w:proofErr w:type="spellStart"/>
                              <w:r w:rsidRPr="001440BE">
                                <w:rPr>
                                  <w:rFonts w:ascii="Gill Sans MT" w:eastAsia="Times New Roman" w:hAnsi="Gill Sans MT" w:cs="Times New Roman"/>
                                  <w:sz w:val="24"/>
                                  <w:szCs w:val="24"/>
                                </w:rPr>
                                <w:t>Manuchar</w:t>
                              </w:r>
                              <w:proofErr w:type="spellEnd"/>
                              <w:r w:rsidRPr="001440BE">
                                <w:rPr>
                                  <w:rFonts w:ascii="Gill Sans MT" w:eastAsia="Times New Roman" w:hAnsi="Gill Sans MT" w:cs="Times New Roman"/>
                                  <w:sz w:val="24"/>
                                  <w:szCs w:val="24"/>
                                </w:rPr>
                                <w:t xml:space="preserve"> Tsetskhladze with the participation of students engaged in clinical legal educatio</w:t>
                              </w:r>
                              <w:r>
                                <w:rPr>
                                  <w:rFonts w:ascii="Gill Sans MT" w:eastAsia="Times New Roman" w:hAnsi="Gill Sans MT" w:cs="Times New Roman"/>
                                  <w:sz w:val="24"/>
                                  <w:szCs w:val="24"/>
                                </w:rPr>
                                <w:t>n.</w:t>
                              </w:r>
                              <w:r>
                                <w:rPr>
                                  <w:rFonts w:ascii="Gill Sans MT" w:eastAsia="Times New Roman" w:hAnsi="Gill Sans MT" w:cs="Times New Roman"/>
                                  <w:sz w:val="24"/>
                                  <w:szCs w:val="24"/>
                                </w:rPr>
                                <w:br/>
                              </w:r>
                              <w:r>
                                <w:rPr>
                                  <w:rFonts w:ascii="Gill Sans MT" w:eastAsia="Times New Roman" w:hAnsi="Gill Sans MT" w:cs="Times New Roman"/>
                                  <w:sz w:val="24"/>
                                  <w:szCs w:val="24"/>
                                </w:rPr>
                                <w:br/>
                              </w:r>
                            </w:p>
                          </w:sdtContent>
                        </w:sdt>
                      </w:txbxContent>
                    </v:textbox>
                    <w10:wrap type="square" anchorx="page" anchory="page"/>
                  </v:shape>
                </w:pict>
              </mc:Fallback>
            </mc:AlternateContent>
          </w:r>
          <w:r w:rsidR="001440BE" w:rsidRPr="00C74359">
            <w:rPr>
              <w:rFonts w:ascii="Gill Sans MT" w:eastAsia="Times New Roman" w:hAnsi="Gill Sans MT" w:cs="Times New Roman"/>
              <w:sz w:val="24"/>
              <w:szCs w:val="24"/>
              <w:lang w:val="en-US"/>
            </w:rPr>
            <w:br w:type="page"/>
          </w:r>
        </w:p>
      </w:sdtContent>
    </w:sdt>
    <w:p w14:paraId="1F6F13C0" w14:textId="7135A2C6" w:rsidR="0084193C" w:rsidRPr="00C74359" w:rsidRDefault="0084193C" w:rsidP="00794281">
      <w:pPr>
        <w:spacing w:line="259" w:lineRule="auto"/>
        <w:jc w:val="both"/>
        <w:rPr>
          <w:rFonts w:ascii="Gill Sans MT" w:eastAsia="Times New Roman" w:hAnsi="Gill Sans MT" w:cs="Times New Roman"/>
          <w:sz w:val="24"/>
          <w:szCs w:val="24"/>
          <w:lang w:val="en-US"/>
        </w:rPr>
      </w:pPr>
    </w:p>
    <w:p w14:paraId="4DBABA42" w14:textId="4F11D9CB" w:rsidR="00794281" w:rsidRPr="00C74359" w:rsidRDefault="00794281" w:rsidP="00794281">
      <w:pPr>
        <w:spacing w:line="259" w:lineRule="auto"/>
        <w:jc w:val="both"/>
        <w:rPr>
          <w:rFonts w:ascii="Gill Sans MT" w:eastAsia="Times New Roman" w:hAnsi="Gill Sans MT" w:cs="Times New Roman"/>
          <w:b/>
          <w:bCs/>
          <w:sz w:val="24"/>
          <w:szCs w:val="24"/>
          <w:lang w:val="en-US"/>
        </w:rPr>
      </w:pPr>
      <w:r w:rsidRPr="00C74359">
        <w:rPr>
          <w:rFonts w:ascii="Gill Sans MT" w:eastAsia="Times New Roman" w:hAnsi="Gill Sans MT" w:cs="Times New Roman"/>
          <w:b/>
          <w:bCs/>
          <w:sz w:val="24"/>
          <w:szCs w:val="24"/>
          <w:lang w:val="en-US"/>
        </w:rPr>
        <w:t xml:space="preserve">Executive Summary  </w:t>
      </w:r>
    </w:p>
    <w:p w14:paraId="0F886699" w14:textId="77777777" w:rsidR="00794281" w:rsidRPr="00C74359" w:rsidRDefault="00794281" w:rsidP="00794281">
      <w:pPr>
        <w:spacing w:line="259" w:lineRule="auto"/>
        <w:jc w:val="both"/>
        <w:rPr>
          <w:rFonts w:ascii="Gill Sans MT" w:eastAsia="Times New Roman" w:hAnsi="Gill Sans MT" w:cs="Times New Roman"/>
          <w:sz w:val="24"/>
          <w:szCs w:val="24"/>
          <w:lang w:val="en-US"/>
        </w:rPr>
      </w:pPr>
    </w:p>
    <w:p w14:paraId="7ED4AF47" w14:textId="43CDA0BB" w:rsidR="00794281" w:rsidRPr="00C74359" w:rsidRDefault="00794281" w:rsidP="00794281">
      <w:pPr>
        <w:spacing w:line="259" w:lineRule="auto"/>
        <w:jc w:val="both"/>
        <w:rPr>
          <w:rFonts w:ascii="Gill Sans MT" w:eastAsia="Times New Roman" w:hAnsi="Gill Sans MT" w:cs="Times New Roman"/>
          <w:sz w:val="24"/>
          <w:szCs w:val="24"/>
          <w:lang w:val="en-US"/>
        </w:rPr>
      </w:pPr>
      <w:r w:rsidRPr="00C74359">
        <w:rPr>
          <w:rFonts w:ascii="Gill Sans MT" w:eastAsia="Times New Roman" w:hAnsi="Gill Sans MT" w:cs="Times New Roman"/>
          <w:sz w:val="24"/>
          <w:szCs w:val="24"/>
          <w:lang w:val="en-US"/>
        </w:rPr>
        <w:t xml:space="preserve">Article 22 of the ICCPR, as highlighted in the Concept Note for General Comment No. 38, guarantees the right to freedom of association, including the right to form and join trade unions, political parties, religious associations, and election observation organizations. This freedom is indispensable for democratic governance, pluralism, and the exercise of other rights such as freedom of expression, peaceful assembly, and </w:t>
      </w:r>
      <w:r w:rsidR="00E04E5E" w:rsidRPr="00C74359">
        <w:rPr>
          <w:rFonts w:ascii="Gill Sans MT" w:eastAsia="Times New Roman" w:hAnsi="Gill Sans MT" w:cs="Times New Roman"/>
          <w:sz w:val="24"/>
          <w:szCs w:val="24"/>
          <w:lang w:val="en-US"/>
        </w:rPr>
        <w:t xml:space="preserve">freedom of </w:t>
      </w:r>
      <w:r w:rsidRPr="00C74359">
        <w:rPr>
          <w:rFonts w:ascii="Gill Sans MT" w:eastAsia="Times New Roman" w:hAnsi="Gill Sans MT" w:cs="Times New Roman"/>
          <w:sz w:val="24"/>
          <w:szCs w:val="24"/>
          <w:lang w:val="en-US"/>
        </w:rPr>
        <w:t xml:space="preserve">religion. The Concept Note stresses that restrictions must be lawful, necessary, proportionate, and based on legitimate aims, and that associations must be presumed lawful in their formation and activities.  </w:t>
      </w:r>
    </w:p>
    <w:p w14:paraId="405543BC" w14:textId="77777777" w:rsidR="00794281" w:rsidRPr="00C74359" w:rsidRDefault="00794281" w:rsidP="00794281">
      <w:pPr>
        <w:spacing w:line="259" w:lineRule="auto"/>
        <w:jc w:val="both"/>
        <w:rPr>
          <w:rFonts w:ascii="Gill Sans MT" w:eastAsia="Times New Roman" w:hAnsi="Gill Sans MT" w:cs="Times New Roman"/>
          <w:sz w:val="24"/>
          <w:szCs w:val="24"/>
          <w:lang w:val="en-US"/>
        </w:rPr>
      </w:pPr>
    </w:p>
    <w:p w14:paraId="22145066" w14:textId="77777777" w:rsidR="00794281" w:rsidRPr="00C74359" w:rsidRDefault="00794281" w:rsidP="00794281">
      <w:pPr>
        <w:spacing w:line="259" w:lineRule="auto"/>
        <w:jc w:val="both"/>
        <w:rPr>
          <w:rFonts w:ascii="Gill Sans MT" w:eastAsia="Times New Roman" w:hAnsi="Gill Sans MT" w:cs="Times New Roman"/>
          <w:sz w:val="24"/>
          <w:szCs w:val="24"/>
          <w:lang w:val="en-US"/>
        </w:rPr>
      </w:pPr>
      <w:r w:rsidRPr="00C74359">
        <w:rPr>
          <w:rFonts w:ascii="Gill Sans MT" w:eastAsia="Times New Roman" w:hAnsi="Gill Sans MT" w:cs="Times New Roman"/>
          <w:sz w:val="24"/>
          <w:szCs w:val="24"/>
          <w:lang w:val="en-US"/>
        </w:rPr>
        <w:t xml:space="preserve">Georgia’s adoption of the Law on Transparency of Foreign Influence (2024), followed by the Foreign Agents Registration Act (2025) and amendments to the Law on Grants (2025–26), has created a restrictive and stigmatizing framework that undermines these principles. Organizations receiving foreign funding are labeled as “foreign agents” or “carriers of foreign power interests,” and subjected to excessive monitoring, financial sanctions, criminal liability, and asset freezes. These measures contradict the Concept Note’s emphasis on enabling environments for associations and the recognition that foreign funding is not inherently impermissible.  </w:t>
      </w:r>
    </w:p>
    <w:p w14:paraId="005D2F60" w14:textId="77777777" w:rsidR="00794281" w:rsidRPr="00C74359" w:rsidRDefault="00794281" w:rsidP="00794281">
      <w:pPr>
        <w:spacing w:line="259" w:lineRule="auto"/>
        <w:jc w:val="both"/>
        <w:rPr>
          <w:rFonts w:ascii="Gill Sans MT" w:eastAsia="Times New Roman" w:hAnsi="Gill Sans MT" w:cs="Times New Roman"/>
          <w:sz w:val="24"/>
          <w:szCs w:val="24"/>
          <w:lang w:val="en-US"/>
        </w:rPr>
      </w:pPr>
    </w:p>
    <w:p w14:paraId="11EF32F2" w14:textId="77777777" w:rsidR="00794281" w:rsidRPr="00C74359" w:rsidRDefault="00794281" w:rsidP="00794281">
      <w:pPr>
        <w:spacing w:line="259" w:lineRule="auto"/>
        <w:jc w:val="both"/>
        <w:rPr>
          <w:rFonts w:ascii="Gill Sans MT" w:eastAsia="Times New Roman" w:hAnsi="Gill Sans MT" w:cs="Times New Roman"/>
          <w:sz w:val="24"/>
          <w:szCs w:val="24"/>
          <w:lang w:val="en-US"/>
        </w:rPr>
      </w:pPr>
      <w:r w:rsidRPr="00C74359">
        <w:rPr>
          <w:rFonts w:ascii="Gill Sans MT" w:eastAsia="Times New Roman" w:hAnsi="Gill Sans MT" w:cs="Times New Roman"/>
          <w:sz w:val="24"/>
          <w:szCs w:val="24"/>
          <w:lang w:val="en-US"/>
        </w:rPr>
        <w:t xml:space="preserve">International institutions including the Venice Commission, OSCE/ODIHR, the Council of Europe Commissioner for Human Rights, and the Parliamentary Assembly of the Council of Europe (PACE) have concluded that this framework fails to meet international standards. They warn that the legislation silences dissenting voices, undermines pluralism, and amounts to persecution of civil society. The European Court of Human Rights has consistently affirmed that only compelling reasons can justify restrictions on freedom of association, and that stigmatizing labels and disproportionate sanctions violate the European Convention on Human Rights.  </w:t>
      </w:r>
    </w:p>
    <w:p w14:paraId="208222D1" w14:textId="77777777" w:rsidR="00794281" w:rsidRPr="00C74359" w:rsidRDefault="00794281" w:rsidP="00794281">
      <w:pPr>
        <w:spacing w:line="259" w:lineRule="auto"/>
        <w:jc w:val="both"/>
        <w:rPr>
          <w:rFonts w:ascii="Gill Sans MT" w:eastAsia="Times New Roman" w:hAnsi="Gill Sans MT" w:cs="Times New Roman"/>
          <w:sz w:val="24"/>
          <w:szCs w:val="24"/>
          <w:lang w:val="en-US"/>
        </w:rPr>
      </w:pPr>
    </w:p>
    <w:p w14:paraId="3B7E76E9" w14:textId="555C161C" w:rsidR="00794281" w:rsidRPr="00C74359" w:rsidRDefault="00794281" w:rsidP="00794281">
      <w:pPr>
        <w:spacing w:line="259" w:lineRule="auto"/>
        <w:jc w:val="both"/>
        <w:rPr>
          <w:rFonts w:ascii="Gill Sans MT" w:eastAsia="Times New Roman" w:hAnsi="Gill Sans MT" w:cs="Times New Roman"/>
          <w:sz w:val="24"/>
          <w:szCs w:val="24"/>
          <w:lang w:val="en-US"/>
        </w:rPr>
      </w:pPr>
      <w:r w:rsidRPr="00C74359">
        <w:rPr>
          <w:rFonts w:ascii="Gill Sans MT" w:eastAsia="Times New Roman" w:hAnsi="Gill Sans MT" w:cs="Times New Roman"/>
          <w:sz w:val="24"/>
          <w:szCs w:val="24"/>
          <w:lang w:val="en-US"/>
        </w:rPr>
        <w:t>The impact of these laws is particularly severe for the four categories of associations emphasized in the Concept Note. Election observation organizations have been stripped of autonomy through stigmatization, denial of funding, arbitrary registration delays, and asset freezes, paralyzing independent monitoring and obstructing electoral transparency.</w:t>
      </w:r>
      <w:r w:rsidR="00E04E5E" w:rsidRPr="00C74359">
        <w:rPr>
          <w:rFonts w:ascii="Gill Sans MT" w:hAnsi="Gill Sans MT"/>
        </w:rPr>
        <w:t xml:space="preserve"> </w:t>
      </w:r>
      <w:r w:rsidR="00E04E5E" w:rsidRPr="00C74359">
        <w:rPr>
          <w:rFonts w:ascii="Gill Sans MT" w:eastAsia="Times New Roman" w:hAnsi="Gill Sans MT" w:cs="Times New Roman"/>
          <w:sz w:val="24"/>
          <w:szCs w:val="24"/>
          <w:lang w:val="en-US"/>
        </w:rPr>
        <w:t>Religious associations, despite their charitable and humanitarian roles, are subjected to restrictive “foreign agent” laws that impose burdensome conditions on funding, registration, and activities. These measures stigmatize faith</w:t>
      </w:r>
      <w:r w:rsidR="00E04E5E" w:rsidRPr="00C74359">
        <w:rPr>
          <w:rFonts w:ascii="Cambria Math" w:eastAsia="Times New Roman" w:hAnsi="Cambria Math" w:cs="Cambria Math"/>
          <w:sz w:val="24"/>
          <w:szCs w:val="24"/>
          <w:lang w:val="en-US"/>
        </w:rPr>
        <w:t>‑</w:t>
      </w:r>
      <w:r w:rsidR="00E04E5E" w:rsidRPr="00C74359">
        <w:rPr>
          <w:rFonts w:ascii="Gill Sans MT" w:eastAsia="Times New Roman" w:hAnsi="Gill Sans MT" w:cs="Times New Roman"/>
          <w:sz w:val="24"/>
          <w:szCs w:val="24"/>
          <w:lang w:val="en-US"/>
        </w:rPr>
        <w:t>based organizations and create a chilling effect on their ability to operate freely, undermining both freedom of religion and freedom of association as protected under Articles 18 and 22 of the ICCPR</w:t>
      </w:r>
      <w:r w:rsidRPr="00C74359">
        <w:rPr>
          <w:rFonts w:ascii="Gill Sans MT" w:eastAsia="Times New Roman" w:hAnsi="Gill Sans MT" w:cs="Times New Roman"/>
          <w:sz w:val="24"/>
          <w:szCs w:val="24"/>
          <w:lang w:val="en-US"/>
        </w:rPr>
        <w:t>. Political parties are vulnerable to arbitrary dissolution or prohibition under vague criteria,</w:t>
      </w:r>
      <w:r w:rsidR="00E04E5E" w:rsidRPr="00C74359">
        <w:rPr>
          <w:rFonts w:ascii="Gill Sans MT" w:eastAsia="Times New Roman" w:hAnsi="Gill Sans MT" w:cs="Times New Roman"/>
          <w:sz w:val="24"/>
          <w:szCs w:val="24"/>
          <w:lang w:val="en-US"/>
        </w:rPr>
        <w:t xml:space="preserve"> </w:t>
      </w:r>
      <w:r w:rsidRPr="00C74359">
        <w:rPr>
          <w:rFonts w:ascii="Gill Sans MT" w:eastAsia="Times New Roman" w:hAnsi="Gill Sans MT" w:cs="Times New Roman"/>
          <w:sz w:val="24"/>
          <w:szCs w:val="24"/>
          <w:lang w:val="en-US"/>
        </w:rPr>
        <w:t xml:space="preserve">while indefinite restrictions on individuals associated with dissolved parties further erode political pluralism. Trade unions, historically stigmatized in Georgia due to their Soviet legacy, are often perceived as relics rather than legitimate defenders of </w:t>
      </w:r>
      <w:r w:rsidR="00E04E5E" w:rsidRPr="00C74359">
        <w:rPr>
          <w:rFonts w:ascii="Gill Sans MT" w:eastAsia="Times New Roman" w:hAnsi="Gill Sans MT" w:cs="Times New Roman"/>
          <w:sz w:val="24"/>
          <w:szCs w:val="24"/>
          <w:lang w:val="en-US"/>
        </w:rPr>
        <w:t>labor</w:t>
      </w:r>
      <w:r w:rsidRPr="00C74359">
        <w:rPr>
          <w:rFonts w:ascii="Gill Sans MT" w:eastAsia="Times New Roman" w:hAnsi="Gill Sans MT" w:cs="Times New Roman"/>
          <w:sz w:val="24"/>
          <w:szCs w:val="24"/>
          <w:lang w:val="en-US"/>
        </w:rPr>
        <w:t xml:space="preserve"> rights. In some industries they are manipulated by employers or authorities, weakening their independence, while even successful unions in arts and culture face legal and structural limitations that restrict their ability to fully exercise their rights.  </w:t>
      </w:r>
    </w:p>
    <w:p w14:paraId="7DA4A387" w14:textId="77777777" w:rsidR="00794281" w:rsidRPr="00C74359" w:rsidRDefault="00794281" w:rsidP="00794281">
      <w:pPr>
        <w:spacing w:line="259" w:lineRule="auto"/>
        <w:jc w:val="both"/>
        <w:rPr>
          <w:rFonts w:ascii="Gill Sans MT" w:eastAsia="Times New Roman" w:hAnsi="Gill Sans MT" w:cs="Times New Roman"/>
          <w:sz w:val="24"/>
          <w:szCs w:val="24"/>
          <w:lang w:val="en-US"/>
        </w:rPr>
      </w:pPr>
    </w:p>
    <w:p w14:paraId="30227EE9" w14:textId="77777777" w:rsidR="00794281" w:rsidRPr="00C74359" w:rsidRDefault="00794281" w:rsidP="00794281">
      <w:pPr>
        <w:spacing w:line="259" w:lineRule="auto"/>
        <w:jc w:val="both"/>
        <w:rPr>
          <w:rFonts w:ascii="Gill Sans MT" w:eastAsia="Times New Roman" w:hAnsi="Gill Sans MT" w:cs="Times New Roman"/>
          <w:sz w:val="24"/>
          <w:szCs w:val="24"/>
          <w:lang w:val="en-US"/>
        </w:rPr>
      </w:pPr>
      <w:r w:rsidRPr="00C74359">
        <w:rPr>
          <w:rFonts w:ascii="Gill Sans MT" w:eastAsia="Times New Roman" w:hAnsi="Gill Sans MT" w:cs="Times New Roman"/>
          <w:sz w:val="24"/>
          <w:szCs w:val="24"/>
          <w:lang w:val="en-US"/>
        </w:rPr>
        <w:lastRenderedPageBreak/>
        <w:t xml:space="preserve">The combined effect of these legislative measures, administrative obstruction, and stigmatizing rhetoric constitutes a serious violation of international human rights obligations. They disproportionately restrict freedom of association, freedom of expression, and electoral rights, while weakening democratic institutions and civic space. Georgia’s foreign influence legislation represents a systemic threat to democracy and fundamental freedoms. In line with the Concept Note, the General Comment should reaffirm that restrictions on associations must be lawful, proportionate, and based on legitimate aims, and that states must ensure accessible complaint and redress mechanisms, dismantle stigma, and protect the independence of political parties, religious associations, trade unions, and election observers. Urgent repeal or reform of the current framework is necessary to restore pluralism and safeguard democratic governance.  </w:t>
      </w:r>
    </w:p>
    <w:p w14:paraId="366B76B4" w14:textId="1E74429E" w:rsidR="00794281" w:rsidRPr="00C74359" w:rsidRDefault="00794281" w:rsidP="00794281">
      <w:pPr>
        <w:spacing w:line="259" w:lineRule="auto"/>
        <w:jc w:val="both"/>
        <w:rPr>
          <w:rFonts w:ascii="Gill Sans MT" w:eastAsia="Times New Roman" w:hAnsi="Gill Sans MT" w:cs="Times New Roman"/>
          <w:sz w:val="24"/>
          <w:szCs w:val="24"/>
          <w:lang w:val="en-US"/>
        </w:rPr>
      </w:pPr>
    </w:p>
    <w:p w14:paraId="6D2C5A92" w14:textId="599B9590" w:rsidR="001440BE" w:rsidRPr="00C74359" w:rsidRDefault="001440BE" w:rsidP="00794281">
      <w:pPr>
        <w:spacing w:line="259" w:lineRule="auto"/>
        <w:jc w:val="both"/>
        <w:rPr>
          <w:rFonts w:ascii="Gill Sans MT" w:eastAsia="Times New Roman" w:hAnsi="Gill Sans MT" w:cs="Times New Roman"/>
          <w:sz w:val="24"/>
          <w:szCs w:val="24"/>
          <w:lang w:val="en-US"/>
        </w:rPr>
      </w:pPr>
    </w:p>
    <w:p w14:paraId="5899DCB4" w14:textId="37C3A334" w:rsidR="00BB19F1" w:rsidRPr="00C74359" w:rsidRDefault="00BB19F1">
      <w:pPr>
        <w:pStyle w:val="TOCHeading"/>
        <w:rPr>
          <w:rFonts w:ascii="Gill Sans MT" w:hAnsi="Gill Sans MT"/>
        </w:rPr>
      </w:pPr>
    </w:p>
    <w:sdt>
      <w:sdtPr>
        <w:rPr>
          <w:rFonts w:ascii="Gill Sans MT" w:eastAsia="Arial" w:hAnsi="Gill Sans MT" w:cs="Arial"/>
          <w:color w:val="auto"/>
          <w:sz w:val="22"/>
          <w:szCs w:val="22"/>
          <w:lang w:val="ka"/>
        </w:rPr>
        <w:id w:val="-1732836183"/>
        <w:docPartObj>
          <w:docPartGallery w:val="Table of Contents"/>
          <w:docPartUnique/>
        </w:docPartObj>
      </w:sdtPr>
      <w:sdtEndPr>
        <w:rPr>
          <w:b/>
          <w:bCs/>
          <w:noProof/>
        </w:rPr>
      </w:sdtEndPr>
      <w:sdtContent>
        <w:p w14:paraId="7FE0BBA8" w14:textId="047013A4" w:rsidR="00BB19F1" w:rsidRPr="00C74359" w:rsidRDefault="00BB19F1">
          <w:pPr>
            <w:pStyle w:val="TOCHeading"/>
            <w:rPr>
              <w:rFonts w:ascii="Gill Sans MT" w:hAnsi="Gill Sans MT"/>
            </w:rPr>
          </w:pPr>
          <w:r w:rsidRPr="00C74359">
            <w:rPr>
              <w:rFonts w:ascii="Gill Sans MT" w:hAnsi="Gill Sans MT"/>
            </w:rPr>
            <w:t>Table of Contents</w:t>
          </w:r>
        </w:p>
        <w:p w14:paraId="1EB3CB6C" w14:textId="6C457FE7" w:rsidR="00BB19F1" w:rsidRPr="00C74359" w:rsidRDefault="00BB19F1">
          <w:pPr>
            <w:pStyle w:val="TOC2"/>
            <w:tabs>
              <w:tab w:val="right" w:leader="dot" w:pos="9019"/>
            </w:tabs>
            <w:rPr>
              <w:rFonts w:ascii="Gill Sans MT" w:eastAsiaTheme="minorEastAsia" w:hAnsi="Gill Sans MT" w:cstheme="minorBidi"/>
              <w:noProof/>
              <w:lang w:val="en-US"/>
            </w:rPr>
          </w:pPr>
          <w:r w:rsidRPr="00C74359">
            <w:rPr>
              <w:rFonts w:ascii="Gill Sans MT" w:hAnsi="Gill Sans MT"/>
            </w:rPr>
            <w:fldChar w:fldCharType="begin"/>
          </w:r>
          <w:r w:rsidRPr="00C74359">
            <w:rPr>
              <w:rFonts w:ascii="Gill Sans MT" w:hAnsi="Gill Sans MT"/>
            </w:rPr>
            <w:instrText xml:space="preserve"> TOC \o "1-3" \h \z \u </w:instrText>
          </w:r>
          <w:r w:rsidRPr="00C74359">
            <w:rPr>
              <w:rFonts w:ascii="Gill Sans MT" w:hAnsi="Gill Sans MT"/>
            </w:rPr>
            <w:fldChar w:fldCharType="separate"/>
          </w:r>
          <w:hyperlink w:anchor="_Toc233730432" w:history="1">
            <w:r w:rsidRPr="00C74359">
              <w:rPr>
                <w:rStyle w:val="Hyperlink"/>
                <w:rFonts w:ascii="Gill Sans MT" w:eastAsia="Times New Roman" w:hAnsi="Gill Sans MT"/>
                <w:noProof/>
                <w:lang w:val="en-US"/>
              </w:rPr>
              <w:t>Introduction and Scope</w:t>
            </w:r>
            <w:r w:rsidRPr="00C74359">
              <w:rPr>
                <w:rFonts w:ascii="Gill Sans MT" w:hAnsi="Gill Sans MT"/>
                <w:noProof/>
                <w:webHidden/>
              </w:rPr>
              <w:tab/>
            </w:r>
            <w:r w:rsidRPr="00C74359">
              <w:rPr>
                <w:rFonts w:ascii="Gill Sans MT" w:hAnsi="Gill Sans MT"/>
                <w:noProof/>
                <w:webHidden/>
              </w:rPr>
              <w:fldChar w:fldCharType="begin"/>
            </w:r>
            <w:r w:rsidRPr="00C74359">
              <w:rPr>
                <w:rFonts w:ascii="Gill Sans MT" w:hAnsi="Gill Sans MT"/>
                <w:noProof/>
                <w:webHidden/>
              </w:rPr>
              <w:instrText xml:space="preserve"> PAGEREF _Toc233730432 \h </w:instrText>
            </w:r>
            <w:r w:rsidRPr="00C74359">
              <w:rPr>
                <w:rFonts w:ascii="Gill Sans MT" w:hAnsi="Gill Sans MT"/>
                <w:noProof/>
                <w:webHidden/>
              </w:rPr>
            </w:r>
            <w:r w:rsidRPr="00C74359">
              <w:rPr>
                <w:rFonts w:ascii="Gill Sans MT" w:hAnsi="Gill Sans MT"/>
                <w:noProof/>
                <w:webHidden/>
              </w:rPr>
              <w:fldChar w:fldCharType="separate"/>
            </w:r>
            <w:r w:rsidRPr="00C74359">
              <w:rPr>
                <w:rFonts w:ascii="Gill Sans MT" w:hAnsi="Gill Sans MT"/>
                <w:noProof/>
                <w:webHidden/>
              </w:rPr>
              <w:t>2</w:t>
            </w:r>
            <w:r w:rsidRPr="00C74359">
              <w:rPr>
                <w:rFonts w:ascii="Gill Sans MT" w:hAnsi="Gill Sans MT"/>
                <w:noProof/>
                <w:webHidden/>
              </w:rPr>
              <w:fldChar w:fldCharType="end"/>
            </w:r>
          </w:hyperlink>
        </w:p>
        <w:p w14:paraId="728FAC33" w14:textId="1AAA8F10" w:rsidR="00BB19F1" w:rsidRPr="00C74359" w:rsidRDefault="00433FEE">
          <w:pPr>
            <w:pStyle w:val="TOC2"/>
            <w:tabs>
              <w:tab w:val="right" w:leader="dot" w:pos="9019"/>
            </w:tabs>
            <w:rPr>
              <w:rFonts w:ascii="Gill Sans MT" w:eastAsiaTheme="minorEastAsia" w:hAnsi="Gill Sans MT" w:cstheme="minorBidi"/>
              <w:noProof/>
              <w:lang w:val="en-US"/>
            </w:rPr>
          </w:pPr>
          <w:hyperlink w:anchor="_Toc233730433" w:history="1">
            <w:r w:rsidR="00BB19F1" w:rsidRPr="00C74359">
              <w:rPr>
                <w:rStyle w:val="Hyperlink"/>
                <w:rFonts w:ascii="Gill Sans MT" w:eastAsia="Times New Roman" w:hAnsi="Gill Sans MT"/>
                <w:noProof/>
                <w:lang w:val="en-US"/>
              </w:rPr>
              <w:t>Context</w:t>
            </w:r>
            <w:r w:rsidR="00BB19F1" w:rsidRPr="00C74359">
              <w:rPr>
                <w:rFonts w:ascii="Gill Sans MT" w:hAnsi="Gill Sans MT"/>
                <w:noProof/>
                <w:webHidden/>
              </w:rPr>
              <w:tab/>
            </w:r>
            <w:r w:rsidR="00BB19F1" w:rsidRPr="00C74359">
              <w:rPr>
                <w:rFonts w:ascii="Gill Sans MT" w:hAnsi="Gill Sans MT"/>
                <w:noProof/>
                <w:webHidden/>
              </w:rPr>
              <w:fldChar w:fldCharType="begin"/>
            </w:r>
            <w:r w:rsidR="00BB19F1" w:rsidRPr="00C74359">
              <w:rPr>
                <w:rFonts w:ascii="Gill Sans MT" w:hAnsi="Gill Sans MT"/>
                <w:noProof/>
                <w:webHidden/>
              </w:rPr>
              <w:instrText xml:space="preserve"> PAGEREF _Toc233730433 \h </w:instrText>
            </w:r>
            <w:r w:rsidR="00BB19F1" w:rsidRPr="00C74359">
              <w:rPr>
                <w:rFonts w:ascii="Gill Sans MT" w:hAnsi="Gill Sans MT"/>
                <w:noProof/>
                <w:webHidden/>
              </w:rPr>
            </w:r>
            <w:r w:rsidR="00BB19F1" w:rsidRPr="00C74359">
              <w:rPr>
                <w:rFonts w:ascii="Gill Sans MT" w:hAnsi="Gill Sans MT"/>
                <w:noProof/>
                <w:webHidden/>
              </w:rPr>
              <w:fldChar w:fldCharType="separate"/>
            </w:r>
            <w:r w:rsidR="00BB19F1" w:rsidRPr="00C74359">
              <w:rPr>
                <w:rFonts w:ascii="Gill Sans MT" w:hAnsi="Gill Sans MT"/>
                <w:noProof/>
                <w:webHidden/>
              </w:rPr>
              <w:t>3</w:t>
            </w:r>
            <w:r w:rsidR="00BB19F1" w:rsidRPr="00C74359">
              <w:rPr>
                <w:rFonts w:ascii="Gill Sans MT" w:hAnsi="Gill Sans MT"/>
                <w:noProof/>
                <w:webHidden/>
              </w:rPr>
              <w:fldChar w:fldCharType="end"/>
            </w:r>
          </w:hyperlink>
        </w:p>
        <w:p w14:paraId="0CCE02B0" w14:textId="4845A832" w:rsidR="00BB19F1" w:rsidRPr="00C74359" w:rsidRDefault="00433FEE">
          <w:pPr>
            <w:pStyle w:val="TOC2"/>
            <w:tabs>
              <w:tab w:val="right" w:leader="dot" w:pos="9019"/>
            </w:tabs>
            <w:rPr>
              <w:rFonts w:ascii="Gill Sans MT" w:eastAsiaTheme="minorEastAsia" w:hAnsi="Gill Sans MT" w:cstheme="minorBidi"/>
              <w:noProof/>
              <w:lang w:val="en-US"/>
            </w:rPr>
          </w:pPr>
          <w:hyperlink w:anchor="_Toc233730434" w:history="1">
            <w:r w:rsidR="00BB19F1" w:rsidRPr="00C74359">
              <w:rPr>
                <w:rStyle w:val="Hyperlink"/>
                <w:rFonts w:ascii="Gill Sans MT" w:eastAsia="Times New Roman" w:hAnsi="Gill Sans MT"/>
                <w:noProof/>
                <w:lang w:val="en-US"/>
              </w:rPr>
              <w:t>Election Observation Organizations</w:t>
            </w:r>
            <w:r w:rsidR="00BB19F1" w:rsidRPr="00C74359">
              <w:rPr>
                <w:rFonts w:ascii="Gill Sans MT" w:hAnsi="Gill Sans MT"/>
                <w:noProof/>
                <w:webHidden/>
              </w:rPr>
              <w:tab/>
            </w:r>
            <w:r w:rsidR="00BB19F1" w:rsidRPr="00C74359">
              <w:rPr>
                <w:rFonts w:ascii="Gill Sans MT" w:hAnsi="Gill Sans MT"/>
                <w:noProof/>
                <w:webHidden/>
              </w:rPr>
              <w:fldChar w:fldCharType="begin"/>
            </w:r>
            <w:r w:rsidR="00BB19F1" w:rsidRPr="00C74359">
              <w:rPr>
                <w:rFonts w:ascii="Gill Sans MT" w:hAnsi="Gill Sans MT"/>
                <w:noProof/>
                <w:webHidden/>
              </w:rPr>
              <w:instrText xml:space="preserve"> PAGEREF _Toc233730434 \h </w:instrText>
            </w:r>
            <w:r w:rsidR="00BB19F1" w:rsidRPr="00C74359">
              <w:rPr>
                <w:rFonts w:ascii="Gill Sans MT" w:hAnsi="Gill Sans MT"/>
                <w:noProof/>
                <w:webHidden/>
              </w:rPr>
            </w:r>
            <w:r w:rsidR="00BB19F1" w:rsidRPr="00C74359">
              <w:rPr>
                <w:rFonts w:ascii="Gill Sans MT" w:hAnsi="Gill Sans MT"/>
                <w:noProof/>
                <w:webHidden/>
              </w:rPr>
              <w:fldChar w:fldCharType="separate"/>
            </w:r>
            <w:r w:rsidR="00BB19F1" w:rsidRPr="00C74359">
              <w:rPr>
                <w:rFonts w:ascii="Gill Sans MT" w:hAnsi="Gill Sans MT"/>
                <w:noProof/>
                <w:webHidden/>
              </w:rPr>
              <w:t>4</w:t>
            </w:r>
            <w:r w:rsidR="00BB19F1" w:rsidRPr="00C74359">
              <w:rPr>
                <w:rFonts w:ascii="Gill Sans MT" w:hAnsi="Gill Sans MT"/>
                <w:noProof/>
                <w:webHidden/>
              </w:rPr>
              <w:fldChar w:fldCharType="end"/>
            </w:r>
          </w:hyperlink>
        </w:p>
        <w:p w14:paraId="5649CB9D" w14:textId="2F81C502" w:rsidR="00BB19F1" w:rsidRPr="00C74359" w:rsidRDefault="00433FEE">
          <w:pPr>
            <w:pStyle w:val="TOC2"/>
            <w:tabs>
              <w:tab w:val="right" w:leader="dot" w:pos="9019"/>
            </w:tabs>
            <w:rPr>
              <w:rFonts w:ascii="Gill Sans MT" w:eastAsiaTheme="minorEastAsia" w:hAnsi="Gill Sans MT" w:cstheme="minorBidi"/>
              <w:noProof/>
              <w:lang w:val="en-US"/>
            </w:rPr>
          </w:pPr>
          <w:hyperlink w:anchor="_Toc233730435" w:history="1">
            <w:r w:rsidR="00BB19F1" w:rsidRPr="00C74359">
              <w:rPr>
                <w:rStyle w:val="Hyperlink"/>
                <w:rFonts w:ascii="Gill Sans MT" w:hAnsi="Gill Sans MT"/>
                <w:noProof/>
                <w:lang w:val="en-US"/>
              </w:rPr>
              <w:t>Religious Associations</w:t>
            </w:r>
            <w:r w:rsidR="00BB19F1" w:rsidRPr="00C74359">
              <w:rPr>
                <w:rFonts w:ascii="Gill Sans MT" w:hAnsi="Gill Sans MT"/>
                <w:noProof/>
                <w:webHidden/>
              </w:rPr>
              <w:tab/>
            </w:r>
            <w:r w:rsidR="00BB19F1" w:rsidRPr="00C74359">
              <w:rPr>
                <w:rFonts w:ascii="Gill Sans MT" w:hAnsi="Gill Sans MT"/>
                <w:noProof/>
                <w:webHidden/>
              </w:rPr>
              <w:fldChar w:fldCharType="begin"/>
            </w:r>
            <w:r w:rsidR="00BB19F1" w:rsidRPr="00C74359">
              <w:rPr>
                <w:rFonts w:ascii="Gill Sans MT" w:hAnsi="Gill Sans MT"/>
                <w:noProof/>
                <w:webHidden/>
              </w:rPr>
              <w:instrText xml:space="preserve"> PAGEREF _Toc233730435 \h </w:instrText>
            </w:r>
            <w:r w:rsidR="00BB19F1" w:rsidRPr="00C74359">
              <w:rPr>
                <w:rFonts w:ascii="Gill Sans MT" w:hAnsi="Gill Sans MT"/>
                <w:noProof/>
                <w:webHidden/>
              </w:rPr>
            </w:r>
            <w:r w:rsidR="00BB19F1" w:rsidRPr="00C74359">
              <w:rPr>
                <w:rFonts w:ascii="Gill Sans MT" w:hAnsi="Gill Sans MT"/>
                <w:noProof/>
                <w:webHidden/>
              </w:rPr>
              <w:fldChar w:fldCharType="separate"/>
            </w:r>
            <w:r w:rsidR="00BB19F1" w:rsidRPr="00C74359">
              <w:rPr>
                <w:rFonts w:ascii="Gill Sans MT" w:hAnsi="Gill Sans MT"/>
                <w:noProof/>
                <w:webHidden/>
              </w:rPr>
              <w:t>8</w:t>
            </w:r>
            <w:r w:rsidR="00BB19F1" w:rsidRPr="00C74359">
              <w:rPr>
                <w:rFonts w:ascii="Gill Sans MT" w:hAnsi="Gill Sans MT"/>
                <w:noProof/>
                <w:webHidden/>
              </w:rPr>
              <w:fldChar w:fldCharType="end"/>
            </w:r>
          </w:hyperlink>
        </w:p>
        <w:p w14:paraId="68153048" w14:textId="74C5F408" w:rsidR="00BB19F1" w:rsidRPr="00C74359" w:rsidRDefault="00433FEE">
          <w:pPr>
            <w:pStyle w:val="TOC2"/>
            <w:tabs>
              <w:tab w:val="right" w:leader="dot" w:pos="9019"/>
            </w:tabs>
            <w:rPr>
              <w:rFonts w:ascii="Gill Sans MT" w:eastAsiaTheme="minorEastAsia" w:hAnsi="Gill Sans MT" w:cstheme="minorBidi"/>
              <w:noProof/>
              <w:lang w:val="en-US"/>
            </w:rPr>
          </w:pPr>
          <w:hyperlink w:anchor="_Toc233730436" w:history="1">
            <w:r w:rsidR="00BB19F1" w:rsidRPr="00C74359">
              <w:rPr>
                <w:rStyle w:val="Hyperlink"/>
                <w:rFonts w:ascii="Gill Sans MT" w:eastAsia="Times New Roman" w:hAnsi="Gill Sans MT"/>
                <w:noProof/>
                <w:lang w:val="en-US"/>
              </w:rPr>
              <w:t>Political Parties</w:t>
            </w:r>
            <w:r w:rsidR="00BB19F1" w:rsidRPr="00C74359">
              <w:rPr>
                <w:rFonts w:ascii="Gill Sans MT" w:hAnsi="Gill Sans MT"/>
                <w:noProof/>
                <w:webHidden/>
              </w:rPr>
              <w:tab/>
            </w:r>
            <w:r w:rsidR="00BB19F1" w:rsidRPr="00C74359">
              <w:rPr>
                <w:rFonts w:ascii="Gill Sans MT" w:hAnsi="Gill Sans MT"/>
                <w:noProof/>
                <w:webHidden/>
              </w:rPr>
              <w:fldChar w:fldCharType="begin"/>
            </w:r>
            <w:r w:rsidR="00BB19F1" w:rsidRPr="00C74359">
              <w:rPr>
                <w:rFonts w:ascii="Gill Sans MT" w:hAnsi="Gill Sans MT"/>
                <w:noProof/>
                <w:webHidden/>
              </w:rPr>
              <w:instrText xml:space="preserve"> PAGEREF _Toc233730436 \h </w:instrText>
            </w:r>
            <w:r w:rsidR="00BB19F1" w:rsidRPr="00C74359">
              <w:rPr>
                <w:rFonts w:ascii="Gill Sans MT" w:hAnsi="Gill Sans MT"/>
                <w:noProof/>
                <w:webHidden/>
              </w:rPr>
            </w:r>
            <w:r w:rsidR="00BB19F1" w:rsidRPr="00C74359">
              <w:rPr>
                <w:rFonts w:ascii="Gill Sans MT" w:hAnsi="Gill Sans MT"/>
                <w:noProof/>
                <w:webHidden/>
              </w:rPr>
              <w:fldChar w:fldCharType="separate"/>
            </w:r>
            <w:r w:rsidR="00BB19F1" w:rsidRPr="00C74359">
              <w:rPr>
                <w:rFonts w:ascii="Gill Sans MT" w:hAnsi="Gill Sans MT"/>
                <w:noProof/>
                <w:webHidden/>
              </w:rPr>
              <w:t>15</w:t>
            </w:r>
            <w:r w:rsidR="00BB19F1" w:rsidRPr="00C74359">
              <w:rPr>
                <w:rFonts w:ascii="Gill Sans MT" w:hAnsi="Gill Sans MT"/>
                <w:noProof/>
                <w:webHidden/>
              </w:rPr>
              <w:fldChar w:fldCharType="end"/>
            </w:r>
          </w:hyperlink>
        </w:p>
        <w:p w14:paraId="0FEA29BA" w14:textId="544AB55B" w:rsidR="00BB19F1" w:rsidRPr="00C74359" w:rsidRDefault="00433FEE">
          <w:pPr>
            <w:pStyle w:val="TOC2"/>
            <w:tabs>
              <w:tab w:val="right" w:leader="dot" w:pos="9019"/>
            </w:tabs>
            <w:rPr>
              <w:rFonts w:ascii="Gill Sans MT" w:eastAsiaTheme="minorEastAsia" w:hAnsi="Gill Sans MT" w:cstheme="minorBidi"/>
              <w:noProof/>
              <w:lang w:val="en-US"/>
            </w:rPr>
          </w:pPr>
          <w:hyperlink w:anchor="_Toc233730437" w:history="1">
            <w:r w:rsidR="00BB19F1" w:rsidRPr="00C74359">
              <w:rPr>
                <w:rStyle w:val="Hyperlink"/>
                <w:rFonts w:ascii="Gill Sans MT" w:hAnsi="Gill Sans MT"/>
                <w:noProof/>
                <w:lang w:val="en-US"/>
              </w:rPr>
              <w:t>Trade Unions</w:t>
            </w:r>
            <w:r w:rsidR="00BB19F1" w:rsidRPr="00C74359">
              <w:rPr>
                <w:rFonts w:ascii="Gill Sans MT" w:hAnsi="Gill Sans MT"/>
                <w:noProof/>
                <w:webHidden/>
              </w:rPr>
              <w:tab/>
            </w:r>
            <w:r w:rsidR="00BB19F1" w:rsidRPr="00C74359">
              <w:rPr>
                <w:rFonts w:ascii="Gill Sans MT" w:hAnsi="Gill Sans MT"/>
                <w:noProof/>
                <w:webHidden/>
              </w:rPr>
              <w:fldChar w:fldCharType="begin"/>
            </w:r>
            <w:r w:rsidR="00BB19F1" w:rsidRPr="00C74359">
              <w:rPr>
                <w:rFonts w:ascii="Gill Sans MT" w:hAnsi="Gill Sans MT"/>
                <w:noProof/>
                <w:webHidden/>
              </w:rPr>
              <w:instrText xml:space="preserve"> PAGEREF _Toc233730437 \h </w:instrText>
            </w:r>
            <w:r w:rsidR="00BB19F1" w:rsidRPr="00C74359">
              <w:rPr>
                <w:rFonts w:ascii="Gill Sans MT" w:hAnsi="Gill Sans MT"/>
                <w:noProof/>
                <w:webHidden/>
              </w:rPr>
            </w:r>
            <w:r w:rsidR="00BB19F1" w:rsidRPr="00C74359">
              <w:rPr>
                <w:rFonts w:ascii="Gill Sans MT" w:hAnsi="Gill Sans MT"/>
                <w:noProof/>
                <w:webHidden/>
              </w:rPr>
              <w:fldChar w:fldCharType="separate"/>
            </w:r>
            <w:r w:rsidR="00BB19F1" w:rsidRPr="00C74359">
              <w:rPr>
                <w:rFonts w:ascii="Gill Sans MT" w:hAnsi="Gill Sans MT"/>
                <w:noProof/>
                <w:webHidden/>
              </w:rPr>
              <w:t>21</w:t>
            </w:r>
            <w:r w:rsidR="00BB19F1" w:rsidRPr="00C74359">
              <w:rPr>
                <w:rFonts w:ascii="Gill Sans MT" w:hAnsi="Gill Sans MT"/>
                <w:noProof/>
                <w:webHidden/>
              </w:rPr>
              <w:fldChar w:fldCharType="end"/>
            </w:r>
          </w:hyperlink>
        </w:p>
        <w:p w14:paraId="6B8C0EAB" w14:textId="254F89CE" w:rsidR="00BB19F1" w:rsidRPr="00C74359" w:rsidRDefault="00BB19F1">
          <w:pPr>
            <w:rPr>
              <w:rFonts w:ascii="Gill Sans MT" w:hAnsi="Gill Sans MT"/>
            </w:rPr>
          </w:pPr>
          <w:r w:rsidRPr="00C74359">
            <w:rPr>
              <w:rFonts w:ascii="Gill Sans MT" w:hAnsi="Gill Sans MT"/>
              <w:b/>
              <w:bCs/>
              <w:noProof/>
            </w:rPr>
            <w:fldChar w:fldCharType="end"/>
          </w:r>
        </w:p>
      </w:sdtContent>
    </w:sdt>
    <w:p w14:paraId="07C8F216" w14:textId="77777777" w:rsidR="00BB19F1" w:rsidRPr="00C74359" w:rsidRDefault="00BB19F1" w:rsidP="00BB19F1">
      <w:pPr>
        <w:rPr>
          <w:rFonts w:ascii="Gill Sans MT" w:hAnsi="Gill Sans MT"/>
          <w:lang w:val="en-US"/>
        </w:rPr>
      </w:pPr>
    </w:p>
    <w:p w14:paraId="212A7827" w14:textId="6E7113D9" w:rsidR="001440BE" w:rsidRPr="00C74359" w:rsidRDefault="001440BE" w:rsidP="00794281">
      <w:pPr>
        <w:spacing w:line="259" w:lineRule="auto"/>
        <w:jc w:val="both"/>
        <w:rPr>
          <w:rFonts w:ascii="Gill Sans MT" w:eastAsia="Times New Roman" w:hAnsi="Gill Sans MT" w:cs="Times New Roman"/>
          <w:sz w:val="24"/>
          <w:szCs w:val="24"/>
          <w:lang w:val="en-US"/>
        </w:rPr>
      </w:pPr>
    </w:p>
    <w:p w14:paraId="03136CCA" w14:textId="5F63397C" w:rsidR="00E04E5E" w:rsidRPr="00C74359" w:rsidRDefault="00E04E5E" w:rsidP="00E04E5E">
      <w:pPr>
        <w:pStyle w:val="Heading2"/>
        <w:rPr>
          <w:rFonts w:ascii="Gill Sans MT" w:eastAsia="Times New Roman" w:hAnsi="Gill Sans MT"/>
          <w:lang w:val="en-US"/>
        </w:rPr>
      </w:pPr>
      <w:bookmarkStart w:id="0" w:name="_Toc233730432"/>
      <w:r w:rsidRPr="00C74359">
        <w:rPr>
          <w:rFonts w:ascii="Gill Sans MT" w:eastAsia="Times New Roman" w:hAnsi="Gill Sans MT"/>
          <w:lang w:val="en-US"/>
        </w:rPr>
        <w:t>Introduction and Scope</w:t>
      </w:r>
      <w:bookmarkEnd w:id="0"/>
      <w:r w:rsidRPr="00C74359">
        <w:rPr>
          <w:rFonts w:ascii="Gill Sans MT" w:eastAsia="Times New Roman" w:hAnsi="Gill Sans MT"/>
          <w:lang w:val="en-US"/>
        </w:rPr>
        <w:t xml:space="preserve"> </w:t>
      </w:r>
    </w:p>
    <w:p w14:paraId="7CA14573" w14:textId="77777777" w:rsidR="00E04E5E" w:rsidRPr="00C74359" w:rsidRDefault="00E04E5E" w:rsidP="00794281">
      <w:pPr>
        <w:spacing w:line="259" w:lineRule="auto"/>
        <w:jc w:val="both"/>
        <w:rPr>
          <w:rFonts w:ascii="Gill Sans MT" w:eastAsia="Times New Roman" w:hAnsi="Gill Sans MT" w:cs="Times New Roman"/>
          <w:sz w:val="24"/>
          <w:szCs w:val="24"/>
          <w:lang w:val="en-US"/>
        </w:rPr>
      </w:pPr>
    </w:p>
    <w:p w14:paraId="766AF2F9" w14:textId="77777777" w:rsidR="00E04E5E" w:rsidRPr="00C74359" w:rsidRDefault="00E04E5E" w:rsidP="00BB19F1">
      <w:pPr>
        <w:pStyle w:val="ListParagraph"/>
        <w:numPr>
          <w:ilvl w:val="0"/>
          <w:numId w:val="2"/>
        </w:numPr>
        <w:spacing w:line="259" w:lineRule="auto"/>
        <w:jc w:val="both"/>
        <w:rPr>
          <w:rFonts w:ascii="Gill Sans MT" w:eastAsia="Times New Roman" w:hAnsi="Gill Sans MT" w:cs="Times New Roman"/>
          <w:sz w:val="24"/>
          <w:szCs w:val="24"/>
          <w:lang w:val="en-US"/>
        </w:rPr>
      </w:pPr>
      <w:r w:rsidRPr="00C74359">
        <w:rPr>
          <w:rFonts w:ascii="Gill Sans MT" w:eastAsia="Times New Roman" w:hAnsi="Gill Sans MT" w:cs="Times New Roman"/>
          <w:sz w:val="24"/>
          <w:szCs w:val="24"/>
          <w:lang w:val="en-US"/>
        </w:rPr>
        <w:t xml:space="preserve">The document draws on the Human Rights Clinic’s ongoing work on freedom of association in Georgia, with particular attention to the impact of recent legislation on civil society organizations, political parties, religious associations, trade unions, and election observation groups.  </w:t>
      </w:r>
    </w:p>
    <w:p w14:paraId="2C49AEF4" w14:textId="77777777" w:rsidR="00BB19F1" w:rsidRPr="00C74359" w:rsidRDefault="00E04E5E" w:rsidP="00BB19F1">
      <w:pPr>
        <w:pStyle w:val="ListParagraph"/>
        <w:numPr>
          <w:ilvl w:val="0"/>
          <w:numId w:val="2"/>
        </w:numPr>
        <w:spacing w:line="259" w:lineRule="auto"/>
        <w:jc w:val="both"/>
        <w:rPr>
          <w:rFonts w:ascii="Gill Sans MT" w:eastAsia="Times New Roman" w:hAnsi="Gill Sans MT" w:cs="Times New Roman"/>
          <w:sz w:val="24"/>
          <w:szCs w:val="24"/>
          <w:lang w:val="en-US"/>
        </w:rPr>
      </w:pPr>
      <w:r w:rsidRPr="00C74359">
        <w:rPr>
          <w:rFonts w:ascii="Gill Sans MT" w:eastAsia="Times New Roman" w:hAnsi="Gill Sans MT" w:cs="Times New Roman"/>
          <w:sz w:val="24"/>
          <w:szCs w:val="24"/>
          <w:lang w:val="en-US"/>
        </w:rPr>
        <w:t>This contribution is submitted in response to the call of the United Nations Human Rights Committee for inputs to the development of General Comment No. 38 on Article 22 of the ICCPR. It aims to provide a country</w:t>
      </w:r>
      <w:r w:rsidRPr="00C74359">
        <w:rPr>
          <w:rFonts w:ascii="Cambria Math" w:eastAsia="Times New Roman" w:hAnsi="Cambria Math" w:cs="Cambria Math"/>
          <w:sz w:val="24"/>
          <w:szCs w:val="24"/>
          <w:lang w:val="en-US"/>
        </w:rPr>
        <w:t>‑</w:t>
      </w:r>
      <w:r w:rsidRPr="00C74359">
        <w:rPr>
          <w:rFonts w:ascii="Gill Sans MT" w:eastAsia="Times New Roman" w:hAnsi="Gill Sans MT" w:cs="Times New Roman"/>
          <w:sz w:val="24"/>
          <w:szCs w:val="24"/>
          <w:lang w:val="en-US"/>
        </w:rPr>
        <w:t xml:space="preserve">specific perspective on the challenges faced in Georgia, while situating these within broader international standards and comparative practice.  </w:t>
      </w:r>
      <w:r w:rsidR="00BB19F1" w:rsidRPr="00C74359">
        <w:rPr>
          <w:rFonts w:ascii="Gill Sans MT" w:eastAsia="Times New Roman" w:hAnsi="Gill Sans MT" w:cs="Times New Roman"/>
          <w:sz w:val="24"/>
          <w:szCs w:val="24"/>
          <w:lang w:val="en-US"/>
        </w:rPr>
        <w:t xml:space="preserve"> </w:t>
      </w:r>
    </w:p>
    <w:p w14:paraId="7FF82A06" w14:textId="2F034A64" w:rsidR="00E04E5E" w:rsidRPr="00C74359" w:rsidRDefault="00E04E5E" w:rsidP="00BB19F1">
      <w:pPr>
        <w:pStyle w:val="ListParagraph"/>
        <w:numPr>
          <w:ilvl w:val="0"/>
          <w:numId w:val="2"/>
        </w:numPr>
        <w:spacing w:line="259" w:lineRule="auto"/>
        <w:jc w:val="both"/>
        <w:rPr>
          <w:rFonts w:ascii="Gill Sans MT" w:eastAsia="Times New Roman" w:hAnsi="Gill Sans MT" w:cs="Times New Roman"/>
          <w:sz w:val="24"/>
          <w:szCs w:val="24"/>
          <w:lang w:val="en-US"/>
        </w:rPr>
      </w:pPr>
      <w:r w:rsidRPr="00C74359">
        <w:rPr>
          <w:rFonts w:ascii="Gill Sans MT" w:eastAsia="Times New Roman" w:hAnsi="Gill Sans MT" w:cs="Times New Roman"/>
          <w:sz w:val="24"/>
          <w:szCs w:val="24"/>
          <w:lang w:val="en-US"/>
        </w:rPr>
        <w:t xml:space="preserve">The submission focuses on four categories of associations identified as particularly vulnerable under the current legislative framework: political parties, election observation organizations, trade unions, and religious associations. It highlights the ways in which recent laws on “foreign influence” and related measures undermine their autonomy, stigmatize their activities, and restrict their ability to contribute to democratic governance and pluralism.  </w:t>
      </w:r>
    </w:p>
    <w:p w14:paraId="4E5C30DB" w14:textId="41CB1734" w:rsidR="00CF5423" w:rsidRPr="00C74359" w:rsidRDefault="00CF5423" w:rsidP="00BB19F1">
      <w:pPr>
        <w:spacing w:line="259" w:lineRule="auto"/>
        <w:jc w:val="both"/>
        <w:rPr>
          <w:rFonts w:ascii="Gill Sans MT" w:eastAsia="Times New Roman" w:hAnsi="Gill Sans MT" w:cs="Times New Roman"/>
          <w:sz w:val="24"/>
          <w:szCs w:val="24"/>
          <w:lang w:val="en-US"/>
        </w:rPr>
      </w:pPr>
    </w:p>
    <w:p w14:paraId="00C92946" w14:textId="77777777" w:rsidR="001440BE" w:rsidRPr="00C74359" w:rsidRDefault="001440BE" w:rsidP="00BB19F1">
      <w:pPr>
        <w:spacing w:line="259" w:lineRule="auto"/>
        <w:jc w:val="both"/>
        <w:rPr>
          <w:rFonts w:ascii="Gill Sans MT" w:eastAsia="Times New Roman" w:hAnsi="Gill Sans MT" w:cs="Times New Roman"/>
          <w:sz w:val="24"/>
          <w:szCs w:val="24"/>
          <w:lang w:val="en-US"/>
        </w:rPr>
      </w:pPr>
    </w:p>
    <w:p w14:paraId="3FBE3FA1" w14:textId="009BE1D4" w:rsidR="001440BE" w:rsidRPr="00C74359" w:rsidRDefault="001440BE" w:rsidP="00BB19F1">
      <w:pPr>
        <w:pStyle w:val="Heading2"/>
        <w:ind w:left="720"/>
        <w:jc w:val="both"/>
        <w:rPr>
          <w:rFonts w:ascii="Gill Sans MT" w:eastAsia="Times New Roman" w:hAnsi="Gill Sans MT"/>
          <w:lang w:val="en-US"/>
        </w:rPr>
      </w:pPr>
      <w:bookmarkStart w:id="1" w:name="_Toc233730433"/>
      <w:r w:rsidRPr="00C74359">
        <w:rPr>
          <w:rFonts w:ascii="Gill Sans MT" w:eastAsia="Times New Roman" w:hAnsi="Gill Sans MT"/>
          <w:lang w:val="en-US"/>
        </w:rPr>
        <w:t>Context</w:t>
      </w:r>
      <w:bookmarkEnd w:id="1"/>
      <w:r w:rsidRPr="00C74359">
        <w:rPr>
          <w:rFonts w:ascii="Gill Sans MT" w:eastAsia="Times New Roman" w:hAnsi="Gill Sans MT"/>
          <w:lang w:val="en-US"/>
        </w:rPr>
        <w:t xml:space="preserve"> </w:t>
      </w:r>
    </w:p>
    <w:p w14:paraId="225A72C3" w14:textId="3407A173" w:rsidR="0084193C" w:rsidRPr="00C74359" w:rsidRDefault="0084193C" w:rsidP="00BB19F1">
      <w:pPr>
        <w:pStyle w:val="ListParagraph"/>
        <w:numPr>
          <w:ilvl w:val="0"/>
          <w:numId w:val="2"/>
        </w:numPr>
        <w:spacing w:line="259" w:lineRule="auto"/>
        <w:jc w:val="both"/>
        <w:rPr>
          <w:rFonts w:ascii="Gill Sans MT" w:eastAsia="Times New Roman" w:hAnsi="Gill Sans MT" w:cs="Times New Roman"/>
          <w:sz w:val="24"/>
          <w:szCs w:val="24"/>
          <w:lang w:val="en-US"/>
        </w:rPr>
      </w:pPr>
      <w:r w:rsidRPr="00C74359">
        <w:rPr>
          <w:rFonts w:ascii="Gill Sans MT" w:eastAsia="Times New Roman" w:hAnsi="Gill Sans MT" w:cs="Times New Roman"/>
          <w:sz w:val="24"/>
          <w:szCs w:val="24"/>
          <w:lang w:val="en-US"/>
        </w:rPr>
        <w:t>The ad</w:t>
      </w:r>
      <w:r w:rsidRPr="00C74359">
        <w:rPr>
          <w:rFonts w:ascii="Gill Sans MT" w:eastAsia="Times New Roman" w:hAnsi="Gill Sans MT" w:cs="Times New Roman"/>
          <w:sz w:val="24"/>
          <w:szCs w:val="24"/>
        </w:rPr>
        <w:t>option of the Law on Transparency of Foreign Influence (2024) created a registry for organizations whose income derives 20% or more from foreign sources, labeling them as “carriers of foreign power interests.” This stigmatizing framework imposes strict monitoring and financial sanctions, affecting civil society and media organizations alike.</w:t>
      </w:r>
      <w:r w:rsidRPr="00C74359">
        <w:rPr>
          <w:rFonts w:ascii="Gill Sans MT" w:hAnsi="Gill Sans MT"/>
          <w:vertAlign w:val="superscript"/>
        </w:rPr>
        <w:footnoteReference w:id="1"/>
      </w:r>
      <w:r w:rsidRPr="00C74359">
        <w:rPr>
          <w:rFonts w:ascii="Gill Sans MT" w:eastAsia="Times New Roman" w:hAnsi="Gill Sans MT" w:cs="Times New Roman"/>
          <w:sz w:val="24"/>
          <w:szCs w:val="24"/>
        </w:rPr>
        <w:t xml:space="preserve"> The Venice Commission</w:t>
      </w:r>
      <w:r w:rsidRPr="00C74359">
        <w:rPr>
          <w:rFonts w:ascii="Gill Sans MT" w:hAnsi="Gill Sans MT"/>
          <w:vertAlign w:val="superscript"/>
        </w:rPr>
        <w:footnoteReference w:id="2"/>
      </w:r>
      <w:r w:rsidRPr="00C74359">
        <w:rPr>
          <w:rFonts w:ascii="Gill Sans MT" w:eastAsia="Times New Roman" w:hAnsi="Gill Sans MT" w:cs="Times New Roman"/>
          <w:sz w:val="24"/>
          <w:szCs w:val="24"/>
        </w:rPr>
        <w:t xml:space="preserve"> and OSCE/ODIHR</w:t>
      </w:r>
      <w:r w:rsidRPr="00C74359">
        <w:rPr>
          <w:rFonts w:ascii="Gill Sans MT" w:hAnsi="Gill Sans MT"/>
          <w:vertAlign w:val="superscript"/>
        </w:rPr>
        <w:footnoteReference w:id="3"/>
      </w:r>
      <w:r w:rsidRPr="00C74359">
        <w:rPr>
          <w:rFonts w:ascii="Gill Sans MT" w:eastAsia="Times New Roman" w:hAnsi="Gill Sans MT" w:cs="Times New Roman"/>
          <w:sz w:val="24"/>
          <w:szCs w:val="24"/>
        </w:rPr>
        <w:t xml:space="preserve"> concluded that the law fails to meet international standards, warning that it silences critical voices and undermines pluralism.</w:t>
      </w:r>
    </w:p>
    <w:p w14:paraId="7FCE2FFD" w14:textId="6046F711" w:rsidR="0084193C" w:rsidRPr="00C74359" w:rsidRDefault="0084193C" w:rsidP="00BB19F1">
      <w:pPr>
        <w:pStyle w:val="ListParagraph"/>
        <w:numPr>
          <w:ilvl w:val="0"/>
          <w:numId w:val="2"/>
        </w:numPr>
        <w:spacing w:line="259" w:lineRule="auto"/>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The situation worsened with the Foreign Agents Registration Act (2025), which introduced criminal liability for failure to register or comply with reporting requirements. Penalties include fines and imprisonment of up to five years. Unlike the U.S. Foreign Agents Registration Act, which Georgian authorities claim as a model, the Georgian version lacks safeguards and grants excessive discretionary powers to the Anti-Corruption Bureau</w:t>
      </w:r>
      <w:r w:rsidR="000371DD">
        <w:rPr>
          <w:rFonts w:ascii="Gill Sans MT" w:eastAsia="Times New Roman" w:hAnsi="Gill Sans MT" w:cs="Times New Roman"/>
          <w:sz w:val="24"/>
          <w:szCs w:val="24"/>
          <w:lang w:val="en-US"/>
        </w:rPr>
        <w:t xml:space="preserve"> (now State Audit Office of Georgia)</w:t>
      </w:r>
      <w:r w:rsidRPr="00C74359">
        <w:rPr>
          <w:rFonts w:ascii="Gill Sans MT" w:eastAsia="Times New Roman" w:hAnsi="Gill Sans MT" w:cs="Times New Roman"/>
          <w:sz w:val="24"/>
          <w:szCs w:val="24"/>
        </w:rPr>
        <w:t>.</w:t>
      </w:r>
      <w:r w:rsidRPr="00C74359">
        <w:rPr>
          <w:rFonts w:ascii="Gill Sans MT" w:hAnsi="Gill Sans MT"/>
          <w:vertAlign w:val="superscript"/>
        </w:rPr>
        <w:footnoteReference w:id="4"/>
      </w:r>
      <w:r w:rsidRPr="00C74359">
        <w:rPr>
          <w:rFonts w:ascii="Gill Sans MT" w:eastAsia="Times New Roman" w:hAnsi="Gill Sans MT" w:cs="Times New Roman"/>
          <w:sz w:val="24"/>
          <w:szCs w:val="24"/>
        </w:rPr>
        <w:t xml:space="preserve"> The Venice Commission emphasized that the label “foreign agent” is inherently stigmatizing and recommended repeal.</w:t>
      </w:r>
      <w:r w:rsidRPr="00C74359">
        <w:rPr>
          <w:rFonts w:ascii="Gill Sans MT" w:hAnsi="Gill Sans MT"/>
          <w:vertAlign w:val="superscript"/>
        </w:rPr>
        <w:footnoteReference w:id="5"/>
      </w:r>
    </w:p>
    <w:p w14:paraId="303DCF0E" w14:textId="3AFF47C1" w:rsidR="0084193C" w:rsidRPr="00C74359" w:rsidRDefault="0084193C" w:rsidP="00BB19F1">
      <w:pPr>
        <w:pStyle w:val="ListParagraph"/>
        <w:numPr>
          <w:ilvl w:val="0"/>
          <w:numId w:val="2"/>
        </w:numPr>
        <w:spacing w:line="259" w:lineRule="auto"/>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Further amendments to the Law on Grants (2025–26) intensified state control. Receiving grants from foreign donors now requires government consent, with violations punishable by fines and asset freezes. The definition of grants was expanded to include technical assistance, knowledge-sharing, and in-kind support. These measures strip civil society of autonomy, transforming organizations into state-regulated actors subject to arbitrary punishment.</w:t>
      </w:r>
      <w:r w:rsidRPr="00C74359">
        <w:rPr>
          <w:rFonts w:ascii="Gill Sans MT" w:hAnsi="Gill Sans MT"/>
          <w:vertAlign w:val="superscript"/>
        </w:rPr>
        <w:footnoteReference w:id="6"/>
      </w:r>
    </w:p>
    <w:p w14:paraId="6E11781C" w14:textId="77777777" w:rsidR="0084193C" w:rsidRPr="00C74359" w:rsidRDefault="0084193C" w:rsidP="00BB19F1">
      <w:pPr>
        <w:pStyle w:val="ListParagraph"/>
        <w:numPr>
          <w:ilvl w:val="0"/>
          <w:numId w:val="2"/>
        </w:numPr>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The European Court of Human Rights (ECtHR) has on numerous occasions affirmed the direct relationship between democracy, pluralism, and the freedom of association, and has established the principle that only convincing and compelling reasons can justify restrictions on that freedom</w:t>
      </w:r>
      <w:r w:rsidRPr="00C74359">
        <w:rPr>
          <w:rFonts w:ascii="Gill Sans MT" w:eastAsia="Times New Roman" w:hAnsi="Gill Sans MT" w:cs="Times New Roman"/>
          <w:sz w:val="24"/>
          <w:szCs w:val="24"/>
          <w:highlight w:val="white"/>
        </w:rPr>
        <w:t>.</w:t>
      </w:r>
      <w:r w:rsidRPr="00C74359">
        <w:rPr>
          <w:rFonts w:ascii="Gill Sans MT" w:hAnsi="Gill Sans MT"/>
          <w:highlight w:val="white"/>
          <w:vertAlign w:val="superscript"/>
        </w:rPr>
        <w:footnoteReference w:id="7"/>
      </w:r>
      <w:r w:rsidRPr="00C74359">
        <w:rPr>
          <w:rFonts w:ascii="Gill Sans MT" w:eastAsia="Times New Roman" w:hAnsi="Gill Sans MT" w:cs="Times New Roman"/>
          <w:sz w:val="24"/>
          <w:szCs w:val="24"/>
        </w:rPr>
        <w:t xml:space="preserve"> </w:t>
      </w:r>
    </w:p>
    <w:p w14:paraId="2F39BD7D" w14:textId="257A4772" w:rsidR="0084193C" w:rsidRPr="00C74359" w:rsidRDefault="0084193C" w:rsidP="00BB19F1">
      <w:pPr>
        <w:jc w:val="both"/>
        <w:rPr>
          <w:rFonts w:ascii="Gill Sans MT" w:eastAsia="Times New Roman" w:hAnsi="Gill Sans MT" w:cs="Times New Roman"/>
          <w:sz w:val="24"/>
          <w:szCs w:val="24"/>
        </w:rPr>
      </w:pPr>
    </w:p>
    <w:p w14:paraId="5F13B981" w14:textId="2C1E1EB0" w:rsidR="0084193C" w:rsidRPr="00C74359" w:rsidRDefault="00E04E5E" w:rsidP="00BB19F1">
      <w:pPr>
        <w:pStyle w:val="Heading2"/>
        <w:ind w:left="720"/>
        <w:jc w:val="both"/>
        <w:rPr>
          <w:rFonts w:ascii="Gill Sans MT" w:eastAsia="Times New Roman" w:hAnsi="Gill Sans MT"/>
          <w:lang w:val="en-US"/>
        </w:rPr>
      </w:pPr>
      <w:bookmarkStart w:id="2" w:name="_Toc233730434"/>
      <w:r w:rsidRPr="00C74359">
        <w:rPr>
          <w:rFonts w:ascii="Gill Sans MT" w:eastAsia="Times New Roman" w:hAnsi="Gill Sans MT"/>
          <w:lang w:val="en-US"/>
        </w:rPr>
        <w:t>Election</w:t>
      </w:r>
      <w:r w:rsidR="0084193C" w:rsidRPr="00C74359">
        <w:rPr>
          <w:rFonts w:ascii="Gill Sans MT" w:eastAsia="Times New Roman" w:hAnsi="Gill Sans MT"/>
          <w:lang w:val="en-US"/>
        </w:rPr>
        <w:t xml:space="preserve"> Observation Organizations</w:t>
      </w:r>
      <w:bookmarkEnd w:id="2"/>
      <w:r w:rsidR="0084193C" w:rsidRPr="00C74359">
        <w:rPr>
          <w:rFonts w:ascii="Gill Sans MT" w:eastAsia="Times New Roman" w:hAnsi="Gill Sans MT"/>
          <w:lang w:val="en-US"/>
        </w:rPr>
        <w:t xml:space="preserve"> </w:t>
      </w:r>
    </w:p>
    <w:p w14:paraId="759F74E4" w14:textId="015433D6" w:rsidR="00794281" w:rsidRPr="00C74359" w:rsidRDefault="00794281" w:rsidP="00BB19F1">
      <w:pPr>
        <w:jc w:val="both"/>
        <w:rPr>
          <w:rFonts w:ascii="Gill Sans MT" w:eastAsia="Times New Roman" w:hAnsi="Gill Sans MT" w:cs="Times New Roman"/>
          <w:sz w:val="24"/>
          <w:szCs w:val="24"/>
          <w:lang w:val="en-US"/>
        </w:rPr>
      </w:pPr>
    </w:p>
    <w:p w14:paraId="75FAE79D" w14:textId="6E145DF3" w:rsidR="00794281" w:rsidRPr="00C74359" w:rsidRDefault="00794281" w:rsidP="00BB19F1">
      <w:pPr>
        <w:pStyle w:val="ListParagraph"/>
        <w:numPr>
          <w:ilvl w:val="0"/>
          <w:numId w:val="2"/>
        </w:numPr>
        <w:jc w:val="both"/>
        <w:rPr>
          <w:rFonts w:ascii="Gill Sans MT" w:eastAsia="Times New Roman" w:hAnsi="Gill Sans MT" w:cs="Times New Roman"/>
          <w:sz w:val="24"/>
          <w:szCs w:val="24"/>
          <w:lang w:val="en-US"/>
        </w:rPr>
      </w:pPr>
      <w:r w:rsidRPr="00C74359">
        <w:rPr>
          <w:rFonts w:ascii="Gill Sans MT" w:eastAsia="Times New Roman" w:hAnsi="Gill Sans MT" w:cs="Times New Roman"/>
          <w:sz w:val="24"/>
          <w:szCs w:val="24"/>
          <w:lang w:val="en-US"/>
        </w:rPr>
        <w:lastRenderedPageBreak/>
        <w:t>Election observation organizations are a vital category of association protected under Article 22 of the ICCPR. The Concept Note (para. 12) recognizes that associations include those engaged in electoral processes, and the Special Rapporteur has emphasized that freedom of association necessarily entails the freedom of associations to decide and engage in activities of their own choosing, including monitoring elections, reporting on violations, and conducting voter education. These organizations are recognized as human rights defenders by the Venice Commission and the Committee of Ministers, underscoring their essential role in safeguarding democratic transparency.</w:t>
      </w:r>
    </w:p>
    <w:p w14:paraId="189F3A8D" w14:textId="204AD1F8" w:rsidR="00794281" w:rsidRPr="00C74359" w:rsidRDefault="00794281" w:rsidP="00BB19F1">
      <w:pPr>
        <w:pStyle w:val="ListParagraph"/>
        <w:numPr>
          <w:ilvl w:val="0"/>
          <w:numId w:val="2"/>
        </w:numPr>
        <w:jc w:val="both"/>
        <w:rPr>
          <w:rFonts w:ascii="Gill Sans MT" w:eastAsia="Times New Roman" w:hAnsi="Gill Sans MT" w:cs="Times New Roman"/>
          <w:sz w:val="24"/>
          <w:szCs w:val="24"/>
          <w:lang w:val="en-US"/>
        </w:rPr>
      </w:pPr>
      <w:r w:rsidRPr="00C74359">
        <w:rPr>
          <w:rFonts w:ascii="Gill Sans MT" w:eastAsia="Times New Roman" w:hAnsi="Gill Sans MT" w:cs="Times New Roman"/>
          <w:sz w:val="24"/>
          <w:szCs w:val="24"/>
          <w:lang w:val="en-US"/>
        </w:rPr>
        <w:t>In Georgia, recent legislation such as the Law on Transparency of Foreign Influence (2024), the Foreign Agents Registration Act (2025), and amendments to the Law on Grants (2025–26) have stripped election observation organizations of their autonomy. They face stigmatization, denial of funding, arbitrary registration delays, and asset freezes. These measures have paralyzed independent monitoring and obstructed transparency of electoral processes. The freezing of bank accounts of organizations such as ISFED has had a chilling effect, amounting to de facto liquidation. International bodies including the Council of Europe Commissioner for Human Rights and PACE have condemned these measures as violations of Article 22 and Article 18 of the European Convention on Human Rights.</w:t>
      </w:r>
    </w:p>
    <w:p w14:paraId="61B67E2B" w14:textId="58AFDACA" w:rsidR="0084193C" w:rsidRPr="00C74359" w:rsidRDefault="00794281" w:rsidP="00BB19F1">
      <w:pPr>
        <w:pStyle w:val="ListParagraph"/>
        <w:numPr>
          <w:ilvl w:val="0"/>
          <w:numId w:val="2"/>
        </w:numPr>
        <w:jc w:val="both"/>
        <w:rPr>
          <w:rFonts w:ascii="Gill Sans MT" w:eastAsia="Times New Roman" w:hAnsi="Gill Sans MT" w:cs="Times New Roman"/>
          <w:sz w:val="24"/>
          <w:szCs w:val="24"/>
          <w:lang w:val="en-US"/>
        </w:rPr>
      </w:pPr>
      <w:r w:rsidRPr="00C74359">
        <w:rPr>
          <w:rFonts w:ascii="Gill Sans MT" w:eastAsia="Times New Roman" w:hAnsi="Gill Sans MT" w:cs="Times New Roman"/>
          <w:sz w:val="24"/>
          <w:szCs w:val="24"/>
          <w:lang w:val="en-US"/>
        </w:rPr>
        <w:t>The General Comment could clarify that restrictions on election observation organizations must be subject to rigorous verification under international law. It should emphasize that financial support from diverse sources, including foreign and international actors, is integral to their independence. Arbitrary prohibitions on foreign funding, stigmatizing labels, and criminal penalties are incompatible with Article 22. The General Comment should also highlight the presumption of legality in registration processes, requiring states to establish short maximum time limits for decisions and ensuring that denial is fully explained and devoid of political motivation.</w:t>
      </w:r>
    </w:p>
    <w:p w14:paraId="5AF10CED" w14:textId="3DD72E52" w:rsidR="0084193C" w:rsidRPr="00C74359" w:rsidRDefault="0084193C" w:rsidP="00BB19F1">
      <w:pPr>
        <w:pStyle w:val="ListParagraph"/>
        <w:numPr>
          <w:ilvl w:val="0"/>
          <w:numId w:val="2"/>
        </w:numPr>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The Special Rapporteur stressed that the right to freedom of association necessarily entails the freedom of associations to decide and engage in activities of their own choosing, and this extends to those wishing to engage in election-related activities, including monitoring and observing election processes, reporting on human rights violations and electoral fraud, engaging in fundraising activities, as well as participating in election observation, voter education and the inspection of voters rolls.</w:t>
      </w:r>
      <w:r w:rsidRPr="00C74359">
        <w:rPr>
          <w:rFonts w:ascii="Gill Sans MT" w:hAnsi="Gill Sans MT"/>
          <w:vertAlign w:val="superscript"/>
        </w:rPr>
        <w:footnoteReference w:id="8"/>
      </w:r>
      <w:r w:rsidRPr="00C74359">
        <w:rPr>
          <w:rFonts w:ascii="Gill Sans MT" w:eastAsia="Times New Roman" w:hAnsi="Gill Sans MT" w:cs="Times New Roman"/>
          <w:sz w:val="24"/>
          <w:szCs w:val="24"/>
        </w:rPr>
        <w:t xml:space="preserve"> </w:t>
      </w:r>
    </w:p>
    <w:p w14:paraId="7A2AC3CE" w14:textId="34A71066" w:rsidR="0084193C" w:rsidRPr="00C74359" w:rsidRDefault="0084193C" w:rsidP="00BB19F1">
      <w:pPr>
        <w:pStyle w:val="ListParagraph"/>
        <w:numPr>
          <w:ilvl w:val="0"/>
          <w:numId w:val="2"/>
        </w:numPr>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Under the international standards established by the UN Human Rights Council, the protection of freedom of association within the electoral context directly extends to independent election observation organizations, including those espousing dissenting or critical views, and any restriction imposed upon their free operation is subject to rigorous verification under international human rights law.</w:t>
      </w:r>
      <w:r w:rsidRPr="00C74359">
        <w:rPr>
          <w:rFonts w:ascii="Gill Sans MT" w:hAnsi="Gill Sans MT"/>
          <w:vertAlign w:val="superscript"/>
        </w:rPr>
        <w:footnoteReference w:id="9"/>
      </w:r>
      <w:r w:rsidRPr="00C74359">
        <w:rPr>
          <w:rFonts w:ascii="Gill Sans MT" w:eastAsia="Times New Roman" w:hAnsi="Gill Sans MT" w:cs="Times New Roman"/>
          <w:sz w:val="24"/>
          <w:szCs w:val="24"/>
        </w:rPr>
        <w:t xml:space="preserve"> </w:t>
      </w:r>
    </w:p>
    <w:p w14:paraId="773AF408" w14:textId="3C269CAC" w:rsidR="0084193C" w:rsidRPr="00C74359" w:rsidRDefault="0084193C" w:rsidP="00BB19F1">
      <w:pPr>
        <w:pStyle w:val="ListParagraph"/>
        <w:numPr>
          <w:ilvl w:val="0"/>
          <w:numId w:val="2"/>
        </w:numPr>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lastRenderedPageBreak/>
        <w:t>According to the report issued by the Venice Commission, it is noteworthy that election observers are recognized as human rights defenders.</w:t>
      </w:r>
      <w:r w:rsidRPr="00C74359">
        <w:rPr>
          <w:rFonts w:ascii="Gill Sans MT" w:hAnsi="Gill Sans MT"/>
          <w:vertAlign w:val="superscript"/>
        </w:rPr>
        <w:footnoteReference w:id="10"/>
      </w:r>
      <w:r w:rsidRPr="00C74359">
        <w:rPr>
          <w:rFonts w:ascii="Gill Sans MT" w:eastAsia="Times New Roman" w:hAnsi="Gill Sans MT" w:cs="Times New Roman"/>
          <w:sz w:val="24"/>
          <w:szCs w:val="24"/>
        </w:rPr>
        <w:t xml:space="preserve"> In 2018, the Committee of Ministers did define human rights defenders as „anyone who, individually or with others, acts to protect or promote human rights, regardless of his/her profession or other status, and that national human rights institutions (NHRIs) and civil society organisations working for the protection and promotion of human rights are human rights defenders.“</w:t>
      </w:r>
      <w:r w:rsidRPr="00C74359">
        <w:rPr>
          <w:rFonts w:ascii="Gill Sans MT" w:hAnsi="Gill Sans MT"/>
          <w:vertAlign w:val="superscript"/>
        </w:rPr>
        <w:footnoteReference w:id="11"/>
      </w:r>
      <w:r w:rsidRPr="00C74359">
        <w:rPr>
          <w:rFonts w:ascii="Gill Sans MT" w:eastAsia="Times New Roman" w:hAnsi="Gill Sans MT" w:cs="Times New Roman"/>
          <w:sz w:val="24"/>
          <w:szCs w:val="24"/>
        </w:rPr>
        <w:t xml:space="preserve"> </w:t>
      </w:r>
    </w:p>
    <w:p w14:paraId="3A6FBC89" w14:textId="69DF9473" w:rsidR="0084193C" w:rsidRPr="00C74359" w:rsidRDefault="004902A7" w:rsidP="00BB19F1">
      <w:pPr>
        <w:pStyle w:val="ListParagraph"/>
        <w:numPr>
          <w:ilvl w:val="0"/>
          <w:numId w:val="2"/>
        </w:numPr>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Within the context of freedom of association, access to financial support is a crucial element of organizational independence. States must recognize that ensuring a diversity of funding sources is essential to safeguarding the autonomy of associations. In addition to domestic resources, associations should be able to solicit and receive support from foreign and international actors, including private individuals, corporate entities, international and intergovernmental organizations, and foreign state institutions. Guaranteeing this diversity of funding aligns with the principles set out in the Concept Note for General Comment No. 38, which emphasizes that the ability to access resources is inherent in the right to freedom of association and indispensable for the effective functioning of associations.</w:t>
      </w:r>
      <w:r w:rsidR="0084193C" w:rsidRPr="00C74359">
        <w:rPr>
          <w:rFonts w:ascii="Gill Sans MT" w:eastAsia="Times New Roman" w:hAnsi="Gill Sans MT" w:cs="Times New Roman"/>
          <w:sz w:val="24"/>
          <w:szCs w:val="24"/>
        </w:rPr>
        <w:t>.</w:t>
      </w:r>
      <w:r w:rsidR="0084193C" w:rsidRPr="00C74359">
        <w:rPr>
          <w:rFonts w:ascii="Gill Sans MT" w:hAnsi="Gill Sans MT"/>
          <w:vertAlign w:val="superscript"/>
        </w:rPr>
        <w:footnoteReference w:id="12"/>
      </w:r>
    </w:p>
    <w:p w14:paraId="6BA0B985" w14:textId="77777777" w:rsidR="0084193C" w:rsidRPr="00C74359" w:rsidRDefault="0084193C" w:rsidP="00BB19F1">
      <w:pPr>
        <w:pStyle w:val="ListParagraph"/>
        <w:numPr>
          <w:ilvl w:val="0"/>
          <w:numId w:val="2"/>
        </w:numPr>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State practices that raise the deepest concerns in this area are: outright prohibitions on access to foreign funding; requiring associations to obtain government approval prior to receiving such funding; stigmatizing or delegitimizing the work of foreign-funded associations by requiring them to be labelled in a pejorative manner;  initiating audit or inspection campaigns to harass such associations; and imposing criminal penalties on associations for failure to comply with any above-mentioned constraints on funding and etc.</w:t>
      </w:r>
      <w:r w:rsidRPr="00C74359">
        <w:rPr>
          <w:rFonts w:ascii="Gill Sans MT" w:hAnsi="Gill Sans MT"/>
          <w:vertAlign w:val="superscript"/>
        </w:rPr>
        <w:footnoteReference w:id="13"/>
      </w:r>
      <w:r w:rsidRPr="00C74359">
        <w:rPr>
          <w:rFonts w:ascii="Gill Sans MT" w:eastAsia="Times New Roman" w:hAnsi="Gill Sans MT" w:cs="Times New Roman"/>
          <w:sz w:val="24"/>
          <w:szCs w:val="24"/>
        </w:rPr>
        <w:t xml:space="preserve"> As reported by the UN Special Rapporteur on the rights to freedom of peaceful assembly and of association, the ability of associations to access funding and other resources from domestic, foreign, and international sources is an integral part of the right to freedom of association. Consequently, such constraints violate Article 22 of the ICCPR as well as other international human rights instruments, including the ICESCR.</w:t>
      </w:r>
      <w:r w:rsidRPr="00C74359">
        <w:rPr>
          <w:rFonts w:ascii="Gill Sans MT" w:hAnsi="Gill Sans MT"/>
          <w:vertAlign w:val="superscript"/>
        </w:rPr>
        <w:footnoteReference w:id="14"/>
      </w:r>
    </w:p>
    <w:p w14:paraId="0FFA16C9" w14:textId="77777777" w:rsidR="0084193C" w:rsidRPr="00C74359" w:rsidRDefault="0084193C" w:rsidP="00BB19F1">
      <w:pPr>
        <w:jc w:val="both"/>
        <w:rPr>
          <w:rFonts w:ascii="Gill Sans MT" w:eastAsia="Times New Roman" w:hAnsi="Gill Sans MT" w:cs="Times New Roman"/>
          <w:sz w:val="24"/>
          <w:szCs w:val="24"/>
        </w:rPr>
      </w:pPr>
    </w:p>
    <w:p w14:paraId="6BEF2FC1" w14:textId="3D55AB3F" w:rsidR="0084193C" w:rsidRPr="00C74359" w:rsidRDefault="0084193C" w:rsidP="00BB19F1">
      <w:pPr>
        <w:pStyle w:val="ListParagraph"/>
        <w:numPr>
          <w:ilvl w:val="0"/>
          <w:numId w:val="2"/>
        </w:numPr>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 xml:space="preserve">Due to recently enacted repressive legislation in Georgia, independent observation organizations have been effectively stripped of their ability to receive international funding. These barriers not only hinder their daily operations but also deliberately </w:t>
      </w:r>
      <w:r w:rsidRPr="00C74359">
        <w:rPr>
          <w:rFonts w:ascii="Gill Sans MT" w:eastAsia="Times New Roman" w:hAnsi="Gill Sans MT" w:cs="Times New Roman"/>
          <w:sz w:val="24"/>
          <w:szCs w:val="24"/>
        </w:rPr>
        <w:lastRenderedPageBreak/>
        <w:t>obstruct the country's democratic development and the transparency of electoral processes.</w:t>
      </w:r>
    </w:p>
    <w:p w14:paraId="17731CD5" w14:textId="26475B69" w:rsidR="0084193C" w:rsidRPr="00C74359" w:rsidRDefault="004902A7" w:rsidP="00BB19F1">
      <w:pPr>
        <w:pStyle w:val="ListParagraph"/>
        <w:numPr>
          <w:ilvl w:val="0"/>
          <w:numId w:val="2"/>
        </w:numPr>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In addition to financial difficulties, election observation organizations face significant challenges arising from administrative interference. Artificial obstacles created by public authorities undermine their ability to function independently. A notable example is the approach taken by the National Agency of Public Registry (NAPR) in relation to ISFED, where unjustified delays in registering internal organizational changes</w:t>
      </w:r>
      <w:r w:rsidRPr="00C74359">
        <w:rPr>
          <w:rFonts w:ascii="Gill Sans MT" w:eastAsia="Times New Roman" w:hAnsi="Gill Sans MT" w:cs="Times New Roman"/>
          <w:sz w:val="24"/>
          <w:szCs w:val="24"/>
          <w:lang w:val="en-US"/>
        </w:rPr>
        <w:t xml:space="preserve">, </w:t>
      </w:r>
      <w:r w:rsidRPr="00C74359">
        <w:rPr>
          <w:rFonts w:ascii="Gill Sans MT" w:eastAsia="Times New Roman" w:hAnsi="Gill Sans MT" w:cs="Times New Roman"/>
          <w:sz w:val="24"/>
          <w:szCs w:val="24"/>
        </w:rPr>
        <w:t>such as updates to leadership positions</w:t>
      </w:r>
      <w:r w:rsidRPr="00C74359">
        <w:rPr>
          <w:rFonts w:ascii="Gill Sans MT" w:eastAsia="Times New Roman" w:hAnsi="Gill Sans MT" w:cs="Times New Roman"/>
          <w:sz w:val="24"/>
          <w:szCs w:val="24"/>
          <w:lang w:val="en-US"/>
        </w:rPr>
        <w:t xml:space="preserve"> </w:t>
      </w:r>
      <w:r w:rsidRPr="00C74359">
        <w:rPr>
          <w:rFonts w:ascii="Gill Sans MT" w:eastAsia="Times New Roman" w:hAnsi="Gill Sans MT" w:cs="Times New Roman"/>
          <w:sz w:val="24"/>
          <w:szCs w:val="24"/>
        </w:rPr>
        <w:t>have obstructed the organization’s core operations. Such practices represent arbitrary interference with freedom of association and highlight the vulnerability of election observers to politically motivated administrative control.</w:t>
      </w:r>
      <w:r w:rsidR="0084193C" w:rsidRPr="00C74359">
        <w:rPr>
          <w:rFonts w:ascii="Gill Sans MT" w:hAnsi="Gill Sans MT"/>
          <w:vertAlign w:val="superscript"/>
        </w:rPr>
        <w:footnoteReference w:id="15"/>
      </w:r>
      <w:r w:rsidRPr="00C74359">
        <w:rPr>
          <w:rFonts w:ascii="Gill Sans MT" w:eastAsia="Times New Roman" w:hAnsi="Gill Sans MT" w:cs="Times New Roman"/>
          <w:sz w:val="24"/>
          <w:szCs w:val="24"/>
          <w:lang w:val="en-US"/>
        </w:rPr>
        <w:t xml:space="preserve"> The Registry, acting without legal justification, deliberately delayed the registration of internal organizational updates, such as changes to the executive director or chairperson of the board, thereby creating artificial barriers that obstructed the organization’s lawful operations and undermined its independence.</w:t>
      </w:r>
      <w:r w:rsidR="0084193C" w:rsidRPr="00C74359">
        <w:rPr>
          <w:rFonts w:ascii="Gill Sans MT" w:hAnsi="Gill Sans MT"/>
          <w:vertAlign w:val="superscript"/>
        </w:rPr>
        <w:footnoteReference w:id="16"/>
      </w:r>
      <w:r w:rsidR="0084193C" w:rsidRPr="00C74359">
        <w:rPr>
          <w:rFonts w:ascii="Gill Sans MT" w:eastAsia="Times New Roman" w:hAnsi="Gill Sans MT" w:cs="Times New Roman"/>
          <w:sz w:val="24"/>
          <w:szCs w:val="24"/>
        </w:rPr>
        <w:t xml:space="preserve"> It is evident that these actions create artificial barriers that significantly hinder the organization's core operations and day-to-day functions. </w:t>
      </w:r>
    </w:p>
    <w:p w14:paraId="631AA2C5" w14:textId="2A16D2B1" w:rsidR="0084193C" w:rsidRPr="00C74359" w:rsidRDefault="004902A7" w:rsidP="00BB19F1">
      <w:pPr>
        <w:pStyle w:val="ListParagraph"/>
        <w:numPr>
          <w:ilvl w:val="0"/>
          <w:numId w:val="2"/>
        </w:numPr>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Under international standards, any registration system for associations must operate within clear and short time limits for state authorities to respond to applications. If those limits expire without a decision, the entity should be automatically recognized as legally operative. Any denial of registration must be fully reasoned, free from political motivation, and subject to independent review. Crucially, the process must be guided by a presumption of legality, ensuring that NGOs are considered to be operating lawfully throughout the registration procedure</w:t>
      </w:r>
      <w:r w:rsidR="0084193C" w:rsidRPr="00C74359">
        <w:rPr>
          <w:rFonts w:ascii="Gill Sans MT" w:eastAsia="Times New Roman" w:hAnsi="Gill Sans MT" w:cs="Times New Roman"/>
          <w:sz w:val="24"/>
          <w:szCs w:val="24"/>
        </w:rPr>
        <w:t>.</w:t>
      </w:r>
      <w:r w:rsidR="0084193C" w:rsidRPr="00C74359">
        <w:rPr>
          <w:rFonts w:ascii="Gill Sans MT" w:hAnsi="Gill Sans MT"/>
          <w:vertAlign w:val="superscript"/>
        </w:rPr>
        <w:footnoteReference w:id="17"/>
      </w:r>
    </w:p>
    <w:p w14:paraId="20903DBB" w14:textId="7EB8DCA1" w:rsidR="0084193C" w:rsidRPr="00C74359" w:rsidRDefault="0084193C" w:rsidP="00BB19F1">
      <w:pPr>
        <w:pStyle w:val="ListParagraph"/>
        <w:numPr>
          <w:ilvl w:val="0"/>
          <w:numId w:val="2"/>
        </w:numPr>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 xml:space="preserve">Such arbitrary obstruction echoes the findings of the European Court of Human Rights in </w:t>
      </w:r>
      <w:r w:rsidRPr="00C74359">
        <w:rPr>
          <w:rFonts w:ascii="Gill Sans MT" w:eastAsia="Times New Roman" w:hAnsi="Gill Sans MT" w:cs="Times New Roman"/>
          <w:i/>
          <w:iCs/>
          <w:sz w:val="24"/>
          <w:szCs w:val="24"/>
        </w:rPr>
        <w:t>Kobaliya and Others v. Russia</w:t>
      </w:r>
      <w:r w:rsidRPr="00C74359">
        <w:rPr>
          <w:rFonts w:ascii="Gill Sans MT" w:eastAsia="Times New Roman" w:hAnsi="Gill Sans MT" w:cs="Times New Roman"/>
          <w:sz w:val="24"/>
          <w:szCs w:val="24"/>
        </w:rPr>
        <w:t xml:space="preserve"> (2024), where the Court clarified that independent election monitors function as protected civil society actors and ruled that formal or minor administrative irregularities can never justify state measures that disproportionately restrict or freeze an organization’s operational capacities.</w:t>
      </w:r>
      <w:r w:rsidRPr="00C74359">
        <w:rPr>
          <w:rFonts w:ascii="Gill Sans MT" w:hAnsi="Gill Sans MT"/>
          <w:vertAlign w:val="superscript"/>
        </w:rPr>
        <w:footnoteReference w:id="18"/>
      </w:r>
      <w:r w:rsidRPr="00C74359">
        <w:rPr>
          <w:rFonts w:ascii="Gill Sans MT" w:eastAsia="Times New Roman" w:hAnsi="Gill Sans MT" w:cs="Times New Roman"/>
          <w:sz w:val="24"/>
          <w:szCs w:val="24"/>
        </w:rPr>
        <w:t xml:space="preserve"> </w:t>
      </w:r>
    </w:p>
    <w:p w14:paraId="589D0480" w14:textId="77777777" w:rsidR="0084193C" w:rsidRPr="00C74359" w:rsidRDefault="0084193C" w:rsidP="00BB19F1">
      <w:pPr>
        <w:pStyle w:val="ListParagraph"/>
        <w:numPr>
          <w:ilvl w:val="0"/>
          <w:numId w:val="2"/>
        </w:numPr>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Also, it should be noted that in August 2025,  the Prosecutor's Office of Georgia froze the bank accounts of five organizations,</w:t>
      </w:r>
      <w:r w:rsidRPr="00C74359">
        <w:rPr>
          <w:rFonts w:ascii="Gill Sans MT" w:hAnsi="Gill Sans MT"/>
          <w:vertAlign w:val="superscript"/>
        </w:rPr>
        <w:footnoteReference w:id="19"/>
      </w:r>
      <w:r w:rsidRPr="00C74359">
        <w:rPr>
          <w:rFonts w:ascii="Gill Sans MT" w:eastAsia="Times New Roman" w:hAnsi="Gill Sans MT" w:cs="Times New Roman"/>
          <w:sz w:val="24"/>
          <w:szCs w:val="24"/>
        </w:rPr>
        <w:t xml:space="preserve"> including the election monitoring organization ISFED.</w:t>
      </w:r>
      <w:r w:rsidRPr="00C74359">
        <w:rPr>
          <w:rFonts w:ascii="Gill Sans MT" w:hAnsi="Gill Sans MT"/>
          <w:vertAlign w:val="superscript"/>
        </w:rPr>
        <w:footnoteReference w:id="20"/>
      </w:r>
      <w:r w:rsidRPr="00C74359">
        <w:rPr>
          <w:rFonts w:ascii="Gill Sans MT" w:eastAsia="Times New Roman" w:hAnsi="Gill Sans MT" w:cs="Times New Roman"/>
          <w:sz w:val="24"/>
          <w:szCs w:val="24"/>
        </w:rPr>
        <w:t xml:space="preserve"> The asset freeze decision has had a severe impact and a chilling </w:t>
      </w:r>
      <w:r w:rsidRPr="00C74359">
        <w:rPr>
          <w:rFonts w:ascii="Gill Sans MT" w:eastAsia="Times New Roman" w:hAnsi="Gill Sans MT" w:cs="Times New Roman"/>
          <w:sz w:val="24"/>
          <w:szCs w:val="24"/>
        </w:rPr>
        <w:lastRenderedPageBreak/>
        <w:t xml:space="preserve">effect on the organizations, tantamount to their de facto liquidation and paralysis. Under these conditions, the work of civil society organizations has been drastically weakened, leaving hundreds of individuals without free legal aid and other forms of support. Furthermore, the research and monitoring capacities of these organizations have been severely diminished and weakened. </w:t>
      </w:r>
    </w:p>
    <w:p w14:paraId="1AC28CFA" w14:textId="58E55426" w:rsidR="0084193C" w:rsidRPr="00C74359" w:rsidRDefault="00104238" w:rsidP="00BB19F1">
      <w:pPr>
        <w:pStyle w:val="ListParagraph"/>
        <w:numPr>
          <w:ilvl w:val="0"/>
          <w:numId w:val="2"/>
        </w:numPr>
        <w:spacing w:before="240" w:after="240"/>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On October</w:t>
      </w:r>
      <w:r w:rsidRPr="00C74359">
        <w:rPr>
          <w:rFonts w:ascii="Gill Sans MT" w:eastAsia="Times New Roman" w:hAnsi="Gill Sans MT" w:cs="Times New Roman"/>
          <w:sz w:val="24"/>
          <w:szCs w:val="24"/>
          <w:lang w:val="en-US"/>
        </w:rPr>
        <w:t xml:space="preserve"> 15,</w:t>
      </w:r>
      <w:r w:rsidRPr="00C74359">
        <w:rPr>
          <w:rFonts w:ascii="Gill Sans MT" w:eastAsia="Times New Roman" w:hAnsi="Gill Sans MT" w:cs="Times New Roman"/>
          <w:sz w:val="24"/>
          <w:szCs w:val="24"/>
        </w:rPr>
        <w:t xml:space="preserve"> 2025, the organizations lodged an application with the European Court of Human Rights challenging the asset freeze. The Court granted the case “impact” status, underscoring its significance, and formally communicated the complaint regarding the freezing of bank accounts. This step marked the beginning of the Court’s examination of the case on its merits.</w:t>
      </w:r>
      <w:r w:rsidR="0084193C" w:rsidRPr="00C74359">
        <w:rPr>
          <w:rFonts w:ascii="Gill Sans MT" w:hAnsi="Gill Sans MT"/>
          <w:vertAlign w:val="superscript"/>
        </w:rPr>
        <w:footnoteReference w:id="21"/>
      </w:r>
    </w:p>
    <w:p w14:paraId="69E7A0FF" w14:textId="0B0FAB79" w:rsidR="00270BC6" w:rsidRPr="00C74359" w:rsidRDefault="0084193C" w:rsidP="00BB19F1">
      <w:pPr>
        <w:pStyle w:val="ListParagraph"/>
        <w:numPr>
          <w:ilvl w:val="0"/>
          <w:numId w:val="2"/>
        </w:numPr>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The freezing of the assets of the civil society organisations has been strongly condemned by international human rights organisations,</w:t>
      </w:r>
      <w:r w:rsidRPr="00C74359">
        <w:rPr>
          <w:rFonts w:ascii="Gill Sans MT" w:hAnsi="Gill Sans MT"/>
          <w:vertAlign w:val="superscript"/>
        </w:rPr>
        <w:footnoteReference w:id="22"/>
      </w:r>
      <w:r w:rsidRPr="00C74359">
        <w:rPr>
          <w:rFonts w:ascii="Gill Sans MT" w:eastAsia="Times New Roman" w:hAnsi="Gill Sans MT" w:cs="Times New Roman"/>
          <w:sz w:val="24"/>
          <w:szCs w:val="24"/>
        </w:rPr>
        <w:t xml:space="preserve"> the European Union,</w:t>
      </w:r>
      <w:r w:rsidRPr="00C74359">
        <w:rPr>
          <w:rFonts w:ascii="Gill Sans MT" w:hAnsi="Gill Sans MT"/>
          <w:vertAlign w:val="superscript"/>
        </w:rPr>
        <w:footnoteReference w:id="23"/>
      </w:r>
      <w:r w:rsidRPr="00C74359">
        <w:rPr>
          <w:rFonts w:ascii="Gill Sans MT" w:eastAsia="Times New Roman" w:hAnsi="Gill Sans MT" w:cs="Times New Roman"/>
          <w:sz w:val="24"/>
          <w:szCs w:val="24"/>
        </w:rPr>
        <w:t xml:space="preserve"> and EU Member States,</w:t>
      </w:r>
      <w:r w:rsidRPr="00C74359">
        <w:rPr>
          <w:rFonts w:ascii="Gill Sans MT" w:hAnsi="Gill Sans MT"/>
          <w:vertAlign w:val="superscript"/>
        </w:rPr>
        <w:footnoteReference w:id="24"/>
      </w:r>
      <w:r w:rsidRPr="00C74359">
        <w:rPr>
          <w:rFonts w:ascii="Gill Sans MT" w:eastAsia="Times New Roman" w:hAnsi="Gill Sans MT" w:cs="Times New Roman"/>
          <w:sz w:val="24"/>
          <w:szCs w:val="24"/>
        </w:rPr>
        <w:t xml:space="preserve"> as a manifestation of an unfounded criminal investigation and the persecution of civil society. In his latest report,</w:t>
      </w:r>
      <w:r w:rsidRPr="00C74359">
        <w:rPr>
          <w:rFonts w:ascii="Gill Sans MT" w:hAnsi="Gill Sans MT"/>
          <w:vertAlign w:val="superscript"/>
        </w:rPr>
        <w:footnoteReference w:id="25"/>
      </w:r>
      <w:r w:rsidRPr="00C74359">
        <w:rPr>
          <w:rFonts w:ascii="Gill Sans MT" w:eastAsia="Times New Roman" w:hAnsi="Gill Sans MT" w:cs="Times New Roman"/>
          <w:sz w:val="24"/>
          <w:szCs w:val="24"/>
        </w:rPr>
        <w:t xml:space="preserve"> published in June 2026, the Council of Europe Commissioner for Human Rights concluded that the combined effect of various legislative measures, ongoing administrative and criminal proceedings, and the use of stigmatising rhetoric constitutes a violation of Article 18 of the European Convention on Human Rights. In its October 2025 Resolution,</w:t>
      </w:r>
      <w:r w:rsidRPr="00C74359">
        <w:rPr>
          <w:rFonts w:ascii="Gill Sans MT" w:hAnsi="Gill Sans MT"/>
          <w:vertAlign w:val="superscript"/>
        </w:rPr>
        <w:footnoteReference w:id="26"/>
      </w:r>
      <w:r w:rsidRPr="00C74359">
        <w:rPr>
          <w:rFonts w:ascii="Gill Sans MT" w:eastAsia="Times New Roman" w:hAnsi="Gill Sans MT" w:cs="Times New Roman"/>
          <w:sz w:val="24"/>
          <w:szCs w:val="24"/>
        </w:rPr>
        <w:t xml:space="preserve"> the Parliamentary </w:t>
      </w:r>
      <w:r w:rsidRPr="00C74359">
        <w:rPr>
          <w:rFonts w:ascii="Gill Sans MT" w:eastAsia="Times New Roman" w:hAnsi="Gill Sans MT" w:cs="Times New Roman"/>
          <w:sz w:val="24"/>
          <w:szCs w:val="24"/>
        </w:rPr>
        <w:lastRenderedPageBreak/>
        <w:t>Assembly of the Council of Europe (PACE) condemned the freezing of the bank accounts of civil society organisations and characterised the measure as amounting to their de facto liquidation. In its June 2026 Resolution,</w:t>
      </w:r>
      <w:r w:rsidRPr="00C74359">
        <w:rPr>
          <w:rFonts w:ascii="Gill Sans MT" w:hAnsi="Gill Sans MT"/>
          <w:vertAlign w:val="superscript"/>
        </w:rPr>
        <w:footnoteReference w:id="27"/>
      </w:r>
      <w:r w:rsidRPr="00C74359">
        <w:rPr>
          <w:rFonts w:ascii="Gill Sans MT" w:eastAsia="Times New Roman" w:hAnsi="Gill Sans MT" w:cs="Times New Roman"/>
          <w:sz w:val="24"/>
          <w:szCs w:val="24"/>
        </w:rPr>
        <w:t xml:space="preserve"> PACE further observed that the existing circumstances pose a threat to the very existence of those organisations.</w:t>
      </w:r>
    </w:p>
    <w:p w14:paraId="7331FDDF" w14:textId="12289C4F" w:rsidR="00104238" w:rsidRPr="00C74359" w:rsidRDefault="00104238" w:rsidP="00BB19F1">
      <w:pPr>
        <w:pStyle w:val="ListParagraph"/>
        <w:numPr>
          <w:ilvl w:val="0"/>
          <w:numId w:val="2"/>
        </w:numPr>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For election observation organizations, freedom of association is the foundation of their existence. This right guarantees the ability of civic associations to independently determine their field of activity, to monitor electoral processes, and to operate in an environment free from politically motivated stigma, pejorative labeling, or state</w:t>
      </w:r>
      <w:r w:rsidRPr="00C74359">
        <w:rPr>
          <w:rFonts w:ascii="Cambria Math" w:eastAsia="Times New Roman" w:hAnsi="Cambria Math" w:cs="Cambria Math"/>
          <w:sz w:val="24"/>
          <w:szCs w:val="24"/>
        </w:rPr>
        <w:t>‑</w:t>
      </w:r>
      <w:r w:rsidRPr="00C74359">
        <w:rPr>
          <w:rFonts w:ascii="Gill Sans MT" w:eastAsia="Times New Roman" w:hAnsi="Gill Sans MT" w:cs="Times New Roman"/>
          <w:sz w:val="24"/>
          <w:szCs w:val="24"/>
        </w:rPr>
        <w:t>sponsored defamation. Such interference undermines their neutrality and erodes the public trust that is indispensable for effective electoral oversight.</w:t>
      </w:r>
    </w:p>
    <w:p w14:paraId="71441F8F" w14:textId="77777777" w:rsidR="00104238" w:rsidRPr="00C74359" w:rsidRDefault="00104238" w:rsidP="00BB19F1">
      <w:pPr>
        <w:pStyle w:val="Heading2"/>
        <w:ind w:left="720"/>
        <w:jc w:val="both"/>
        <w:rPr>
          <w:rFonts w:ascii="Gill Sans MT" w:hAnsi="Gill Sans MT"/>
          <w:lang w:val="en-US"/>
        </w:rPr>
      </w:pPr>
      <w:bookmarkStart w:id="3" w:name="_Toc233730435"/>
    </w:p>
    <w:p w14:paraId="4B9DBC67" w14:textId="379F31BE" w:rsidR="0084193C" w:rsidRPr="00C74359" w:rsidRDefault="0084193C" w:rsidP="00BB19F1">
      <w:pPr>
        <w:pStyle w:val="Heading2"/>
        <w:ind w:left="720"/>
        <w:jc w:val="both"/>
        <w:rPr>
          <w:rFonts w:ascii="Gill Sans MT" w:hAnsi="Gill Sans MT"/>
          <w:lang w:val="en-US"/>
        </w:rPr>
      </w:pPr>
      <w:r w:rsidRPr="00C74359">
        <w:rPr>
          <w:rFonts w:ascii="Gill Sans MT" w:hAnsi="Gill Sans MT"/>
          <w:lang w:val="en-US"/>
        </w:rPr>
        <w:t xml:space="preserve">Religious </w:t>
      </w:r>
      <w:r w:rsidR="00E04E5E" w:rsidRPr="00C74359">
        <w:rPr>
          <w:rFonts w:ascii="Gill Sans MT" w:hAnsi="Gill Sans MT"/>
          <w:lang w:val="en-US"/>
        </w:rPr>
        <w:t>Associations</w:t>
      </w:r>
      <w:bookmarkEnd w:id="3"/>
      <w:r w:rsidR="00E04E5E" w:rsidRPr="00C74359">
        <w:rPr>
          <w:rFonts w:ascii="Gill Sans MT" w:hAnsi="Gill Sans MT"/>
          <w:lang w:val="en-US"/>
        </w:rPr>
        <w:t xml:space="preserve"> </w:t>
      </w:r>
    </w:p>
    <w:p w14:paraId="5F42DBEE" w14:textId="77777777" w:rsidR="00794281" w:rsidRPr="00C74359" w:rsidRDefault="00794281" w:rsidP="00BB19F1">
      <w:pPr>
        <w:jc w:val="both"/>
        <w:rPr>
          <w:rFonts w:ascii="Gill Sans MT" w:hAnsi="Gill Sans MT"/>
          <w:sz w:val="24"/>
          <w:szCs w:val="24"/>
          <w:lang w:val="en-US"/>
        </w:rPr>
      </w:pPr>
    </w:p>
    <w:p w14:paraId="3CF8B193" w14:textId="0C399506" w:rsidR="00794281" w:rsidRPr="00C74359" w:rsidRDefault="00794281" w:rsidP="00BB19F1">
      <w:pPr>
        <w:pStyle w:val="ListParagraph"/>
        <w:numPr>
          <w:ilvl w:val="0"/>
          <w:numId w:val="2"/>
        </w:numPr>
        <w:jc w:val="both"/>
        <w:rPr>
          <w:rFonts w:ascii="Gill Sans MT" w:hAnsi="Gill Sans MT"/>
          <w:sz w:val="24"/>
          <w:szCs w:val="24"/>
          <w:lang w:val="en-US"/>
        </w:rPr>
      </w:pPr>
      <w:r w:rsidRPr="00C74359">
        <w:rPr>
          <w:rFonts w:ascii="Gill Sans MT" w:hAnsi="Gill Sans MT"/>
          <w:sz w:val="24"/>
          <w:szCs w:val="24"/>
          <w:lang w:val="en-US"/>
        </w:rPr>
        <w:t xml:space="preserve">Religious organizations are a distinct category of association protected under Article 22 of the ICCPR, closely linked to Article 18 on freedom of thought, conscience, and religion. The Human Rights Committee has recognized the significance of this nexus, emphasizing that freedom of association and freedom of religion or belief are mutually reinforcing. Religious associations therefore require particular attention in the General Comment, as their functioning is often subject to disproportionate restrictions and stigmatization.  </w:t>
      </w:r>
    </w:p>
    <w:p w14:paraId="2BFE1EDF" w14:textId="1C23F50D" w:rsidR="00794281" w:rsidRPr="00C74359" w:rsidRDefault="00794281" w:rsidP="00BB19F1">
      <w:pPr>
        <w:pStyle w:val="ListParagraph"/>
        <w:numPr>
          <w:ilvl w:val="0"/>
          <w:numId w:val="2"/>
        </w:numPr>
        <w:jc w:val="both"/>
        <w:rPr>
          <w:rFonts w:ascii="Gill Sans MT" w:hAnsi="Gill Sans MT"/>
          <w:color w:val="000000" w:themeColor="text1"/>
          <w:sz w:val="24"/>
          <w:szCs w:val="24"/>
          <w:lang w:val="en-US"/>
        </w:rPr>
      </w:pPr>
      <w:r w:rsidRPr="00C74359">
        <w:rPr>
          <w:rFonts w:ascii="Gill Sans MT" w:hAnsi="Gill Sans MT"/>
          <w:color w:val="000000" w:themeColor="text1"/>
          <w:sz w:val="24"/>
          <w:szCs w:val="24"/>
          <w:lang w:val="en-US"/>
        </w:rPr>
        <w:t>The right to freedom of religion and belief may be restricted through legal barriers to the establishment and registration of religious associations, as well as through state interference in religious activities. These restrictions include burdensome registration requirements, targeted limitations on specific religious groups, privileged treatment of certain religions, and constraints on worship, religious symbols, appointment of leaders, dissemination of materials, parental rights to religious education, communication at national and international levels, charitable activities, and solicitation of funding</w:t>
      </w:r>
      <w:r w:rsidR="00104238" w:rsidRPr="00C74359">
        <w:rPr>
          <w:rFonts w:ascii="Gill Sans MT" w:eastAsia="Times New Roman" w:hAnsi="Gill Sans MT" w:cs="Times New Roman"/>
          <w:color w:val="000000" w:themeColor="text1"/>
          <w:sz w:val="24"/>
          <w:szCs w:val="24"/>
        </w:rPr>
        <w:t>.</w:t>
      </w:r>
      <w:r w:rsidR="00104238" w:rsidRPr="00C74359">
        <w:rPr>
          <w:rFonts w:ascii="Gill Sans MT" w:hAnsi="Gill Sans MT"/>
          <w:color w:val="000000" w:themeColor="text1"/>
          <w:vertAlign w:val="superscript"/>
        </w:rPr>
        <w:footnoteReference w:id="28"/>
      </w:r>
      <w:r w:rsidR="00104238" w:rsidRPr="00C74359">
        <w:rPr>
          <w:rFonts w:ascii="Gill Sans MT" w:eastAsia="Times New Roman" w:hAnsi="Gill Sans MT" w:cs="Times New Roman"/>
          <w:color w:val="000000" w:themeColor="text1"/>
          <w:sz w:val="24"/>
          <w:szCs w:val="24"/>
        </w:rPr>
        <w:t xml:space="preserve"> Additional forms of State interference include the imposition of regulatory structures over religious organizations, financial restrictions, surveillance, revocation of registration, and outright prohibition. </w:t>
      </w:r>
      <w:r w:rsidRPr="00C74359">
        <w:rPr>
          <w:rFonts w:ascii="Gill Sans MT" w:hAnsi="Gill Sans MT"/>
          <w:color w:val="000000" w:themeColor="text1"/>
          <w:sz w:val="24"/>
          <w:szCs w:val="24"/>
          <w:lang w:val="en-US"/>
        </w:rPr>
        <w:t xml:space="preserve">Such measures undermine both freedom of association and freedom of religion.  </w:t>
      </w:r>
    </w:p>
    <w:p w14:paraId="2A7CC027" w14:textId="58A4D696" w:rsidR="00485EE9" w:rsidRPr="00C74359" w:rsidRDefault="00485EE9" w:rsidP="00485EE9">
      <w:pPr>
        <w:pStyle w:val="ListParagraph"/>
        <w:numPr>
          <w:ilvl w:val="0"/>
          <w:numId w:val="2"/>
        </w:numPr>
        <w:jc w:val="both"/>
        <w:rPr>
          <w:rFonts w:ascii="Gill Sans MT" w:hAnsi="Gill Sans MT"/>
          <w:sz w:val="24"/>
          <w:szCs w:val="24"/>
          <w:lang w:val="en-US"/>
        </w:rPr>
      </w:pPr>
      <w:r w:rsidRPr="00C74359">
        <w:rPr>
          <w:rFonts w:ascii="Gill Sans MT" w:eastAsia="Times New Roman" w:hAnsi="Gill Sans MT" w:cs="Times New Roman"/>
          <w:sz w:val="24"/>
          <w:szCs w:val="24"/>
        </w:rPr>
        <w:t>A substantial challenge in recent years with respect to restrictions on freedom of association has been the adoption of so-called “foreign agents” laws. The justifications provided by states that enact such legislation are largely identical. In validating the legitimate objectives they pursue, these states cite the necessity of ensuring “transparency,” “openness,” and “publicity,”</w:t>
      </w:r>
      <w:r w:rsidRPr="00C74359">
        <w:rPr>
          <w:rFonts w:ascii="Gill Sans MT" w:hAnsi="Gill Sans MT"/>
          <w:vertAlign w:val="superscript"/>
        </w:rPr>
        <w:footnoteReference w:id="29"/>
      </w:r>
      <w:r w:rsidRPr="00C74359">
        <w:rPr>
          <w:rFonts w:ascii="Gill Sans MT" w:eastAsia="Times New Roman" w:hAnsi="Gill Sans MT" w:cs="Times New Roman"/>
          <w:sz w:val="24"/>
          <w:szCs w:val="24"/>
        </w:rPr>
        <w:t xml:space="preserve"> alleged risk of “foreign influence” in the </w:t>
      </w:r>
      <w:r w:rsidRPr="00C74359">
        <w:rPr>
          <w:rFonts w:ascii="Gill Sans MT" w:eastAsia="Times New Roman" w:hAnsi="Gill Sans MT" w:cs="Times New Roman"/>
          <w:sz w:val="24"/>
          <w:szCs w:val="24"/>
        </w:rPr>
        <w:lastRenderedPageBreak/>
        <w:t>context of protecting national interests and state sovereignty,</w:t>
      </w:r>
      <w:r w:rsidRPr="00C74359">
        <w:rPr>
          <w:rFonts w:ascii="Gill Sans MT" w:hAnsi="Gill Sans MT"/>
          <w:vertAlign w:val="superscript"/>
        </w:rPr>
        <w:footnoteReference w:id="30"/>
      </w:r>
      <w:r w:rsidRPr="00C74359">
        <w:rPr>
          <w:rFonts w:ascii="Gill Sans MT" w:eastAsia="Times New Roman" w:hAnsi="Gill Sans MT" w:cs="Times New Roman"/>
          <w:sz w:val="24"/>
          <w:szCs w:val="24"/>
        </w:rPr>
        <w:t xml:space="preserve"> and the imperative of combating the financing of terrorism and money laundering</w:t>
      </w:r>
      <w:r w:rsidRPr="00C74359">
        <w:rPr>
          <w:rFonts w:ascii="Gill Sans MT" w:hAnsi="Gill Sans MT"/>
          <w:vertAlign w:val="superscript"/>
        </w:rPr>
        <w:footnoteReference w:id="31"/>
      </w:r>
      <w:r w:rsidRPr="00C74359">
        <w:rPr>
          <w:rFonts w:ascii="Gill Sans MT" w:eastAsia="Times New Roman" w:hAnsi="Gill Sans MT" w:cs="Times New Roman"/>
          <w:sz w:val="24"/>
          <w:szCs w:val="24"/>
        </w:rPr>
        <w:t>. In recent years, such laws have been adopted by the Russian Federation</w:t>
      </w:r>
      <w:r w:rsidRPr="00C74359">
        <w:rPr>
          <w:rFonts w:ascii="Gill Sans MT" w:hAnsi="Gill Sans MT"/>
          <w:vertAlign w:val="superscript"/>
        </w:rPr>
        <w:footnoteReference w:id="32"/>
      </w:r>
      <w:r w:rsidRPr="00C74359">
        <w:rPr>
          <w:rFonts w:ascii="Gill Sans MT" w:eastAsia="Times New Roman" w:hAnsi="Gill Sans MT" w:cs="Times New Roman"/>
          <w:sz w:val="24"/>
          <w:szCs w:val="24"/>
        </w:rPr>
        <w:t>, Hungary</w:t>
      </w:r>
      <w:r w:rsidRPr="00C74359">
        <w:rPr>
          <w:rFonts w:ascii="Gill Sans MT" w:hAnsi="Gill Sans MT"/>
          <w:vertAlign w:val="superscript"/>
        </w:rPr>
        <w:footnoteReference w:id="33"/>
      </w:r>
      <w:r w:rsidRPr="00C74359">
        <w:rPr>
          <w:rFonts w:ascii="Gill Sans MT" w:eastAsia="Times New Roman" w:hAnsi="Gill Sans MT" w:cs="Times New Roman"/>
          <w:sz w:val="24"/>
          <w:szCs w:val="24"/>
        </w:rPr>
        <w:t>, and Georgia</w:t>
      </w:r>
      <w:r w:rsidRPr="00C74359">
        <w:rPr>
          <w:rFonts w:ascii="Gill Sans MT" w:hAnsi="Gill Sans MT"/>
          <w:vertAlign w:val="superscript"/>
        </w:rPr>
        <w:footnoteReference w:id="34"/>
      </w:r>
      <w:r w:rsidRPr="00C74359">
        <w:rPr>
          <w:rFonts w:ascii="Gill Sans MT" w:eastAsia="Times New Roman" w:hAnsi="Gill Sans MT" w:cs="Times New Roman"/>
          <w:sz w:val="24"/>
          <w:szCs w:val="24"/>
        </w:rPr>
        <w:t>, while numerous other countries have initiated its drafting</w:t>
      </w:r>
      <w:r w:rsidRPr="00C74359">
        <w:rPr>
          <w:rFonts w:ascii="Gill Sans MT" w:hAnsi="Gill Sans MT"/>
          <w:vertAlign w:val="superscript"/>
        </w:rPr>
        <w:footnoteReference w:id="35"/>
      </w:r>
      <w:r w:rsidRPr="00C74359">
        <w:rPr>
          <w:rFonts w:ascii="Gill Sans MT" w:eastAsia="Times New Roman" w:hAnsi="Gill Sans MT" w:cs="Times New Roman"/>
          <w:sz w:val="24"/>
          <w:szCs w:val="24"/>
        </w:rPr>
        <w:t>.</w:t>
      </w:r>
    </w:p>
    <w:p w14:paraId="5036DA34" w14:textId="77777777" w:rsidR="00485EE9" w:rsidRPr="00C74359" w:rsidRDefault="00794281" w:rsidP="00485EE9">
      <w:pPr>
        <w:pStyle w:val="ListParagraph"/>
        <w:numPr>
          <w:ilvl w:val="0"/>
          <w:numId w:val="2"/>
        </w:numPr>
        <w:jc w:val="both"/>
        <w:rPr>
          <w:rFonts w:ascii="Gill Sans MT" w:hAnsi="Gill Sans MT"/>
          <w:sz w:val="24"/>
          <w:szCs w:val="24"/>
          <w:lang w:val="en-US"/>
        </w:rPr>
      </w:pPr>
      <w:r w:rsidRPr="00C74359">
        <w:rPr>
          <w:rFonts w:ascii="Gill Sans MT" w:hAnsi="Gill Sans MT"/>
          <w:sz w:val="24"/>
          <w:szCs w:val="24"/>
          <w:lang w:val="en-US"/>
        </w:rPr>
        <w:t xml:space="preserve">Legislation of this nature assigns stigmatizing labels such as “foreign agent” based solely on receipt of foreign funding, without assessing actual foreign control or dependency. International jurisprudence has confirmed the incompatibility of such laws with human rights standards. The European Court of Human Rights found Russia’s “foreign agents” legislation noncompliant, while the Court of Justice of the European Union struck down Hungary’s NGO Transparency Law as discriminatory and unjustified. The Venice Commission has emphasized that the label “agent of a foreign principal” is inherently stigmatizing and produces a chilling effect on freedom of expression and association.  </w:t>
      </w:r>
      <w:r w:rsidR="00485EE9" w:rsidRPr="00C74359">
        <w:rPr>
          <w:rFonts w:ascii="Gill Sans MT" w:eastAsia="Times New Roman" w:hAnsi="Gill Sans MT" w:cs="Times New Roman"/>
          <w:sz w:val="24"/>
          <w:szCs w:val="24"/>
        </w:rPr>
        <w:t>in some of the States that have adopted them, religious associations are also encompassed within their scope. For instance, under the Civil Code of Georgia, religious associations may be registered as legal entities under public law, registered as non-entrepreneurial (non-commercial) legal entities, or may operate as unregistered unions.</w:t>
      </w:r>
      <w:r w:rsidR="00485EE9" w:rsidRPr="00C74359">
        <w:rPr>
          <w:rFonts w:ascii="Gill Sans MT" w:hAnsi="Gill Sans MT"/>
          <w:vertAlign w:val="superscript"/>
        </w:rPr>
        <w:footnoteReference w:id="36"/>
      </w:r>
      <w:r w:rsidR="00485EE9" w:rsidRPr="00C74359">
        <w:rPr>
          <w:rFonts w:ascii="Gill Sans MT" w:eastAsia="Times New Roman" w:hAnsi="Gill Sans MT" w:cs="Times New Roman"/>
          <w:sz w:val="24"/>
          <w:szCs w:val="24"/>
        </w:rPr>
        <w:t xml:space="preserve"> The laws enacted by the Georgian authorities, notably the Law on Transparency of Foreign Influence (2024),</w:t>
      </w:r>
      <w:r w:rsidR="00485EE9" w:rsidRPr="00C74359">
        <w:rPr>
          <w:rFonts w:ascii="Gill Sans MT" w:hAnsi="Gill Sans MT"/>
          <w:vertAlign w:val="superscript"/>
        </w:rPr>
        <w:footnoteReference w:id="37"/>
      </w:r>
      <w:r w:rsidR="00485EE9" w:rsidRPr="00C74359">
        <w:rPr>
          <w:rFonts w:ascii="Gill Sans MT" w:eastAsia="Times New Roman" w:hAnsi="Gill Sans MT" w:cs="Times New Roman"/>
          <w:sz w:val="24"/>
          <w:szCs w:val="24"/>
        </w:rPr>
        <w:t xml:space="preserve"> the Foreign Agents Registration Act (2025),</w:t>
      </w:r>
      <w:r w:rsidR="00485EE9" w:rsidRPr="00C74359">
        <w:rPr>
          <w:rFonts w:ascii="Gill Sans MT" w:hAnsi="Gill Sans MT"/>
          <w:vertAlign w:val="superscript"/>
        </w:rPr>
        <w:footnoteReference w:id="38"/>
      </w:r>
      <w:r w:rsidR="00485EE9" w:rsidRPr="00C74359">
        <w:rPr>
          <w:rFonts w:ascii="Gill Sans MT" w:eastAsia="Times New Roman" w:hAnsi="Gill Sans MT" w:cs="Times New Roman"/>
          <w:sz w:val="24"/>
          <w:szCs w:val="24"/>
        </w:rPr>
        <w:t xml:space="preserve"> and amendments to the Law on Grants,</w:t>
      </w:r>
      <w:r w:rsidR="00485EE9" w:rsidRPr="00C74359">
        <w:rPr>
          <w:rFonts w:ascii="Gill Sans MT" w:hAnsi="Gill Sans MT"/>
          <w:vertAlign w:val="superscript"/>
        </w:rPr>
        <w:footnoteReference w:id="39"/>
      </w:r>
      <w:r w:rsidR="00485EE9" w:rsidRPr="00C74359">
        <w:rPr>
          <w:rFonts w:ascii="Gill Sans MT" w:eastAsia="Times New Roman" w:hAnsi="Gill Sans MT" w:cs="Times New Roman"/>
          <w:sz w:val="24"/>
          <w:szCs w:val="24"/>
        </w:rPr>
        <w:t xml:space="preserve"> in practice, do not provide any exemption with respect to religious associations or charitable organizations established by such entities. Furthermore, the scope of application of the legal framework is extended to these entities. This assertion is confirmed by the publicly available enforcement databases published by the State.</w:t>
      </w:r>
      <w:r w:rsidR="00485EE9" w:rsidRPr="00C74359">
        <w:rPr>
          <w:rFonts w:ascii="Gill Sans MT" w:hAnsi="Gill Sans MT"/>
          <w:vertAlign w:val="superscript"/>
        </w:rPr>
        <w:footnoteReference w:id="40"/>
      </w:r>
    </w:p>
    <w:p w14:paraId="3227AF93" w14:textId="635DEA6F" w:rsidR="00794281" w:rsidRPr="00C74359" w:rsidRDefault="00794281" w:rsidP="00485EE9">
      <w:pPr>
        <w:pStyle w:val="ListParagraph"/>
        <w:jc w:val="both"/>
        <w:rPr>
          <w:rFonts w:ascii="Gill Sans MT" w:hAnsi="Gill Sans MT"/>
          <w:sz w:val="24"/>
          <w:szCs w:val="24"/>
          <w:lang w:val="en-US"/>
        </w:rPr>
      </w:pPr>
    </w:p>
    <w:p w14:paraId="4D333E61" w14:textId="1CFD3C56" w:rsidR="00485EE9" w:rsidRPr="00C74359" w:rsidRDefault="00794281" w:rsidP="00485EE9">
      <w:pPr>
        <w:pStyle w:val="ListParagraph"/>
        <w:numPr>
          <w:ilvl w:val="0"/>
          <w:numId w:val="2"/>
        </w:numPr>
        <w:jc w:val="both"/>
        <w:rPr>
          <w:rFonts w:ascii="Gill Sans MT" w:hAnsi="Gill Sans MT"/>
          <w:sz w:val="24"/>
          <w:szCs w:val="24"/>
          <w:lang w:val="en-US"/>
        </w:rPr>
      </w:pPr>
      <w:r w:rsidRPr="00C74359">
        <w:rPr>
          <w:rFonts w:ascii="Gill Sans MT" w:hAnsi="Gill Sans MT"/>
          <w:sz w:val="24"/>
          <w:szCs w:val="24"/>
          <w:lang w:val="en-US"/>
        </w:rPr>
        <w:t xml:space="preserve">The Special Rapporteur has noted that foreign agent and foreign influence laws are discriminatory, disproportionately targeting civil society and restricting access to resources, while creating a presumption of suspicion. This chilling effect extends to religious organizations, which risk politically motivated repression when designated as foreign agents. The interim report of the Special Rapporteur on freedom of religion or belief further underlined </w:t>
      </w:r>
      <w:r w:rsidR="00104238" w:rsidRPr="00C74359">
        <w:rPr>
          <w:rFonts w:ascii="Gill Sans MT" w:hAnsi="Gill Sans MT"/>
          <w:sz w:val="24"/>
          <w:szCs w:val="24"/>
          <w:lang w:val="en-US"/>
        </w:rPr>
        <w:t>that restrictive legal framework</w:t>
      </w:r>
      <w:r w:rsidRPr="00C74359">
        <w:rPr>
          <w:rFonts w:ascii="Gill Sans MT" w:hAnsi="Gill Sans MT"/>
          <w:sz w:val="24"/>
          <w:szCs w:val="24"/>
          <w:lang w:val="en-US"/>
        </w:rPr>
        <w:t xml:space="preserve"> governing overseas funding pose a serious threat to the ability of religious organizations to carry out charitable, humanitarian, or human rights activities.  </w:t>
      </w:r>
      <w:r w:rsidR="00485EE9" w:rsidRPr="00C74359">
        <w:rPr>
          <w:rFonts w:ascii="Gill Sans MT" w:eastAsia="Times New Roman" w:hAnsi="Gill Sans MT" w:cs="Times New Roman"/>
          <w:sz w:val="24"/>
          <w:szCs w:val="24"/>
        </w:rPr>
        <w:t>The Rapporteur further emphasized the chilling effect on the exercise of the rights to freedom of peaceful assembly and association.</w:t>
      </w:r>
      <w:r w:rsidR="00485EE9" w:rsidRPr="00C74359">
        <w:rPr>
          <w:rFonts w:ascii="Gill Sans MT" w:hAnsi="Gill Sans MT"/>
          <w:vertAlign w:val="superscript"/>
        </w:rPr>
        <w:footnoteReference w:id="41"/>
      </w:r>
    </w:p>
    <w:p w14:paraId="2B35E231" w14:textId="7D8FF375" w:rsidR="00485EE9" w:rsidRPr="00C74359" w:rsidRDefault="00485EE9" w:rsidP="00485EE9">
      <w:pPr>
        <w:pStyle w:val="ListParagraph"/>
        <w:numPr>
          <w:ilvl w:val="0"/>
          <w:numId w:val="2"/>
        </w:numPr>
        <w:jc w:val="both"/>
        <w:rPr>
          <w:rFonts w:ascii="Gill Sans MT" w:hAnsi="Gill Sans MT"/>
          <w:sz w:val="24"/>
          <w:szCs w:val="24"/>
          <w:lang w:val="en-US"/>
        </w:rPr>
      </w:pPr>
      <w:r w:rsidRPr="00C74359">
        <w:rPr>
          <w:rFonts w:ascii="Gill Sans MT" w:eastAsia="Times New Roman" w:hAnsi="Gill Sans MT" w:cs="Times New Roman"/>
          <w:sz w:val="24"/>
          <w:szCs w:val="24"/>
        </w:rPr>
        <w:t>In the interim report A/79/182, the Special Rapporteur on freedom of religion or belief, in addressing the relationship between religion, peace, and States’ obligations regarding freedom of religion or belief, underlined that the emerging trend towards restrictive legal frameworks governing the establishment of civic associations and their receipt of overseas funding represents a deeply concerning threat to the right of religious or belief-based organizations to carry out charitable, humanitarian, or human rights activities.</w:t>
      </w:r>
      <w:r w:rsidRPr="00C74359">
        <w:rPr>
          <w:rFonts w:ascii="Gill Sans MT" w:hAnsi="Gill Sans MT"/>
          <w:vertAlign w:val="superscript"/>
        </w:rPr>
        <w:footnoteReference w:id="42"/>
      </w:r>
    </w:p>
    <w:p w14:paraId="5EEE7995" w14:textId="77777777" w:rsidR="00BB19F1" w:rsidRPr="00C74359" w:rsidRDefault="0084193C" w:rsidP="00BB19F1">
      <w:pPr>
        <w:pStyle w:val="ListParagraph"/>
        <w:numPr>
          <w:ilvl w:val="0"/>
          <w:numId w:val="2"/>
        </w:numPr>
        <w:jc w:val="both"/>
        <w:rPr>
          <w:rFonts w:ascii="Gill Sans MT" w:hAnsi="Gill Sans MT"/>
          <w:sz w:val="24"/>
          <w:szCs w:val="24"/>
          <w:lang w:val="en-US"/>
        </w:rPr>
      </w:pPr>
      <w:r w:rsidRPr="00C74359">
        <w:rPr>
          <w:rFonts w:ascii="Gill Sans MT" w:eastAsia="Times New Roman" w:hAnsi="Gill Sans MT" w:cs="Times New Roman"/>
          <w:sz w:val="24"/>
          <w:szCs w:val="24"/>
        </w:rPr>
        <w:t>The rights to freedom of peaceful assembly and association are vital for the exercise of religious freedoms. Faith-based and religious actors should ensure that they do not undermine those rights but, rather, join efforts to defend them.</w:t>
      </w:r>
      <w:r w:rsidRPr="00C74359">
        <w:rPr>
          <w:rFonts w:ascii="Gill Sans MT" w:hAnsi="Gill Sans MT"/>
          <w:vertAlign w:val="superscript"/>
        </w:rPr>
        <w:footnoteReference w:id="43"/>
      </w:r>
      <w:r w:rsidRPr="00C74359">
        <w:rPr>
          <w:rFonts w:ascii="Gill Sans MT" w:eastAsia="Times New Roman" w:hAnsi="Gill Sans MT" w:cs="Times New Roman"/>
          <w:sz w:val="24"/>
          <w:szCs w:val="24"/>
        </w:rPr>
        <w:t xml:space="preserve"> To engage in this right, representatives of religious organizations are naturally involved in the discourse surrounding socio-political developments. Legislation of this nature will undoubtedly impose a substantial and considerable chilling effect on their freedom of expression and on freedom of religion and belief. Moreover, affiliation with a designated "foreign agent" constitutes a substantial risk of religious organizations being subjected to politically motivated restrictions and repression.</w:t>
      </w:r>
    </w:p>
    <w:p w14:paraId="60B955F0" w14:textId="77777777" w:rsidR="00BB19F1" w:rsidRPr="00C74359" w:rsidRDefault="0084193C" w:rsidP="00BB19F1">
      <w:pPr>
        <w:pStyle w:val="ListParagraph"/>
        <w:numPr>
          <w:ilvl w:val="0"/>
          <w:numId w:val="2"/>
        </w:numPr>
        <w:jc w:val="both"/>
        <w:rPr>
          <w:rFonts w:ascii="Gill Sans MT" w:hAnsi="Gill Sans MT"/>
          <w:sz w:val="24"/>
          <w:szCs w:val="24"/>
          <w:lang w:val="en-US"/>
        </w:rPr>
      </w:pPr>
      <w:r w:rsidRPr="00C74359">
        <w:rPr>
          <w:rFonts w:ascii="Gill Sans MT" w:eastAsia="Times New Roman" w:hAnsi="Gill Sans MT" w:cs="Times New Roman"/>
          <w:color w:val="171717"/>
          <w:sz w:val="24"/>
          <w:szCs w:val="24"/>
        </w:rPr>
        <w:t>General prohibitions, enhanced scrutiny, and special registration obligations imposed by states upon organizations on the basis of foreign connections, including legislation of the “foreign agents” type, are incompatible with the obligations guaranteed by the Covenant. Regulations of this nature leave religious associations particularly vulnerable, as their historical or doctrinal affiliations are frequently perceived as security threats within specific national contexts.</w:t>
      </w:r>
    </w:p>
    <w:p w14:paraId="010288BD" w14:textId="77777777" w:rsidR="00BB19F1" w:rsidRPr="00C74359" w:rsidRDefault="0084193C" w:rsidP="00BB19F1">
      <w:pPr>
        <w:pStyle w:val="ListParagraph"/>
        <w:numPr>
          <w:ilvl w:val="0"/>
          <w:numId w:val="2"/>
        </w:numPr>
        <w:jc w:val="both"/>
        <w:rPr>
          <w:rFonts w:ascii="Gill Sans MT" w:hAnsi="Gill Sans MT"/>
          <w:sz w:val="24"/>
          <w:szCs w:val="24"/>
          <w:lang w:val="en-US"/>
        </w:rPr>
      </w:pPr>
      <w:r w:rsidRPr="00C74359">
        <w:rPr>
          <w:rFonts w:ascii="Gill Sans MT" w:eastAsia="Times New Roman" w:hAnsi="Gill Sans MT" w:cs="Times New Roman"/>
          <w:color w:val="171717"/>
          <w:sz w:val="24"/>
          <w:szCs w:val="24"/>
        </w:rPr>
        <w:lastRenderedPageBreak/>
        <w:t>“Foreign agents” laws establish a legal framework that imposes stigmatizing labels and extensive reporting obligations based exclusively on foreign funding, without any evaluation of organizational autonomy or the presence of any legal violation. The foreign origin of funding could not, by definition, provide adequate justification for the establishment of restrictions or differential treatment. The Special Rapporteur on the rights to freedom of peaceful assembly and of association has stated that the right of associations to freely access human, material, and financial resources, from domestic, foreign, and international sources, is inherent in the right to freedom of association and essential to the existence and effective functioning of any association.</w:t>
      </w:r>
      <w:r w:rsidRPr="00C74359">
        <w:rPr>
          <w:rFonts w:ascii="Gill Sans MT" w:hAnsi="Gill Sans MT"/>
          <w:vertAlign w:val="superscript"/>
        </w:rPr>
        <w:footnoteReference w:id="44"/>
      </w:r>
      <w:r w:rsidRPr="00C74359">
        <w:rPr>
          <w:rFonts w:ascii="Gill Sans MT" w:eastAsia="Times New Roman" w:hAnsi="Gill Sans MT" w:cs="Times New Roman"/>
          <w:color w:val="171717"/>
          <w:sz w:val="24"/>
          <w:szCs w:val="24"/>
        </w:rPr>
        <w:t xml:space="preserve">  While the right to receive funding is not unlimited, any restrictions imposed must be prescribed by law and must be necessary to protect public safety, order, health or morals, or the fundamental rights and freedoms of others. The enhancement of transparency or openness in the context of civil society funding does not, in itself, constitute a legitimate aim within the meaning of Article 22(2) of the ICCPR.</w:t>
      </w:r>
    </w:p>
    <w:p w14:paraId="576212C0" w14:textId="139C61D1" w:rsidR="00BB19F1" w:rsidRPr="00C74359" w:rsidRDefault="00485EE9" w:rsidP="00BB19F1">
      <w:pPr>
        <w:pStyle w:val="ListParagraph"/>
        <w:numPr>
          <w:ilvl w:val="0"/>
          <w:numId w:val="2"/>
        </w:numPr>
        <w:jc w:val="both"/>
        <w:rPr>
          <w:rFonts w:ascii="Gill Sans MT" w:hAnsi="Gill Sans MT"/>
          <w:sz w:val="24"/>
          <w:szCs w:val="24"/>
          <w:lang w:val="en-US"/>
        </w:rPr>
      </w:pPr>
      <w:r w:rsidRPr="00C74359">
        <w:rPr>
          <w:rFonts w:ascii="Gill Sans MT" w:eastAsia="Times New Roman" w:hAnsi="Gill Sans MT" w:cs="Times New Roman"/>
          <w:color w:val="171717"/>
          <w:sz w:val="24"/>
          <w:szCs w:val="24"/>
          <w:lang w:val="en-US"/>
        </w:rPr>
        <w:t>T</w:t>
      </w:r>
      <w:r w:rsidR="0084193C" w:rsidRPr="00C74359">
        <w:rPr>
          <w:rFonts w:ascii="Gill Sans MT" w:eastAsia="Times New Roman" w:hAnsi="Gill Sans MT" w:cs="Times New Roman"/>
          <w:color w:val="171717"/>
          <w:sz w:val="24"/>
          <w:szCs w:val="24"/>
        </w:rPr>
        <w:t>he ECtHR has acknowledged that transparency concerns may relate to the prevention of disorder, particularly in contexts involving substantial foreign funding and risks linked to elections, political activities, or financial crimes such as money laundering and terrorism financing. Concurrently, it has repeatedly declared that the capacity of associations to solicit, receive, and utilize funding, including foreign funding, is an integral component of the right to freedom of association. This capacity is vital for enabling organizations to effectively realize and defend their objectives.</w:t>
      </w:r>
      <w:r w:rsidR="0084193C" w:rsidRPr="00C74359">
        <w:rPr>
          <w:rFonts w:ascii="Gill Sans MT" w:hAnsi="Gill Sans MT"/>
          <w:vertAlign w:val="superscript"/>
        </w:rPr>
        <w:footnoteReference w:id="45"/>
      </w:r>
    </w:p>
    <w:p w14:paraId="3AA08324" w14:textId="77777777" w:rsidR="00BB19F1" w:rsidRPr="00C74359" w:rsidRDefault="0084193C" w:rsidP="00BB19F1">
      <w:pPr>
        <w:pStyle w:val="ListParagraph"/>
        <w:numPr>
          <w:ilvl w:val="0"/>
          <w:numId w:val="2"/>
        </w:numPr>
        <w:jc w:val="both"/>
        <w:rPr>
          <w:rFonts w:ascii="Gill Sans MT" w:hAnsi="Gill Sans MT"/>
          <w:sz w:val="24"/>
          <w:szCs w:val="24"/>
          <w:lang w:val="en-US"/>
        </w:rPr>
      </w:pPr>
      <w:r w:rsidRPr="00C74359">
        <w:rPr>
          <w:rFonts w:ascii="Gill Sans MT" w:eastAsia="Times New Roman" w:hAnsi="Gill Sans MT" w:cs="Times New Roman"/>
          <w:color w:val="171717"/>
          <w:sz w:val="24"/>
          <w:szCs w:val="24"/>
        </w:rPr>
        <w:t>In its concluding observations on Hungary (CCPR/C/HUN/CO/6), the Human Rights Committee expressed concern over restrictive measures affecting NGOs receiving foreign funding, including under Act LXXVI of 2017 on the Transparency of Organizations Supported from Abroad, which required certain NGOs to register as “foreign-supported organizations” and publicly disclose their foreign donors.</w:t>
      </w:r>
      <w:r w:rsidRPr="00C74359">
        <w:rPr>
          <w:rFonts w:ascii="Gill Sans MT" w:hAnsi="Gill Sans MT"/>
          <w:vertAlign w:val="superscript"/>
        </w:rPr>
        <w:footnoteReference w:id="46"/>
      </w:r>
      <w:r w:rsidRPr="00C74359">
        <w:rPr>
          <w:rFonts w:ascii="Gill Sans MT" w:eastAsia="Times New Roman" w:hAnsi="Gill Sans MT" w:cs="Times New Roman"/>
          <w:color w:val="171717"/>
          <w:sz w:val="24"/>
          <w:szCs w:val="24"/>
        </w:rPr>
        <w:t xml:space="preserve"> In its concluding observations on Azerbaijan (CCPR/C/AZE/CO/4), the Human Rights Committee also expressed concerns regarding restrictive regulations on grants and fundings received by public associations and NGOs. These regulations included a prohibition on foreign funding and the imposition of substantial penalties for violations of relevant legislation.</w:t>
      </w:r>
      <w:r w:rsidRPr="00C74359">
        <w:rPr>
          <w:rFonts w:ascii="Gill Sans MT" w:hAnsi="Gill Sans MT"/>
          <w:vertAlign w:val="superscript"/>
        </w:rPr>
        <w:footnoteReference w:id="47"/>
      </w:r>
    </w:p>
    <w:p w14:paraId="101176D0" w14:textId="21294AB6" w:rsidR="0084193C" w:rsidRPr="00C74359" w:rsidRDefault="0084193C" w:rsidP="00BB19F1">
      <w:pPr>
        <w:pStyle w:val="ListParagraph"/>
        <w:numPr>
          <w:ilvl w:val="0"/>
          <w:numId w:val="2"/>
        </w:numPr>
        <w:jc w:val="both"/>
        <w:rPr>
          <w:rFonts w:ascii="Gill Sans MT" w:hAnsi="Gill Sans MT"/>
          <w:sz w:val="24"/>
          <w:szCs w:val="24"/>
          <w:lang w:val="en-US"/>
        </w:rPr>
      </w:pPr>
      <w:r w:rsidRPr="00C74359">
        <w:rPr>
          <w:rFonts w:ascii="Gill Sans MT" w:eastAsia="Times New Roman" w:hAnsi="Gill Sans MT" w:cs="Times New Roman"/>
          <w:color w:val="171717"/>
          <w:sz w:val="24"/>
          <w:szCs w:val="24"/>
        </w:rPr>
        <w:t>The right to freedom of thought, conscience, religion, or belief, as reflected in Article 6 of the Declaration on the Elimination of All Forms of Intolerance and of Discrimination Based on Religion or Belief (1981), encompasses the freedom to solicit and receive voluntary financial and other contributions. As the Special Rapporteur on freedom of religion or belief has stated, this right is an essential component of religious freedom, including the maintenance of places of worship.</w:t>
      </w:r>
      <w:r w:rsidRPr="00C74359">
        <w:rPr>
          <w:rFonts w:ascii="Gill Sans MT" w:hAnsi="Gill Sans MT"/>
          <w:vertAlign w:val="superscript"/>
        </w:rPr>
        <w:footnoteReference w:id="48"/>
      </w:r>
      <w:r w:rsidRPr="00C74359">
        <w:rPr>
          <w:rFonts w:ascii="Gill Sans MT" w:eastAsia="Times New Roman" w:hAnsi="Gill Sans MT" w:cs="Times New Roman"/>
          <w:color w:val="171717"/>
          <w:sz w:val="24"/>
          <w:szCs w:val="24"/>
        </w:rPr>
        <w:t xml:space="preserve"> Accordingly, the imposition </w:t>
      </w:r>
      <w:r w:rsidRPr="00C74359">
        <w:rPr>
          <w:rFonts w:ascii="Gill Sans MT" w:eastAsia="Times New Roman" w:hAnsi="Gill Sans MT" w:cs="Times New Roman"/>
          <w:color w:val="171717"/>
          <w:sz w:val="24"/>
          <w:szCs w:val="24"/>
        </w:rPr>
        <w:lastRenderedPageBreak/>
        <w:t>of restrictive or stigmatizing labels such as “foreign agent” or “foreign influence” on religious organizations solely on the basis of foreign funding is particularly problematic, especially where such funding is essential for their continued functioning. Any such interference must therefore be assessed under Article 22(2) of the Covenant and, where applicable, the limitation clause in Article 18(3). This interpretation is consistent with the Human Rights Committee's concluding observations on Belarus (CCPR/C/BLR/CO/5), in which the Committee emphasized that States “should refrain from any action that may restrict that freedom beyond the narrowly construed restrictions permitted under article 18 of the Covenant”.</w:t>
      </w:r>
      <w:r w:rsidRPr="00C74359">
        <w:rPr>
          <w:rFonts w:ascii="Gill Sans MT" w:hAnsi="Gill Sans MT"/>
          <w:vertAlign w:val="superscript"/>
        </w:rPr>
        <w:footnoteReference w:id="49"/>
      </w:r>
    </w:p>
    <w:p w14:paraId="4823DFF0" w14:textId="77777777" w:rsidR="00984FB8" w:rsidRPr="00C74359" w:rsidRDefault="00984FB8" w:rsidP="00984FB8">
      <w:pPr>
        <w:pStyle w:val="ListParagraph"/>
        <w:jc w:val="both"/>
        <w:rPr>
          <w:rFonts w:ascii="Gill Sans MT" w:hAnsi="Gill Sans MT"/>
          <w:sz w:val="24"/>
          <w:szCs w:val="24"/>
          <w:lang w:val="en-US"/>
        </w:rPr>
      </w:pPr>
    </w:p>
    <w:p w14:paraId="1E96531D" w14:textId="2352E064" w:rsidR="00794281" w:rsidRPr="00C74359" w:rsidRDefault="0084193C" w:rsidP="00984FB8">
      <w:pPr>
        <w:pStyle w:val="Heading2"/>
        <w:ind w:left="360"/>
        <w:jc w:val="both"/>
        <w:rPr>
          <w:rFonts w:ascii="Gill Sans MT" w:eastAsia="Times New Roman" w:hAnsi="Gill Sans MT"/>
          <w:lang w:val="en-US"/>
        </w:rPr>
      </w:pPr>
      <w:bookmarkStart w:id="4" w:name="_Toc233730436"/>
      <w:r w:rsidRPr="00C74359">
        <w:rPr>
          <w:rFonts w:ascii="Gill Sans MT" w:eastAsia="Times New Roman" w:hAnsi="Gill Sans MT"/>
          <w:lang w:val="en-US"/>
        </w:rPr>
        <w:t>Political Parties</w:t>
      </w:r>
      <w:bookmarkEnd w:id="4"/>
      <w:r w:rsidRPr="00C74359">
        <w:rPr>
          <w:rFonts w:ascii="Gill Sans MT" w:eastAsia="Times New Roman" w:hAnsi="Gill Sans MT"/>
          <w:lang w:val="en-US"/>
        </w:rPr>
        <w:t xml:space="preserve"> </w:t>
      </w:r>
    </w:p>
    <w:p w14:paraId="3D772CE0" w14:textId="77777777" w:rsidR="00984FB8" w:rsidRPr="00C74359" w:rsidRDefault="00984FB8" w:rsidP="00984FB8">
      <w:pPr>
        <w:rPr>
          <w:rFonts w:ascii="Gill Sans MT" w:hAnsi="Gill Sans MT"/>
          <w:lang w:val="en-US"/>
        </w:rPr>
      </w:pPr>
    </w:p>
    <w:p w14:paraId="6FCBB7E7" w14:textId="199A3EF1" w:rsidR="00485EE9" w:rsidRPr="00C74359" w:rsidRDefault="0084193C" w:rsidP="00485EE9">
      <w:pPr>
        <w:numPr>
          <w:ilvl w:val="0"/>
          <w:numId w:val="2"/>
        </w:numPr>
        <w:spacing w:after="200"/>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 xml:space="preserve">Political parties are considered to be the subjects falling under the umbrella of freedom of association. The Special Rapporteur on the rights to freedom of peaceful assembly and of association has defined a political party as an association </w:t>
      </w:r>
      <w:r w:rsidR="0097424A">
        <w:rPr>
          <w:rFonts w:asciiTheme="minorHAnsi" w:eastAsia="Times New Roman" w:hAnsiTheme="minorHAnsi" w:cs="Times New Roman"/>
          <w:sz w:val="24"/>
          <w:szCs w:val="24"/>
          <w:lang w:val="ka-GE"/>
        </w:rPr>
        <w:t xml:space="preserve">- </w:t>
      </w:r>
      <w:r w:rsidRPr="00C74359">
        <w:rPr>
          <w:rFonts w:ascii="Gill Sans MT" w:eastAsia="Times New Roman" w:hAnsi="Gill Sans MT" w:cs="Times New Roman"/>
          <w:sz w:val="24"/>
          <w:szCs w:val="24"/>
        </w:rPr>
        <w:t>the word “association” involves civil society organizations, clubs, cooperatives, NGOs, religious associations, political parties, trade unions, foundations or even online associations.</w:t>
      </w:r>
      <w:r w:rsidRPr="00C74359">
        <w:rPr>
          <w:rFonts w:ascii="Gill Sans MT" w:eastAsia="Times New Roman" w:hAnsi="Gill Sans MT" w:cs="Times New Roman"/>
          <w:sz w:val="24"/>
          <w:szCs w:val="24"/>
          <w:vertAlign w:val="superscript"/>
        </w:rPr>
        <w:footnoteReference w:id="50"/>
      </w:r>
      <w:r w:rsidRPr="00C74359">
        <w:rPr>
          <w:rFonts w:ascii="Gill Sans MT" w:eastAsia="Times New Roman" w:hAnsi="Gill Sans MT" w:cs="Times New Roman"/>
          <w:sz w:val="24"/>
          <w:szCs w:val="24"/>
        </w:rPr>
        <w:t xml:space="preserve"> The European Court of Human Rights (ECtHR) has stated that political parties come within the scope of Article 11 of the European Convention on Human Rights, according to both</w:t>
      </w:r>
      <w:r w:rsidR="0097424A">
        <w:rPr>
          <w:rFonts w:asciiTheme="minorHAnsi" w:eastAsia="Times New Roman" w:hAnsiTheme="minorHAnsi" w:cs="Times New Roman"/>
          <w:sz w:val="24"/>
          <w:szCs w:val="24"/>
          <w:lang w:val="ka-GE"/>
        </w:rPr>
        <w:t xml:space="preserve">, </w:t>
      </w:r>
      <w:r w:rsidRPr="00C74359">
        <w:rPr>
          <w:rFonts w:ascii="Gill Sans MT" w:eastAsia="Times New Roman" w:hAnsi="Gill Sans MT" w:cs="Times New Roman"/>
          <w:sz w:val="24"/>
          <w:szCs w:val="24"/>
        </w:rPr>
        <w:t xml:space="preserve">the wording of the aforementioned Article and the fact that political parties are a form of association essential to the proper functioning of democracy. </w:t>
      </w:r>
      <w:r w:rsidRPr="00C74359">
        <w:rPr>
          <w:rFonts w:ascii="Gill Sans MT" w:eastAsia="Times New Roman" w:hAnsi="Gill Sans MT" w:cs="Times New Roman"/>
          <w:sz w:val="24"/>
          <w:szCs w:val="24"/>
          <w:vertAlign w:val="superscript"/>
        </w:rPr>
        <w:footnoteReference w:id="51"/>
      </w:r>
    </w:p>
    <w:p w14:paraId="0AC0853A" w14:textId="7F6C23E2" w:rsidR="0084193C" w:rsidRPr="00C74359" w:rsidRDefault="0084193C" w:rsidP="00485EE9">
      <w:pPr>
        <w:numPr>
          <w:ilvl w:val="0"/>
          <w:numId w:val="2"/>
        </w:numPr>
        <w:spacing w:after="200"/>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Political parties and membership in parties play a significant role in the conduct of public affairs and the election process.</w:t>
      </w:r>
      <w:r w:rsidRPr="00C74359">
        <w:rPr>
          <w:rFonts w:ascii="Gill Sans MT" w:hAnsi="Gill Sans MT"/>
          <w:vertAlign w:val="superscript"/>
        </w:rPr>
        <w:footnoteReference w:id="52"/>
      </w:r>
      <w:r w:rsidRPr="00C74359">
        <w:rPr>
          <w:rFonts w:ascii="Gill Sans MT" w:eastAsia="Times New Roman" w:hAnsi="Gill Sans MT" w:cs="Times New Roman"/>
          <w:sz w:val="24"/>
          <w:szCs w:val="24"/>
        </w:rPr>
        <w:t xml:space="preserve"> The concept of political parties can be defined as a tool for citizens to engage in public affairs through elected representatives, thereby ensuring pluralism. The functioning of political parties must be free from undue interference.</w:t>
      </w:r>
      <w:r w:rsidRPr="00C74359">
        <w:rPr>
          <w:rFonts w:ascii="Gill Sans MT" w:hAnsi="Gill Sans MT"/>
          <w:vertAlign w:val="superscript"/>
        </w:rPr>
        <w:footnoteReference w:id="53"/>
      </w:r>
      <w:r w:rsidRPr="00C74359">
        <w:rPr>
          <w:rFonts w:ascii="Gill Sans MT" w:eastAsia="Times New Roman" w:hAnsi="Gill Sans MT" w:cs="Times New Roman"/>
          <w:sz w:val="24"/>
          <w:szCs w:val="24"/>
        </w:rPr>
        <w:t xml:space="preserve"> “</w:t>
      </w:r>
      <w:r w:rsidRPr="00C74359">
        <w:rPr>
          <w:rFonts w:ascii="Gill Sans MT" w:eastAsia="Times New Roman" w:hAnsi="Gill Sans MT" w:cs="Times New Roman"/>
          <w:i/>
          <w:iCs/>
          <w:sz w:val="24"/>
          <w:szCs w:val="24"/>
        </w:rPr>
        <w:t>In view of the role played by political parties, any measure taken against them affects both freedom of association and, consequently, democracy in the State concerned</w:t>
      </w:r>
      <w:r w:rsidRPr="00C74359">
        <w:rPr>
          <w:rFonts w:ascii="Gill Sans MT" w:eastAsia="Times New Roman" w:hAnsi="Gill Sans MT" w:cs="Times New Roman"/>
          <w:sz w:val="24"/>
          <w:szCs w:val="24"/>
        </w:rPr>
        <w:t>.”</w:t>
      </w:r>
      <w:r w:rsidRPr="00C74359">
        <w:rPr>
          <w:rFonts w:ascii="Gill Sans MT" w:hAnsi="Gill Sans MT"/>
          <w:vertAlign w:val="superscript"/>
        </w:rPr>
        <w:footnoteReference w:id="54"/>
      </w:r>
    </w:p>
    <w:p w14:paraId="7EFBEB8B" w14:textId="77777777" w:rsidR="00485EE9" w:rsidRPr="00C74359" w:rsidRDefault="0084193C" w:rsidP="00485EE9">
      <w:pPr>
        <w:numPr>
          <w:ilvl w:val="0"/>
          <w:numId w:val="2"/>
        </w:numPr>
        <w:spacing w:after="200"/>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Any limitation imposed on the right of individuals to freedom of association and on the fundamental rights of associations such as political parties should have its formal basis in national legislation — the state's constitution or parliamentary acts — and shall be in compliance with international standards. “</w:t>
      </w:r>
      <w:r w:rsidRPr="00C74359">
        <w:rPr>
          <w:rFonts w:ascii="Gill Sans MT" w:eastAsia="Times New Roman" w:hAnsi="Gill Sans MT" w:cs="Times New Roman"/>
          <w:i/>
          <w:iCs/>
          <w:sz w:val="24"/>
          <w:szCs w:val="24"/>
        </w:rPr>
        <w:t xml:space="preserve">Frequent changes in political party </w:t>
      </w:r>
      <w:r w:rsidRPr="00C74359">
        <w:rPr>
          <w:rFonts w:ascii="Gill Sans MT" w:eastAsia="Times New Roman" w:hAnsi="Gill Sans MT" w:cs="Times New Roman"/>
          <w:i/>
          <w:iCs/>
          <w:sz w:val="24"/>
          <w:szCs w:val="24"/>
        </w:rPr>
        <w:lastRenderedPageBreak/>
        <w:t>legislation may be seen as the result of political whim instead of as satisfying a compelling public interest</w:t>
      </w:r>
      <w:r w:rsidRPr="00C74359">
        <w:rPr>
          <w:rFonts w:ascii="Gill Sans MT" w:eastAsia="Times New Roman" w:hAnsi="Gill Sans MT" w:cs="Times New Roman"/>
          <w:sz w:val="24"/>
          <w:szCs w:val="24"/>
        </w:rPr>
        <w:t>.”</w:t>
      </w:r>
      <w:r w:rsidRPr="00C74359">
        <w:rPr>
          <w:rFonts w:ascii="Gill Sans MT" w:eastAsia="Times New Roman" w:hAnsi="Gill Sans MT" w:cs="Times New Roman"/>
          <w:sz w:val="24"/>
          <w:szCs w:val="24"/>
          <w:vertAlign w:val="superscript"/>
        </w:rPr>
        <w:footnoteReference w:id="55"/>
      </w:r>
    </w:p>
    <w:p w14:paraId="6F7CCC0E" w14:textId="77777777" w:rsidR="00F27F2D" w:rsidRPr="00C74359" w:rsidRDefault="0084193C" w:rsidP="00F27F2D">
      <w:pPr>
        <w:numPr>
          <w:ilvl w:val="0"/>
          <w:numId w:val="2"/>
        </w:numPr>
        <w:spacing w:after="200"/>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In order to prevent the arbitrary dissolution or denial of registration of a political party, it is essential that legislative regulation does not leave space for broad interpretation of the criteria upon which a party's activities may be discontinued. “</w:t>
      </w:r>
      <w:r w:rsidRPr="00C74359">
        <w:rPr>
          <w:rFonts w:ascii="Gill Sans MT" w:eastAsia="Times New Roman" w:hAnsi="Gill Sans MT" w:cs="Times New Roman"/>
          <w:i/>
          <w:iCs/>
          <w:sz w:val="24"/>
          <w:szCs w:val="24"/>
        </w:rPr>
        <w:t>The law must be clear and precise, indicating to political parties both which activities are considered unlawful and which sanctions are available in cases of violations</w:t>
      </w:r>
      <w:r w:rsidRPr="00C74359">
        <w:rPr>
          <w:rFonts w:ascii="Gill Sans MT" w:eastAsia="Times New Roman" w:hAnsi="Gill Sans MT" w:cs="Times New Roman"/>
          <w:sz w:val="24"/>
          <w:szCs w:val="24"/>
        </w:rPr>
        <w:t>.”</w:t>
      </w:r>
      <w:r w:rsidRPr="00C74359">
        <w:rPr>
          <w:rFonts w:ascii="Gill Sans MT" w:hAnsi="Gill Sans MT"/>
          <w:vertAlign w:val="superscript"/>
        </w:rPr>
        <w:footnoteReference w:id="56"/>
      </w:r>
      <w:r w:rsidRPr="00C74359">
        <w:rPr>
          <w:rFonts w:ascii="Gill Sans MT" w:eastAsia="Times New Roman" w:hAnsi="Gill Sans MT" w:cs="Times New Roman"/>
          <w:sz w:val="24"/>
          <w:szCs w:val="24"/>
        </w:rPr>
        <w:t xml:space="preserve"> </w:t>
      </w:r>
    </w:p>
    <w:p w14:paraId="77F6E94E" w14:textId="77777777" w:rsidR="00F27F2D" w:rsidRPr="00C74359" w:rsidRDefault="0084193C" w:rsidP="00F27F2D">
      <w:pPr>
        <w:numPr>
          <w:ilvl w:val="0"/>
          <w:numId w:val="2"/>
        </w:numPr>
        <w:spacing w:after="200"/>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Beyond the principle of foreseeability, any restriction on the freedom of association of a political party and on its activities must be grounded in an exhaustive list of legitimate aims consistent with international standards (e.g., national security, public safety, protection of the rights and freedoms of others), be necessary in a democratic society, proportionate in both scope and duration, least intrusive in its means, and effective in achieving its intended purpose.</w:t>
      </w:r>
      <w:r w:rsidRPr="00C74359">
        <w:rPr>
          <w:rFonts w:ascii="Gill Sans MT" w:hAnsi="Gill Sans MT"/>
          <w:vertAlign w:val="superscript"/>
        </w:rPr>
        <w:footnoteReference w:id="57"/>
      </w:r>
    </w:p>
    <w:p w14:paraId="0841E92A" w14:textId="1522ED51" w:rsidR="0084193C" w:rsidRPr="00C74359" w:rsidRDefault="0084193C" w:rsidP="00F27F2D">
      <w:pPr>
        <w:numPr>
          <w:ilvl w:val="0"/>
          <w:numId w:val="2"/>
        </w:numPr>
        <w:spacing w:after="200"/>
        <w:jc w:val="both"/>
        <w:rPr>
          <w:rFonts w:ascii="Gill Sans MT" w:eastAsia="Times New Roman" w:hAnsi="Gill Sans MT" w:cs="Times New Roman"/>
          <w:sz w:val="24"/>
          <w:szCs w:val="24"/>
        </w:rPr>
      </w:pPr>
      <w:r w:rsidRPr="00C74359">
        <w:rPr>
          <w:rFonts w:ascii="Gill Sans MT" w:eastAsia="Times New Roman" w:hAnsi="Gill Sans MT" w:cs="Times New Roman"/>
          <w:sz w:val="24"/>
          <w:szCs w:val="24"/>
        </w:rPr>
        <w:t>Considering the fundamental role of the political parties in the democratic process, prohibitive measures shall be narrowly applied and shall never completely extinguish the right or encroach on its essence. “Prohibiting the establishment of a political party or dissolving a political party are sanctions of last resort and shall only be imposed in exceptional cases under strict conditions.”</w:t>
      </w:r>
      <w:r w:rsidRPr="00C74359">
        <w:rPr>
          <w:rFonts w:ascii="Gill Sans MT" w:hAnsi="Gill Sans MT"/>
          <w:vertAlign w:val="superscript"/>
        </w:rPr>
        <w:footnoteReference w:id="58"/>
      </w:r>
      <w:r w:rsidRPr="00C74359">
        <w:rPr>
          <w:rFonts w:ascii="Gill Sans MT" w:eastAsia="Times New Roman" w:hAnsi="Gill Sans MT" w:cs="Times New Roman"/>
          <w:sz w:val="24"/>
          <w:szCs w:val="24"/>
        </w:rPr>
        <w:t xml:space="preserve"> “</w:t>
      </w:r>
      <w:r w:rsidRPr="00C74359">
        <w:rPr>
          <w:rFonts w:ascii="Gill Sans MT" w:eastAsia="Times New Roman" w:hAnsi="Gill Sans MT" w:cs="Times New Roman"/>
          <w:i/>
          <w:iCs/>
          <w:sz w:val="24"/>
          <w:szCs w:val="24"/>
        </w:rPr>
        <w:t>Drastic measures, such as the dissolution of an entire political party and a disability barring its leaders from carrying on any similar activity for a specified period, may be taken only in the most serious cases</w:t>
      </w:r>
      <w:r w:rsidRPr="00C74359">
        <w:rPr>
          <w:rFonts w:ascii="Gill Sans MT" w:eastAsia="Times New Roman" w:hAnsi="Gill Sans MT" w:cs="Times New Roman"/>
          <w:sz w:val="24"/>
          <w:szCs w:val="24"/>
        </w:rPr>
        <w:t>.”</w:t>
      </w:r>
      <w:r w:rsidRPr="00C74359">
        <w:rPr>
          <w:rFonts w:ascii="Gill Sans MT" w:hAnsi="Gill Sans MT"/>
          <w:vertAlign w:val="superscript"/>
        </w:rPr>
        <w:footnoteReference w:id="59"/>
      </w:r>
    </w:p>
    <w:p w14:paraId="43EDC49D" w14:textId="77777777" w:rsidR="00F27F2D" w:rsidRPr="00C74359" w:rsidRDefault="0084193C" w:rsidP="00F27F2D">
      <w:pPr>
        <w:numPr>
          <w:ilvl w:val="0"/>
          <w:numId w:val="2"/>
        </w:numPr>
        <w:spacing w:after="200"/>
        <w:jc w:val="both"/>
        <w:rPr>
          <w:rFonts w:ascii="Gill Sans MT" w:eastAsia="Merriweather" w:hAnsi="Gill Sans MT" w:cs="Merriweather"/>
          <w:sz w:val="24"/>
          <w:szCs w:val="24"/>
        </w:rPr>
      </w:pPr>
      <w:r w:rsidRPr="00C74359">
        <w:rPr>
          <w:rFonts w:ascii="Gill Sans MT" w:eastAsia="Times New Roman" w:hAnsi="Gill Sans MT" w:cs="Times New Roman"/>
          <w:sz w:val="24"/>
          <w:szCs w:val="24"/>
        </w:rPr>
        <w:t>The programme of a political party and the party's actual objectives may differ from one another. While a party's official programme may be in conformity with international standards, this alone should not serve as the sole basis for assessing the party's aims and intentions. It is essential that the party's programme be examined in conjunction with its activities and the positions it actually upholds. Where a political party is dissolved immediately upon its establishment, it is afforded no opportunity to demonstrate whether its activities conform to the objectives declared in its programme, or conversely, whether it pursues activities inconsistent with that programme. It should be noted that in such cases, the party is penalized solely on the basis of its exercise of the right to freedom of expression.</w:t>
      </w:r>
      <w:r w:rsidRPr="00C74359">
        <w:rPr>
          <w:rFonts w:ascii="Gill Sans MT" w:eastAsia="Times New Roman" w:hAnsi="Gill Sans MT" w:cs="Times New Roman"/>
          <w:sz w:val="24"/>
          <w:szCs w:val="24"/>
          <w:vertAlign w:val="superscript"/>
        </w:rPr>
        <w:footnoteReference w:id="60"/>
      </w:r>
    </w:p>
    <w:p w14:paraId="3EEE9ACE" w14:textId="77777777" w:rsidR="00F27F2D" w:rsidRPr="00C74359" w:rsidRDefault="0084193C" w:rsidP="00F27F2D">
      <w:pPr>
        <w:numPr>
          <w:ilvl w:val="0"/>
          <w:numId w:val="2"/>
        </w:numPr>
        <w:spacing w:after="200"/>
        <w:jc w:val="both"/>
        <w:rPr>
          <w:rFonts w:ascii="Gill Sans MT" w:eastAsia="Merriweather" w:hAnsi="Gill Sans MT" w:cs="Merriweather"/>
          <w:sz w:val="24"/>
          <w:szCs w:val="24"/>
        </w:rPr>
      </w:pPr>
      <w:r w:rsidRPr="00C74359">
        <w:rPr>
          <w:rFonts w:ascii="Gill Sans MT" w:eastAsia="Times New Roman" w:hAnsi="Gill Sans MT" w:cs="Times New Roman"/>
          <w:sz w:val="24"/>
          <w:szCs w:val="24"/>
        </w:rPr>
        <w:lastRenderedPageBreak/>
        <w:t>According to the amendments adopted by the Parliament of Georgia in May 2025, the Constitutional Court of Georgia may within 14 days, ban a party substantially identical to an already banned party.</w:t>
      </w:r>
      <w:r w:rsidRPr="00C74359">
        <w:rPr>
          <w:rFonts w:ascii="Gill Sans MT" w:hAnsi="Gill Sans MT"/>
          <w:vertAlign w:val="superscript"/>
        </w:rPr>
        <w:footnoteReference w:id="61"/>
      </w:r>
      <w:r w:rsidRPr="00C74359">
        <w:rPr>
          <w:rFonts w:ascii="Gill Sans MT" w:eastAsia="Times New Roman" w:hAnsi="Gill Sans MT" w:cs="Times New Roman"/>
          <w:sz w:val="24"/>
          <w:szCs w:val="24"/>
        </w:rPr>
        <w:t xml:space="preserve"> This amendment gives rise to serious concerns regarding legal certainty and the scope of judicial discretion. The provision does not define the criteria for determining when the 'essence' of a political party's activities may be considered to coincide with that of a party previously banned on that basis. </w:t>
      </w:r>
    </w:p>
    <w:p w14:paraId="45994BC6" w14:textId="77777777" w:rsidR="00F27F2D" w:rsidRPr="00C74359" w:rsidRDefault="0084193C" w:rsidP="00F27F2D">
      <w:pPr>
        <w:numPr>
          <w:ilvl w:val="0"/>
          <w:numId w:val="2"/>
        </w:numPr>
        <w:spacing w:after="200"/>
        <w:jc w:val="both"/>
        <w:rPr>
          <w:rFonts w:ascii="Gill Sans MT" w:eastAsia="Merriweather" w:hAnsi="Gill Sans MT" w:cs="Merriweather"/>
          <w:sz w:val="24"/>
          <w:szCs w:val="24"/>
        </w:rPr>
      </w:pPr>
      <w:r w:rsidRPr="00C74359">
        <w:rPr>
          <w:rFonts w:ascii="Gill Sans MT" w:eastAsia="Times New Roman" w:hAnsi="Gill Sans MT" w:cs="Times New Roman"/>
          <w:sz w:val="24"/>
          <w:szCs w:val="24"/>
        </w:rPr>
        <w:t>In the absence of clear and objective criteria, similar legal provisions may be used to prohibit the activities of opposition parties or other political actors perceived as potential opponents by the ruling authorities, thereby excluding them from political life. Provisions of this nature pose a significant threat to political pluralism and may constitute a disproportionate and unjustified interference with the right to freedom of association.</w:t>
      </w:r>
    </w:p>
    <w:p w14:paraId="716E89B2" w14:textId="77777777" w:rsidR="00F27F2D" w:rsidRPr="00C74359" w:rsidRDefault="0084193C" w:rsidP="00F27F2D">
      <w:pPr>
        <w:numPr>
          <w:ilvl w:val="0"/>
          <w:numId w:val="2"/>
        </w:numPr>
        <w:spacing w:after="200"/>
        <w:jc w:val="both"/>
        <w:rPr>
          <w:rFonts w:ascii="Gill Sans MT" w:eastAsia="Merriweather" w:hAnsi="Gill Sans MT" w:cs="Merriweather"/>
          <w:sz w:val="24"/>
          <w:szCs w:val="24"/>
        </w:rPr>
      </w:pPr>
      <w:r w:rsidRPr="00C74359">
        <w:rPr>
          <w:rFonts w:ascii="Gill Sans MT" w:eastAsia="Times New Roman" w:hAnsi="Gill Sans MT" w:cs="Times New Roman"/>
          <w:sz w:val="24"/>
          <w:szCs w:val="24"/>
        </w:rPr>
        <w:t>Such legal frameworks deprive political parties of presenting their political programmes and engaging in activities, consequently hindering the ability to compare their actual conduct with their proclaimed objectives and intentions. Instead, it empowers authorities to ban a political party without conducting a thorough examination of its programme or conduct, solely on the basis of its alleged resemblance to a previously banned party.</w:t>
      </w:r>
    </w:p>
    <w:p w14:paraId="5A4F5B1F" w14:textId="00DE7657" w:rsidR="0084193C" w:rsidRPr="00C74359" w:rsidRDefault="0084193C" w:rsidP="00F27F2D">
      <w:pPr>
        <w:numPr>
          <w:ilvl w:val="0"/>
          <w:numId w:val="2"/>
        </w:numPr>
        <w:spacing w:after="200"/>
        <w:jc w:val="both"/>
        <w:rPr>
          <w:rFonts w:ascii="Gill Sans MT" w:eastAsia="Merriweather" w:hAnsi="Gill Sans MT" w:cs="Merriweather"/>
          <w:sz w:val="24"/>
          <w:szCs w:val="24"/>
        </w:rPr>
      </w:pPr>
      <w:r w:rsidRPr="00C74359">
        <w:rPr>
          <w:rFonts w:ascii="Gill Sans MT" w:eastAsia="Times New Roman" w:hAnsi="Gill Sans MT" w:cs="Times New Roman"/>
          <w:sz w:val="24"/>
          <w:szCs w:val="24"/>
        </w:rPr>
        <w:t>The General Comment on freedom of association should clarify that the legal justifications for prohibiting or dissolving a political party must comply with the principle of proportionality, legal certainty and therefore be clearly defined, precise, and foreseeable. Any such drastic measures must be based exclusively on legitimate aims compatible with democratic principles, in order to prevent arbitrary interference with the freedom of association of political parties and the unjustified deprivation of that right.</w:t>
      </w:r>
    </w:p>
    <w:p w14:paraId="055A5058" w14:textId="77777777" w:rsidR="00F27F2D" w:rsidRPr="00C74359" w:rsidRDefault="0084193C" w:rsidP="00F27F2D">
      <w:pPr>
        <w:numPr>
          <w:ilvl w:val="0"/>
          <w:numId w:val="2"/>
        </w:numPr>
        <w:spacing w:after="200"/>
        <w:jc w:val="both"/>
        <w:rPr>
          <w:rFonts w:ascii="Gill Sans MT" w:eastAsia="Merriweather" w:hAnsi="Gill Sans MT" w:cs="Merriweather"/>
          <w:sz w:val="24"/>
          <w:szCs w:val="24"/>
        </w:rPr>
      </w:pPr>
      <w:r w:rsidRPr="00C74359">
        <w:rPr>
          <w:rFonts w:ascii="Gill Sans MT" w:eastAsia="Times New Roman" w:hAnsi="Gill Sans MT" w:cs="Times New Roman"/>
          <w:sz w:val="24"/>
          <w:szCs w:val="24"/>
        </w:rPr>
        <w:t>The dissolution of a political party is incompatible with the freedom of association where it is based solely on the acts of one of its members, provided that the member was neither acting on behalf of nor representing the party. Any dissolution or prohibition of a political party must be justified by plausible evidence indicating sufficiently imminent risk to democracy.</w:t>
      </w:r>
      <w:r w:rsidRPr="00C74359">
        <w:rPr>
          <w:rFonts w:ascii="Gill Sans MT" w:eastAsia="Times New Roman" w:hAnsi="Gill Sans MT" w:cs="Times New Roman"/>
          <w:sz w:val="24"/>
          <w:szCs w:val="24"/>
          <w:vertAlign w:val="superscript"/>
        </w:rPr>
        <w:footnoteReference w:id="62"/>
      </w:r>
      <w:r w:rsidRPr="00C74359">
        <w:rPr>
          <w:rFonts w:ascii="Gill Sans MT" w:eastAsia="Times New Roman" w:hAnsi="Gill Sans MT" w:cs="Times New Roman"/>
          <w:sz w:val="24"/>
          <w:szCs w:val="24"/>
        </w:rPr>
        <w:t xml:space="preserve"> </w:t>
      </w:r>
    </w:p>
    <w:p w14:paraId="60DC06D4" w14:textId="77777777" w:rsidR="00F27F2D" w:rsidRPr="00C74359" w:rsidRDefault="0084193C" w:rsidP="00F27F2D">
      <w:pPr>
        <w:numPr>
          <w:ilvl w:val="0"/>
          <w:numId w:val="2"/>
        </w:numPr>
        <w:spacing w:after="200"/>
        <w:jc w:val="both"/>
        <w:rPr>
          <w:rFonts w:ascii="Gill Sans MT" w:eastAsia="Merriweather" w:hAnsi="Gill Sans MT" w:cs="Merriweather"/>
          <w:sz w:val="24"/>
          <w:szCs w:val="24"/>
        </w:rPr>
      </w:pPr>
      <w:r w:rsidRPr="00C74359">
        <w:rPr>
          <w:rFonts w:ascii="Gill Sans MT" w:eastAsia="Times New Roman" w:hAnsi="Gill Sans MT" w:cs="Times New Roman"/>
          <w:sz w:val="24"/>
          <w:szCs w:val="24"/>
        </w:rPr>
        <w:t>The dissolution of a political party should not be based on individual responsibility. Conversely, this raises the issue of the extent to which the banning of a political party may affect the freedom of association of its members, and whether such restrictions can be justified.</w:t>
      </w:r>
    </w:p>
    <w:p w14:paraId="74123FD5" w14:textId="6E5C2A9F" w:rsidR="0084193C" w:rsidRPr="00C74359" w:rsidRDefault="0084193C" w:rsidP="00F27F2D">
      <w:pPr>
        <w:numPr>
          <w:ilvl w:val="0"/>
          <w:numId w:val="2"/>
        </w:numPr>
        <w:spacing w:after="200"/>
        <w:jc w:val="both"/>
        <w:rPr>
          <w:rFonts w:ascii="Gill Sans MT" w:eastAsia="Merriweather" w:hAnsi="Gill Sans MT" w:cs="Merriweather"/>
          <w:sz w:val="24"/>
          <w:szCs w:val="24"/>
        </w:rPr>
      </w:pPr>
      <w:r w:rsidRPr="00C74359">
        <w:rPr>
          <w:rFonts w:ascii="Gill Sans MT" w:eastAsia="Times New Roman" w:hAnsi="Gill Sans MT" w:cs="Times New Roman"/>
          <w:sz w:val="24"/>
          <w:szCs w:val="24"/>
        </w:rPr>
        <w:lastRenderedPageBreak/>
        <w:t xml:space="preserve">The imposition of restrictions on the establishment of political parties, membership in political parties, the exercise of passive electoral rights, holding political office in public service, and other forms of participation in public affairs for the members of (or persons associated with) a political party that has been declared unconstitutional, may be justified where such restrictions pursue aims such as national security, protection of territorial integrity, or other objectives compatible with the principle of the rule of law. However, </w:t>
      </w:r>
      <w:r w:rsidRPr="00C74359">
        <w:rPr>
          <w:rFonts w:ascii="Gill Sans MT" w:eastAsia="Times New Roman" w:hAnsi="Gill Sans MT" w:cs="Times New Roman"/>
          <w:i/>
          <w:iCs/>
          <w:sz w:val="24"/>
          <w:szCs w:val="24"/>
        </w:rPr>
        <w:t>“States shall not invoke national security as a justification for measures aimed at suppressing opposition or to justify repressive practices against its population.”</w:t>
      </w:r>
      <w:r w:rsidRPr="00C74359">
        <w:rPr>
          <w:rFonts w:ascii="Gill Sans MT" w:hAnsi="Gill Sans MT"/>
          <w:vertAlign w:val="superscript"/>
        </w:rPr>
        <w:footnoteReference w:id="63"/>
      </w:r>
      <w:r w:rsidRPr="00C74359">
        <w:rPr>
          <w:rFonts w:ascii="Gill Sans MT" w:eastAsia="Times New Roman" w:hAnsi="Gill Sans MT" w:cs="Times New Roman"/>
          <w:sz w:val="24"/>
          <w:szCs w:val="24"/>
        </w:rPr>
        <w:t xml:space="preserve"> It is vital to maintain a balance between the protection of legitimate aims and the protection of individuals' electoral rights and freedom of association.</w:t>
      </w:r>
      <w:r w:rsidRPr="00C74359">
        <w:rPr>
          <w:rFonts w:ascii="Gill Sans MT" w:hAnsi="Gill Sans MT"/>
          <w:vertAlign w:val="superscript"/>
        </w:rPr>
        <w:footnoteReference w:id="64"/>
      </w:r>
      <w:r w:rsidRPr="00C74359">
        <w:rPr>
          <w:rFonts w:ascii="Gill Sans MT" w:eastAsia="Times New Roman" w:hAnsi="Gill Sans MT" w:cs="Times New Roman"/>
          <w:sz w:val="24"/>
          <w:szCs w:val="24"/>
        </w:rPr>
        <w:t xml:space="preserve"> Such legislative frameworks must not be applied in an arbitrary manner to exclude political opponents from the political sphere. </w:t>
      </w:r>
    </w:p>
    <w:p w14:paraId="103116A1" w14:textId="77777777" w:rsidR="00F27F2D" w:rsidRPr="00C74359" w:rsidRDefault="0084193C" w:rsidP="00F27F2D">
      <w:pPr>
        <w:numPr>
          <w:ilvl w:val="0"/>
          <w:numId w:val="2"/>
        </w:numPr>
        <w:spacing w:after="200"/>
        <w:jc w:val="both"/>
        <w:rPr>
          <w:rFonts w:ascii="Gill Sans MT" w:eastAsia="Merriweather" w:hAnsi="Gill Sans MT" w:cs="Merriweather"/>
          <w:sz w:val="24"/>
          <w:szCs w:val="24"/>
        </w:rPr>
      </w:pPr>
      <w:r w:rsidRPr="00C74359">
        <w:rPr>
          <w:rFonts w:ascii="Gill Sans MT" w:eastAsia="Times New Roman" w:hAnsi="Gill Sans MT" w:cs="Times New Roman"/>
          <w:sz w:val="24"/>
          <w:szCs w:val="24"/>
        </w:rPr>
        <w:t>In order to evaluate the presence of legitimate aims and the maintenance of a proper balance, it is important to consider the developments occurring in the country concerned. In Georgia, legislative amendments were adopted imposing an indefinite restriction on the right of persons associated with a dissolved political party to establish a political party or join a political party,</w:t>
      </w:r>
      <w:r w:rsidRPr="00C74359">
        <w:rPr>
          <w:rFonts w:ascii="Gill Sans MT" w:eastAsia="Times New Roman" w:hAnsi="Gill Sans MT" w:cs="Times New Roman"/>
          <w:sz w:val="24"/>
          <w:szCs w:val="24"/>
          <w:vertAlign w:val="superscript"/>
        </w:rPr>
        <w:footnoteReference w:id="65"/>
      </w:r>
      <w:r w:rsidRPr="00C74359">
        <w:rPr>
          <w:rFonts w:ascii="Gill Sans MT" w:eastAsia="Times New Roman" w:hAnsi="Gill Sans MT" w:cs="Times New Roman"/>
          <w:sz w:val="24"/>
          <w:szCs w:val="24"/>
        </w:rPr>
        <w:t xml:space="preserve"> within the context of mass protests against the government, the adoption of laws relating to foreign influence, and the unjustified detention of leaders of opposition political parties.</w:t>
      </w:r>
    </w:p>
    <w:p w14:paraId="3344EC81" w14:textId="77777777" w:rsidR="00F27F2D" w:rsidRPr="00C74359" w:rsidRDefault="0084193C" w:rsidP="00F27F2D">
      <w:pPr>
        <w:numPr>
          <w:ilvl w:val="0"/>
          <w:numId w:val="2"/>
        </w:numPr>
        <w:spacing w:after="200"/>
        <w:jc w:val="both"/>
        <w:rPr>
          <w:rFonts w:ascii="Gill Sans MT" w:eastAsia="Merriweather" w:hAnsi="Gill Sans MT" w:cs="Merriweather"/>
          <w:sz w:val="24"/>
          <w:szCs w:val="24"/>
        </w:rPr>
      </w:pPr>
      <w:r w:rsidRPr="00C74359">
        <w:rPr>
          <w:rFonts w:ascii="Gill Sans MT" w:eastAsia="Times New Roman" w:hAnsi="Gill Sans MT" w:cs="Times New Roman"/>
          <w:sz w:val="24"/>
          <w:szCs w:val="24"/>
        </w:rPr>
        <w:t>The Venice Commission of the Council of Europe has developed opinions concerning the adoption of similar legal regulations by several countries, thereby establishing a consistent practice in this area. The Commission has recommended that the imposition of restrictions on the right to be elected of a member of a dissolved political party should be subject to the prior determination of adequate criteria and an individual assessment, ensuring that such restrictions apply only to persons whose activities, actions and expressions have endangered national security and who have actively pursued the unlawful objectives of the prohibited party.</w:t>
      </w:r>
      <w:r w:rsidRPr="00C74359">
        <w:rPr>
          <w:rFonts w:ascii="Gill Sans MT" w:hAnsi="Gill Sans MT"/>
          <w:vertAlign w:val="superscript"/>
        </w:rPr>
        <w:footnoteReference w:id="66"/>
      </w:r>
    </w:p>
    <w:p w14:paraId="34C891C6" w14:textId="7859D974" w:rsidR="0084193C" w:rsidRPr="00C74359" w:rsidRDefault="0084193C" w:rsidP="00F27F2D">
      <w:pPr>
        <w:numPr>
          <w:ilvl w:val="0"/>
          <w:numId w:val="2"/>
        </w:numPr>
        <w:spacing w:after="200"/>
        <w:jc w:val="both"/>
        <w:rPr>
          <w:rFonts w:ascii="Gill Sans MT" w:eastAsia="Merriweather" w:hAnsi="Gill Sans MT" w:cs="Merriweather"/>
          <w:sz w:val="24"/>
          <w:szCs w:val="24"/>
        </w:rPr>
      </w:pPr>
      <w:r w:rsidRPr="00C74359">
        <w:rPr>
          <w:rFonts w:ascii="Gill Sans MT" w:eastAsia="Times New Roman" w:hAnsi="Gill Sans MT" w:cs="Times New Roman"/>
          <w:sz w:val="24"/>
          <w:szCs w:val="24"/>
        </w:rPr>
        <w:t xml:space="preserve">Unlawful acts committed by an individual, which led to the declaration of unconstitutionality of the political party, must, in turn, be established with sufficient and relevant evidence. Furthermore, the individuals must be provided with a credible opportunity to present their case before the relevant electoral bodies, accompanied by a reasonable burden of proof and the </w:t>
      </w:r>
      <w:r w:rsidRPr="00C74359">
        <w:rPr>
          <w:rFonts w:ascii="Gill Sans MT" w:eastAsia="Times New Roman" w:hAnsi="Gill Sans MT" w:cs="Times New Roman"/>
          <w:i/>
          <w:iCs/>
          <w:sz w:val="24"/>
          <w:szCs w:val="24"/>
        </w:rPr>
        <w:t xml:space="preserve">"full range of procedural safeguards throughout </w:t>
      </w:r>
      <w:r w:rsidRPr="00C74359">
        <w:rPr>
          <w:rFonts w:ascii="Gill Sans MT" w:eastAsia="Times New Roman" w:hAnsi="Gill Sans MT" w:cs="Times New Roman"/>
          <w:i/>
          <w:iCs/>
          <w:sz w:val="24"/>
          <w:szCs w:val="24"/>
        </w:rPr>
        <w:lastRenderedPageBreak/>
        <w:t>the assessment process, including the opportunity to seek judicial review of the decision depriving them of the right to stand for election”</w:t>
      </w:r>
      <w:r w:rsidRPr="00C74359">
        <w:rPr>
          <w:rFonts w:ascii="Gill Sans MT" w:eastAsia="Times New Roman" w:hAnsi="Gill Sans MT" w:cs="Times New Roman"/>
          <w:sz w:val="24"/>
          <w:szCs w:val="24"/>
        </w:rPr>
        <w:t>.</w:t>
      </w:r>
      <w:r w:rsidRPr="00C74359">
        <w:rPr>
          <w:rFonts w:ascii="Gill Sans MT" w:hAnsi="Gill Sans MT"/>
          <w:vertAlign w:val="superscript"/>
        </w:rPr>
        <w:footnoteReference w:id="67"/>
      </w:r>
      <w:r w:rsidRPr="00C74359">
        <w:rPr>
          <w:rFonts w:ascii="Gill Sans MT" w:eastAsia="Times New Roman" w:hAnsi="Gill Sans MT" w:cs="Times New Roman"/>
          <w:sz w:val="24"/>
          <w:szCs w:val="24"/>
        </w:rPr>
        <w:t>Furthermore, the criteria for imposing such restrictions must be defined precisely and narrowly, in conformity with the principles of legal certainty and proportionality.</w:t>
      </w:r>
      <w:r w:rsidRPr="00C74359">
        <w:rPr>
          <w:rFonts w:ascii="Gill Sans MT" w:hAnsi="Gill Sans MT"/>
          <w:vertAlign w:val="superscript"/>
        </w:rPr>
        <w:footnoteReference w:id="68"/>
      </w:r>
    </w:p>
    <w:p w14:paraId="402A5D5C" w14:textId="77777777" w:rsidR="00F27F2D" w:rsidRPr="00C74359" w:rsidRDefault="0084193C" w:rsidP="00F27F2D">
      <w:pPr>
        <w:numPr>
          <w:ilvl w:val="0"/>
          <w:numId w:val="2"/>
        </w:numPr>
        <w:spacing w:after="200"/>
        <w:jc w:val="both"/>
        <w:rPr>
          <w:rFonts w:ascii="Gill Sans MT" w:eastAsia="Merriweather" w:hAnsi="Gill Sans MT" w:cs="Merriweather"/>
          <w:sz w:val="24"/>
          <w:szCs w:val="24"/>
        </w:rPr>
      </w:pPr>
      <w:r w:rsidRPr="00C74359">
        <w:rPr>
          <w:rFonts w:ascii="Gill Sans MT" w:eastAsia="Times New Roman" w:hAnsi="Gill Sans MT" w:cs="Times New Roman"/>
          <w:sz w:val="24"/>
          <w:szCs w:val="24"/>
        </w:rPr>
        <w:t>The Special Rapporteur on the rights to freedom of peaceful assembly and of association has reported that laws relating to foreign influence (e.g. “Foreign agent”, “extremism” and other national laws) have also been used to target political parties, their members and their supporters.</w:t>
      </w:r>
      <w:r w:rsidRPr="00C74359">
        <w:rPr>
          <w:rFonts w:ascii="Gill Sans MT" w:eastAsia="Times New Roman" w:hAnsi="Gill Sans MT" w:cs="Times New Roman"/>
          <w:sz w:val="24"/>
          <w:szCs w:val="24"/>
          <w:vertAlign w:val="superscript"/>
        </w:rPr>
        <w:footnoteReference w:id="69"/>
      </w:r>
      <w:r w:rsidRPr="00C74359">
        <w:rPr>
          <w:rFonts w:ascii="Gill Sans MT" w:eastAsia="Times New Roman" w:hAnsi="Gill Sans MT" w:cs="Times New Roman"/>
          <w:sz w:val="24"/>
          <w:szCs w:val="24"/>
        </w:rPr>
        <w:t xml:space="preserve"> “</w:t>
      </w:r>
      <w:r w:rsidRPr="00C74359">
        <w:rPr>
          <w:rFonts w:ascii="Gill Sans MT" w:eastAsia="Times New Roman" w:hAnsi="Gill Sans MT" w:cs="Times New Roman"/>
          <w:i/>
          <w:iCs/>
          <w:sz w:val="24"/>
          <w:szCs w:val="24"/>
        </w:rPr>
        <w:t>All those who express political opposition have often been portrayed as “spies”, “traitors” or “foreign agents”, as being “anti-patriotic” or as “promoting foreign agendas”</w:t>
      </w:r>
      <w:r w:rsidRPr="00C74359">
        <w:rPr>
          <w:rFonts w:ascii="Gill Sans MT" w:eastAsia="Times New Roman" w:hAnsi="Gill Sans MT" w:cs="Times New Roman"/>
          <w:sz w:val="24"/>
          <w:szCs w:val="24"/>
        </w:rPr>
        <w:t>.”</w:t>
      </w:r>
      <w:r w:rsidRPr="00C74359">
        <w:rPr>
          <w:rFonts w:ascii="Gill Sans MT" w:eastAsia="Times New Roman" w:hAnsi="Gill Sans MT" w:cs="Times New Roman"/>
          <w:sz w:val="24"/>
          <w:szCs w:val="24"/>
          <w:vertAlign w:val="superscript"/>
        </w:rPr>
        <w:footnoteReference w:id="70"/>
      </w:r>
      <w:r w:rsidRPr="00C74359">
        <w:rPr>
          <w:rFonts w:ascii="Gill Sans MT" w:eastAsia="Times New Roman" w:hAnsi="Gill Sans MT" w:cs="Times New Roman"/>
          <w:sz w:val="24"/>
          <w:szCs w:val="24"/>
        </w:rPr>
        <w:t xml:space="preserve"> In Russia, a person designated as a “foreign agent” is deprived of the right to stand for election.</w:t>
      </w:r>
      <w:r w:rsidRPr="00C74359">
        <w:rPr>
          <w:rFonts w:ascii="Gill Sans MT" w:eastAsia="Times New Roman" w:hAnsi="Gill Sans MT" w:cs="Times New Roman"/>
          <w:sz w:val="24"/>
          <w:szCs w:val="24"/>
          <w:vertAlign w:val="superscript"/>
        </w:rPr>
        <w:footnoteReference w:id="71"/>
      </w:r>
      <w:r w:rsidRPr="00C74359">
        <w:rPr>
          <w:rFonts w:ascii="Gill Sans MT" w:eastAsia="Times New Roman" w:hAnsi="Gill Sans MT" w:cs="Times New Roman"/>
          <w:sz w:val="24"/>
          <w:szCs w:val="24"/>
        </w:rPr>
        <w:t xml:space="preserve"> Although such legislative regulation is primarily justified on the legislative regulatory aims of national security and protection of the state's integrity, it has been used to suppress dissenting voices, including civil society organisations and opposition political parties. In Georgia, alongside legislative measures targeting civil society organisations through the “Foreign Agents” laws, political parties have also become subject to regulations concerning foreign influence. According to the amendments adopted by the Parliament of Georgia in March 2026, individuals employed by an organisation receiving more than 20% of its annual income from foreign sources are prohibited from joining a political party for a period of eight years following the termination of their employment.</w:t>
      </w:r>
      <w:r w:rsidRPr="00C74359">
        <w:rPr>
          <w:rFonts w:ascii="Gill Sans MT" w:eastAsia="Times New Roman" w:hAnsi="Gill Sans MT" w:cs="Times New Roman"/>
          <w:sz w:val="24"/>
          <w:szCs w:val="24"/>
          <w:vertAlign w:val="superscript"/>
        </w:rPr>
        <w:footnoteReference w:id="72"/>
      </w:r>
      <w:r w:rsidRPr="00C74359">
        <w:rPr>
          <w:rFonts w:ascii="Gill Sans MT" w:eastAsia="Times New Roman" w:hAnsi="Gill Sans MT" w:cs="Times New Roman"/>
          <w:sz w:val="24"/>
          <w:szCs w:val="24"/>
        </w:rPr>
        <w:t xml:space="preserve"> Furthermore, criminal liability is established for senior officials of political parties who receive any foreign funding.</w:t>
      </w:r>
    </w:p>
    <w:p w14:paraId="5CB284FC" w14:textId="77777777" w:rsidR="00F27F2D" w:rsidRPr="00C74359" w:rsidRDefault="0084193C" w:rsidP="00F27F2D">
      <w:pPr>
        <w:numPr>
          <w:ilvl w:val="0"/>
          <w:numId w:val="2"/>
        </w:numPr>
        <w:spacing w:after="200"/>
        <w:jc w:val="both"/>
        <w:rPr>
          <w:rFonts w:ascii="Gill Sans MT" w:eastAsia="Merriweather" w:hAnsi="Gill Sans MT" w:cs="Merriweather"/>
          <w:sz w:val="24"/>
          <w:szCs w:val="24"/>
        </w:rPr>
      </w:pPr>
      <w:r w:rsidRPr="00C74359">
        <w:rPr>
          <w:rFonts w:ascii="Gill Sans MT" w:eastAsia="Times New Roman" w:hAnsi="Gill Sans MT" w:cs="Times New Roman"/>
          <w:sz w:val="24"/>
          <w:szCs w:val="24"/>
        </w:rPr>
        <w:t>While political parties are subject to a distinct regulatory framework concerning foreign funding for the purpose of avoiding undue foreign influence in the domestic affairs of the State, legislation pertaining to the financing of political parties must not be arbitrary, so as not to jeopardise the independence of political parties and their ability to genuinely participate in elections.</w:t>
      </w:r>
      <w:r w:rsidRPr="00C74359">
        <w:rPr>
          <w:rFonts w:ascii="Gill Sans MT" w:hAnsi="Gill Sans MT"/>
          <w:vertAlign w:val="superscript"/>
        </w:rPr>
        <w:footnoteReference w:id="73"/>
      </w:r>
      <w:r w:rsidRPr="00C74359">
        <w:rPr>
          <w:rFonts w:ascii="Gill Sans MT" w:eastAsia="Times New Roman" w:hAnsi="Gill Sans MT" w:cs="Times New Roman"/>
          <w:sz w:val="24"/>
          <w:szCs w:val="24"/>
        </w:rPr>
        <w:t xml:space="preserve"> The strict restrictions on funding from abroad are problematic, and exceptions to this prohibition shall also be considered.</w:t>
      </w:r>
      <w:r w:rsidRPr="00C74359">
        <w:rPr>
          <w:rFonts w:ascii="Gill Sans MT" w:hAnsi="Gill Sans MT"/>
          <w:vertAlign w:val="superscript"/>
        </w:rPr>
        <w:footnoteReference w:id="74"/>
      </w:r>
    </w:p>
    <w:p w14:paraId="3AF5170D" w14:textId="01D17CEF" w:rsidR="0084193C" w:rsidRPr="00C74359" w:rsidRDefault="0084193C" w:rsidP="00F27F2D">
      <w:pPr>
        <w:numPr>
          <w:ilvl w:val="0"/>
          <w:numId w:val="2"/>
        </w:numPr>
        <w:spacing w:after="200"/>
        <w:jc w:val="both"/>
        <w:rPr>
          <w:rFonts w:ascii="Gill Sans MT" w:eastAsia="Merriweather" w:hAnsi="Gill Sans MT" w:cs="Merriweather"/>
          <w:sz w:val="24"/>
          <w:szCs w:val="24"/>
        </w:rPr>
      </w:pPr>
      <w:r w:rsidRPr="00C74359">
        <w:rPr>
          <w:rFonts w:ascii="Gill Sans MT" w:eastAsia="Times New Roman" w:hAnsi="Gill Sans MT" w:cs="Times New Roman"/>
          <w:sz w:val="24"/>
          <w:szCs w:val="24"/>
        </w:rPr>
        <w:t xml:space="preserve">A blanket prohibition on political party membership based solely on an individual’s designation as a “foreign agent”, as well as the imposition of criminal liability on senior officials of a political party for receiving foreign funding, constitutes a disproportionate </w:t>
      </w:r>
      <w:r w:rsidRPr="00C74359">
        <w:rPr>
          <w:rFonts w:ascii="Gill Sans MT" w:eastAsia="Times New Roman" w:hAnsi="Gill Sans MT" w:cs="Times New Roman"/>
          <w:sz w:val="24"/>
          <w:szCs w:val="24"/>
        </w:rPr>
        <w:lastRenderedPageBreak/>
        <w:t>interference with the right to freedom of association. Furthermore, an overly broad and vague definition of “foreign influence” allows for extensive interpretation, thereby enabling the authorities to use it as a basis for the arbitrary prohibition or dissolution of political parties. Such legislative regulation ultimately restricts the ability of political associations to engage in pluralistic political debate. Repressive legislation relating to foreign influence has a "chilling effect" on individuals willing to exercise their freedom of association and to participate in public affairs.</w:t>
      </w:r>
    </w:p>
    <w:p w14:paraId="656D7062" w14:textId="4801A9B9" w:rsidR="0084193C" w:rsidRPr="00C74359" w:rsidRDefault="0084193C" w:rsidP="00F27F2D">
      <w:pPr>
        <w:pStyle w:val="Heading2"/>
        <w:ind w:left="360"/>
        <w:jc w:val="both"/>
        <w:rPr>
          <w:rFonts w:ascii="Gill Sans MT" w:hAnsi="Gill Sans MT"/>
          <w:lang w:val="en-US"/>
        </w:rPr>
      </w:pPr>
      <w:bookmarkStart w:id="5" w:name="_Toc233730437"/>
      <w:r w:rsidRPr="00C74359">
        <w:rPr>
          <w:rFonts w:ascii="Gill Sans MT" w:hAnsi="Gill Sans MT"/>
          <w:lang w:val="en-US"/>
        </w:rPr>
        <w:t>Trade Unions</w:t>
      </w:r>
      <w:bookmarkEnd w:id="5"/>
      <w:r w:rsidRPr="00C74359">
        <w:rPr>
          <w:rFonts w:ascii="Gill Sans MT" w:hAnsi="Gill Sans MT"/>
          <w:lang w:val="en-US"/>
        </w:rPr>
        <w:t xml:space="preserve"> </w:t>
      </w:r>
    </w:p>
    <w:p w14:paraId="02D90217" w14:textId="5A31E4B3" w:rsidR="0084193C" w:rsidRPr="00C74359" w:rsidRDefault="0084193C" w:rsidP="00BB19F1">
      <w:pPr>
        <w:jc w:val="both"/>
        <w:rPr>
          <w:rFonts w:ascii="Gill Sans MT" w:hAnsi="Gill Sans MT"/>
          <w:sz w:val="24"/>
          <w:szCs w:val="24"/>
          <w:lang w:val="en-US"/>
        </w:rPr>
      </w:pPr>
    </w:p>
    <w:p w14:paraId="3AA2BD53" w14:textId="23E14004" w:rsidR="00F27F2D" w:rsidRPr="00C74359" w:rsidRDefault="00794281" w:rsidP="00105B6F">
      <w:pPr>
        <w:pStyle w:val="ListParagraph"/>
        <w:numPr>
          <w:ilvl w:val="0"/>
          <w:numId w:val="2"/>
        </w:numPr>
        <w:jc w:val="both"/>
        <w:rPr>
          <w:rFonts w:ascii="Gill Sans MT" w:hAnsi="Gill Sans MT"/>
          <w:sz w:val="24"/>
          <w:szCs w:val="24"/>
          <w:lang w:val="en-US"/>
        </w:rPr>
      </w:pPr>
      <w:r w:rsidRPr="00C74359">
        <w:rPr>
          <w:rFonts w:ascii="Gill Sans MT" w:hAnsi="Gill Sans MT"/>
          <w:sz w:val="24"/>
          <w:szCs w:val="24"/>
          <w:lang w:val="en-US"/>
        </w:rPr>
        <w:t>Trade unions are explicitly protected under Article 22 of the ICCPR and Article 8 of the ICESCR, as well as ILO Convention No. 87. The Concept Note (para. 3) highlights their dual nature as both civil and political rights and economic, social, and cultural rights. Trade unions are indispensable for workers to collectively defend their professional interests, rights, and freedoms.</w:t>
      </w:r>
    </w:p>
    <w:p w14:paraId="13619AB8" w14:textId="77777777" w:rsidR="00105B6F" w:rsidRPr="00C74359" w:rsidRDefault="00105B6F" w:rsidP="00105B6F">
      <w:pPr>
        <w:pStyle w:val="ListParagraph"/>
        <w:jc w:val="both"/>
        <w:rPr>
          <w:rFonts w:ascii="Gill Sans MT" w:hAnsi="Gill Sans MT"/>
          <w:sz w:val="24"/>
          <w:szCs w:val="24"/>
          <w:lang w:val="en-US"/>
        </w:rPr>
      </w:pPr>
    </w:p>
    <w:p w14:paraId="69E70162" w14:textId="77777777" w:rsidR="00794281" w:rsidRPr="00C74359" w:rsidRDefault="00794281" w:rsidP="00BB19F1">
      <w:pPr>
        <w:pStyle w:val="ListParagraph"/>
        <w:numPr>
          <w:ilvl w:val="0"/>
          <w:numId w:val="2"/>
        </w:numPr>
        <w:jc w:val="both"/>
        <w:rPr>
          <w:rFonts w:ascii="Gill Sans MT" w:hAnsi="Gill Sans MT"/>
          <w:sz w:val="24"/>
          <w:szCs w:val="24"/>
          <w:lang w:val="en-US"/>
        </w:rPr>
      </w:pPr>
      <w:r w:rsidRPr="00C74359">
        <w:rPr>
          <w:rFonts w:ascii="Gill Sans MT" w:hAnsi="Gill Sans MT"/>
          <w:sz w:val="24"/>
          <w:szCs w:val="24"/>
          <w:lang w:val="en-US"/>
        </w:rPr>
        <w:t xml:space="preserve">In Georgia, however, trade unions face historical stigma due to the Soviet legacy, often perceived as socialist relics rather than legitimate defenders of </w:t>
      </w:r>
      <w:proofErr w:type="spellStart"/>
      <w:r w:rsidRPr="00C74359">
        <w:rPr>
          <w:rFonts w:ascii="Gill Sans MT" w:hAnsi="Gill Sans MT"/>
          <w:sz w:val="24"/>
          <w:szCs w:val="24"/>
          <w:lang w:val="en-US"/>
        </w:rPr>
        <w:t>labour</w:t>
      </w:r>
      <w:proofErr w:type="spellEnd"/>
      <w:r w:rsidRPr="00C74359">
        <w:rPr>
          <w:rFonts w:ascii="Gill Sans MT" w:hAnsi="Gill Sans MT"/>
          <w:sz w:val="24"/>
          <w:szCs w:val="24"/>
          <w:lang w:val="en-US"/>
        </w:rPr>
        <w:t xml:space="preserve"> rights. This negative perception has weakened public trust and limited their effectiveness. In certain industries, trade unions are manipulated by employers or authorities, undermining their independence and reducing them to instruments of control rather than genuine representatives of workers. Despite these challenges, successful unions in the fields of arts and culture have demonstrated resilience, effectively using </w:t>
      </w:r>
      <w:proofErr w:type="spellStart"/>
      <w:r w:rsidRPr="00C74359">
        <w:rPr>
          <w:rFonts w:ascii="Gill Sans MT" w:hAnsi="Gill Sans MT"/>
          <w:sz w:val="24"/>
          <w:szCs w:val="24"/>
          <w:lang w:val="en-US"/>
        </w:rPr>
        <w:t>labour</w:t>
      </w:r>
      <w:proofErr w:type="spellEnd"/>
      <w:r w:rsidRPr="00C74359">
        <w:rPr>
          <w:rFonts w:ascii="Gill Sans MT" w:hAnsi="Gill Sans MT"/>
          <w:sz w:val="24"/>
          <w:szCs w:val="24"/>
          <w:lang w:val="en-US"/>
        </w:rPr>
        <w:t xml:space="preserve"> legislation to defend members’ rights and negotiate protections. Yet even these unions face legal and structural limitations that restrict their ability to fully exercise their rights.</w:t>
      </w:r>
    </w:p>
    <w:p w14:paraId="5E2D02D6" w14:textId="77777777" w:rsidR="00794281" w:rsidRPr="00C74359" w:rsidRDefault="00794281" w:rsidP="00BB19F1">
      <w:pPr>
        <w:jc w:val="both"/>
        <w:rPr>
          <w:rFonts w:ascii="Gill Sans MT" w:hAnsi="Gill Sans MT"/>
          <w:sz w:val="24"/>
          <w:szCs w:val="24"/>
          <w:highlight w:val="yellow"/>
          <w:lang w:val="en-US"/>
        </w:rPr>
      </w:pPr>
    </w:p>
    <w:p w14:paraId="343ED80A" w14:textId="62FA38B4" w:rsidR="00CF5423" w:rsidRPr="00C74359" w:rsidRDefault="00794281" w:rsidP="00BB19F1">
      <w:pPr>
        <w:pStyle w:val="ListParagraph"/>
        <w:numPr>
          <w:ilvl w:val="0"/>
          <w:numId w:val="2"/>
        </w:numPr>
        <w:jc w:val="both"/>
        <w:rPr>
          <w:rFonts w:ascii="Gill Sans MT" w:hAnsi="Gill Sans MT"/>
          <w:sz w:val="24"/>
          <w:szCs w:val="24"/>
          <w:lang w:val="en-US"/>
        </w:rPr>
      </w:pPr>
      <w:r w:rsidRPr="00C74359">
        <w:rPr>
          <w:rFonts w:ascii="Gill Sans MT" w:hAnsi="Gill Sans MT"/>
          <w:sz w:val="24"/>
          <w:szCs w:val="24"/>
          <w:lang w:val="en-US"/>
        </w:rPr>
        <w:t xml:space="preserve">The General Comment could emphasize that the right to form and join trade unions is a core element of freedom of association. It should clarify that public authorities’ power to control internal governance, funding, </w:t>
      </w:r>
      <w:proofErr w:type="spellStart"/>
      <w:r w:rsidRPr="00C74359">
        <w:rPr>
          <w:rFonts w:ascii="Gill Sans MT" w:hAnsi="Gill Sans MT"/>
          <w:sz w:val="24"/>
          <w:szCs w:val="24"/>
          <w:lang w:val="en-US"/>
        </w:rPr>
        <w:t>programmes</w:t>
      </w:r>
      <w:proofErr w:type="spellEnd"/>
      <w:r w:rsidRPr="00C74359">
        <w:rPr>
          <w:rFonts w:ascii="Gill Sans MT" w:hAnsi="Gill Sans MT"/>
          <w:sz w:val="24"/>
          <w:szCs w:val="24"/>
          <w:lang w:val="en-US"/>
        </w:rPr>
        <w:t xml:space="preserve">, and functioning of unions must be strictly limited. Complaint and redress mechanisms must be accessible to unions, enabling them to challenge arbitrary interference. The General Comment should also highlight the importance of dismantling stigma against trade unions, promoting awareness of their role as modern democratic institutions, and ensuring alignment with ILO standards. Strengthening trade unions requires legal guarantees of independence, effective remedies, and recognition of their essential role in protecting </w:t>
      </w:r>
      <w:r w:rsidR="00F27F2D" w:rsidRPr="00C74359">
        <w:rPr>
          <w:rFonts w:ascii="Gill Sans MT" w:hAnsi="Gill Sans MT"/>
          <w:sz w:val="24"/>
          <w:szCs w:val="24"/>
          <w:lang w:val="en-US"/>
        </w:rPr>
        <w:t>labor</w:t>
      </w:r>
      <w:r w:rsidRPr="00C74359">
        <w:rPr>
          <w:rFonts w:ascii="Gill Sans MT" w:hAnsi="Gill Sans MT"/>
          <w:sz w:val="24"/>
          <w:szCs w:val="24"/>
          <w:lang w:val="en-US"/>
        </w:rPr>
        <w:t xml:space="preserve"> rights and contributing to pluralism.</w:t>
      </w:r>
    </w:p>
    <w:p w14:paraId="23E4DA6C" w14:textId="77777777" w:rsidR="00CF5423" w:rsidRPr="00C74359" w:rsidRDefault="00CF5423" w:rsidP="00BB19F1">
      <w:pPr>
        <w:jc w:val="both"/>
        <w:rPr>
          <w:rFonts w:ascii="Gill Sans MT" w:hAnsi="Gill Sans MT"/>
          <w:sz w:val="24"/>
          <w:szCs w:val="24"/>
          <w:lang w:val="en-US"/>
        </w:rPr>
      </w:pPr>
    </w:p>
    <w:p w14:paraId="71674988" w14:textId="5D9DB114" w:rsidR="00CF5423" w:rsidRPr="00C74359" w:rsidRDefault="00CF5423" w:rsidP="00BB19F1">
      <w:pPr>
        <w:pStyle w:val="ListParagraph"/>
        <w:numPr>
          <w:ilvl w:val="0"/>
          <w:numId w:val="2"/>
        </w:numPr>
        <w:jc w:val="both"/>
        <w:rPr>
          <w:rFonts w:ascii="Gill Sans MT" w:hAnsi="Gill Sans MT"/>
          <w:sz w:val="24"/>
          <w:szCs w:val="24"/>
          <w:lang w:val="en-US"/>
        </w:rPr>
      </w:pPr>
      <w:r w:rsidRPr="00C74359">
        <w:rPr>
          <w:rFonts w:ascii="Gill Sans MT" w:hAnsi="Gill Sans MT"/>
          <w:sz w:val="24"/>
          <w:szCs w:val="24"/>
          <w:lang w:val="en-US"/>
        </w:rPr>
        <w:t xml:space="preserve">Public authorities’ involvement in associations, including trade unions, must remain limited. Oversight should not extend to controlling their internal governance, funding sources, </w:t>
      </w:r>
      <w:r w:rsidR="00F27F2D" w:rsidRPr="00C74359">
        <w:rPr>
          <w:rFonts w:ascii="Gill Sans MT" w:hAnsi="Gill Sans MT"/>
          <w:sz w:val="24"/>
          <w:szCs w:val="24"/>
          <w:lang w:val="en-US"/>
        </w:rPr>
        <w:t>programs</w:t>
      </w:r>
      <w:r w:rsidRPr="00C74359">
        <w:rPr>
          <w:rFonts w:ascii="Gill Sans MT" w:hAnsi="Gill Sans MT"/>
          <w:sz w:val="24"/>
          <w:szCs w:val="24"/>
          <w:lang w:val="en-US"/>
        </w:rPr>
        <w:t xml:space="preserve">, or daily functioning. Excessive interference undermines independence and weakens the ability of unions to represent workers effectively. To safeguard autonomy, there should be accessible complaint and redress mechanisms </w:t>
      </w:r>
      <w:r w:rsidRPr="00C74359">
        <w:rPr>
          <w:rFonts w:ascii="Gill Sans MT" w:hAnsi="Gill Sans MT"/>
          <w:sz w:val="24"/>
          <w:szCs w:val="24"/>
          <w:lang w:val="en-US"/>
        </w:rPr>
        <w:lastRenderedPageBreak/>
        <w:t xml:space="preserve">for associations, including trade unions, enabling them to challenge arbitrary state actions or employer manipulation before impartial bodies or courts.  </w:t>
      </w:r>
    </w:p>
    <w:p w14:paraId="059F22A9" w14:textId="77777777" w:rsidR="00F27F2D" w:rsidRPr="00C74359" w:rsidRDefault="00F27F2D" w:rsidP="00F27F2D">
      <w:pPr>
        <w:jc w:val="both"/>
        <w:rPr>
          <w:rFonts w:ascii="Gill Sans MT" w:hAnsi="Gill Sans MT"/>
          <w:sz w:val="24"/>
          <w:szCs w:val="24"/>
          <w:lang w:val="en-US"/>
        </w:rPr>
      </w:pPr>
    </w:p>
    <w:p w14:paraId="227CD47A" w14:textId="5ECB4289" w:rsidR="00CF5423" w:rsidRPr="00C74359" w:rsidRDefault="00CF5423" w:rsidP="00BB19F1">
      <w:pPr>
        <w:pStyle w:val="ListParagraph"/>
        <w:numPr>
          <w:ilvl w:val="0"/>
          <w:numId w:val="2"/>
        </w:numPr>
        <w:jc w:val="both"/>
        <w:rPr>
          <w:rFonts w:ascii="Gill Sans MT" w:hAnsi="Gill Sans MT"/>
          <w:sz w:val="24"/>
          <w:szCs w:val="24"/>
          <w:lang w:val="en-US"/>
        </w:rPr>
      </w:pPr>
      <w:r w:rsidRPr="00C74359">
        <w:rPr>
          <w:rFonts w:ascii="Gill Sans MT" w:hAnsi="Gill Sans MT"/>
          <w:sz w:val="24"/>
          <w:szCs w:val="24"/>
          <w:lang w:val="en-US"/>
        </w:rPr>
        <w:t xml:space="preserve">Despite these obstacles, there are notable success stories. Trade unions in the fields of arts and culture have demonstrated resilience and effectiveness. They have skillfully used </w:t>
      </w:r>
      <w:r w:rsidR="00F27F2D" w:rsidRPr="00C74359">
        <w:rPr>
          <w:rFonts w:ascii="Gill Sans MT" w:hAnsi="Gill Sans MT"/>
          <w:sz w:val="24"/>
          <w:szCs w:val="24"/>
          <w:lang w:val="en-US"/>
        </w:rPr>
        <w:t>labor</w:t>
      </w:r>
      <w:r w:rsidRPr="00C74359">
        <w:rPr>
          <w:rFonts w:ascii="Gill Sans MT" w:hAnsi="Gill Sans MT"/>
          <w:sz w:val="24"/>
          <w:szCs w:val="24"/>
          <w:lang w:val="en-US"/>
        </w:rPr>
        <w:t xml:space="preserve"> legislation to defend members’ rights, negotiate contracts, and secure protections. These examples show the potential of unions when they are independent, well</w:t>
      </w:r>
      <w:r w:rsidRPr="00C74359">
        <w:rPr>
          <w:rFonts w:ascii="Cambria Math" w:hAnsi="Cambria Math" w:cs="Cambria Math"/>
          <w:sz w:val="24"/>
          <w:szCs w:val="24"/>
          <w:lang w:val="en-US"/>
        </w:rPr>
        <w:t>‑</w:t>
      </w:r>
      <w:r w:rsidRPr="00C74359">
        <w:rPr>
          <w:rFonts w:ascii="Gill Sans MT" w:hAnsi="Gill Sans MT"/>
          <w:sz w:val="24"/>
          <w:szCs w:val="24"/>
          <w:lang w:val="en-US"/>
        </w:rPr>
        <w:t xml:space="preserve">organized, and empowered. Yet even these successful unions face legal and structural limitations that restrict their ability to fully exercise their rights.  </w:t>
      </w:r>
    </w:p>
    <w:p w14:paraId="29ACF6CC" w14:textId="77777777" w:rsidR="00F27F2D" w:rsidRPr="00C74359" w:rsidRDefault="00F27F2D" w:rsidP="00F27F2D">
      <w:pPr>
        <w:pStyle w:val="ListParagraph"/>
        <w:rPr>
          <w:rFonts w:ascii="Gill Sans MT" w:hAnsi="Gill Sans MT"/>
          <w:sz w:val="24"/>
          <w:szCs w:val="24"/>
          <w:lang w:val="en-US"/>
        </w:rPr>
      </w:pPr>
    </w:p>
    <w:p w14:paraId="18C1C057" w14:textId="4D7A3374" w:rsidR="00984FB8" w:rsidRPr="00C74359" w:rsidRDefault="00F27F2D" w:rsidP="00984FB8">
      <w:pPr>
        <w:pStyle w:val="ListParagraph"/>
        <w:numPr>
          <w:ilvl w:val="0"/>
          <w:numId w:val="2"/>
        </w:numPr>
        <w:jc w:val="both"/>
        <w:rPr>
          <w:rFonts w:ascii="Gill Sans MT" w:hAnsi="Gill Sans MT"/>
          <w:sz w:val="24"/>
          <w:szCs w:val="24"/>
          <w:lang w:val="en-US"/>
        </w:rPr>
      </w:pPr>
      <w:r w:rsidRPr="00C74359">
        <w:rPr>
          <w:rFonts w:ascii="Gill Sans MT" w:hAnsi="Gill Sans MT"/>
          <w:sz w:val="24"/>
          <w:szCs w:val="24"/>
          <w:lang w:val="en-US"/>
        </w:rPr>
        <w:t>Recent developments in the education sector in Georgia illustrate the acute vulnerability of trade unions. Following sweeping reforms, academic programs at Ilia State University were cut by 91 percent, which will result in mass layoffs of professors, administrators, and staff. In such contexts, trade unions in education are particularly exposed, as they represent workers whose dissent against government policy is often met with restrictions or retaliation. When authorities curtail union activity precisely because it challenges state decisions, the right to freedom of association is undermined at its core. This demonstrates how unions in sensitive sectors such as education require stronger legal protections and institutional support to defend members against politically motivated dismissals and to preserve academic freedom as part of broader democratic governance.</w:t>
      </w:r>
    </w:p>
    <w:p w14:paraId="6414D9E8" w14:textId="77777777" w:rsidR="00105B6F" w:rsidRPr="00C74359" w:rsidRDefault="00105B6F" w:rsidP="00105B6F">
      <w:pPr>
        <w:jc w:val="both"/>
        <w:rPr>
          <w:rFonts w:ascii="Gill Sans MT" w:hAnsi="Gill Sans MT"/>
          <w:sz w:val="24"/>
          <w:szCs w:val="24"/>
          <w:lang w:val="en-US"/>
        </w:rPr>
      </w:pPr>
    </w:p>
    <w:p w14:paraId="5FF4BA5E" w14:textId="0DDF0C1E" w:rsidR="00984FB8" w:rsidRPr="00C74359" w:rsidRDefault="00984FB8" w:rsidP="00984FB8">
      <w:pPr>
        <w:pStyle w:val="ListParagraph"/>
        <w:numPr>
          <w:ilvl w:val="0"/>
          <w:numId w:val="2"/>
        </w:numPr>
        <w:jc w:val="both"/>
        <w:rPr>
          <w:rFonts w:ascii="Gill Sans MT" w:hAnsi="Gill Sans MT"/>
          <w:sz w:val="24"/>
          <w:szCs w:val="24"/>
          <w:lang w:val="en-US"/>
        </w:rPr>
      </w:pPr>
      <w:r w:rsidRPr="00C74359">
        <w:rPr>
          <w:rFonts w:ascii="Gill Sans MT" w:hAnsi="Gill Sans MT"/>
          <w:sz w:val="24"/>
          <w:szCs w:val="24"/>
          <w:lang w:val="en-US"/>
        </w:rPr>
        <w:t>Since December 2024, the Government has undertaken systematic measures to silence and punish public servants who expressed critical views of the ruling party’s actions and decisions. Between 2024 and 2025, more than 1,000 public servants were dismissed from their positions on account of their political opinions</w:t>
      </w:r>
      <w:r w:rsidRPr="00C74359">
        <w:rPr>
          <w:rStyle w:val="FootnoteReference"/>
          <w:rFonts w:ascii="Gill Sans MT" w:hAnsi="Gill Sans MT"/>
          <w:sz w:val="24"/>
          <w:szCs w:val="24"/>
          <w:lang w:val="en-US"/>
        </w:rPr>
        <w:footnoteReference w:id="75"/>
      </w:r>
      <w:r w:rsidRPr="00C74359">
        <w:rPr>
          <w:rFonts w:ascii="Gill Sans MT" w:hAnsi="Gill Sans MT"/>
          <w:sz w:val="24"/>
          <w:szCs w:val="24"/>
          <w:lang w:val="en-US"/>
        </w:rPr>
        <w:t xml:space="preserve">. In response, serving and dismissed officials sought to safeguard their rights, including freedom of expression and freedom of association by establishing a trade union. </w:t>
      </w:r>
    </w:p>
    <w:p w14:paraId="3214FC64" w14:textId="77777777" w:rsidR="00984FB8" w:rsidRPr="00C74359" w:rsidRDefault="00984FB8" w:rsidP="00105B6F">
      <w:pPr>
        <w:jc w:val="both"/>
        <w:rPr>
          <w:rFonts w:ascii="Gill Sans MT" w:hAnsi="Gill Sans MT"/>
          <w:sz w:val="24"/>
          <w:szCs w:val="24"/>
          <w:lang w:val="en-US"/>
        </w:rPr>
      </w:pPr>
    </w:p>
    <w:p w14:paraId="7BFA757E" w14:textId="60823A84" w:rsidR="00F27F2D" w:rsidRPr="00C74359" w:rsidRDefault="00984FB8" w:rsidP="00984FB8">
      <w:pPr>
        <w:pStyle w:val="ListParagraph"/>
        <w:numPr>
          <w:ilvl w:val="0"/>
          <w:numId w:val="2"/>
        </w:numPr>
        <w:jc w:val="both"/>
        <w:rPr>
          <w:rFonts w:ascii="Gill Sans MT" w:hAnsi="Gill Sans MT"/>
          <w:sz w:val="24"/>
          <w:szCs w:val="24"/>
          <w:lang w:val="en-US"/>
        </w:rPr>
      </w:pPr>
      <w:r w:rsidRPr="00C74359">
        <w:rPr>
          <w:rFonts w:ascii="Gill Sans MT" w:hAnsi="Gill Sans MT"/>
          <w:sz w:val="24"/>
          <w:szCs w:val="24"/>
          <w:lang w:val="en-US"/>
        </w:rPr>
        <w:t>The registration process, however, was obstructed by the National Agency of Public Registry, which imposed artificial procedural barriers. Rather than identifying all alleged deficiencies at the outset, the Agency introduced new objections in successive stages concerning the same set of documents, repeatedly suspending the procedure and preventing the union from acquiring legal personality or commencing its activities.  After several resubmissions of the application and supporting documentation since December, 2024, the Independent Trade Union of Public Servants “Article 78 of the Constitution” was finally registered in June 2025. Registration was granted only after the union held a press briefing</w:t>
      </w:r>
      <w:r w:rsidRPr="00C74359">
        <w:rPr>
          <w:rStyle w:val="FootnoteReference"/>
          <w:rFonts w:ascii="Gill Sans MT" w:hAnsi="Gill Sans MT"/>
          <w:sz w:val="24"/>
          <w:szCs w:val="24"/>
          <w:lang w:val="en-US"/>
        </w:rPr>
        <w:footnoteReference w:id="76"/>
      </w:r>
      <w:r w:rsidRPr="00C74359">
        <w:rPr>
          <w:rFonts w:ascii="Gill Sans MT" w:hAnsi="Gill Sans MT"/>
          <w:sz w:val="24"/>
          <w:szCs w:val="24"/>
          <w:lang w:val="en-US"/>
        </w:rPr>
        <w:t xml:space="preserve"> exposing the Agency’s consistent pattern of unjustified </w:t>
      </w:r>
      <w:r w:rsidRPr="00C74359">
        <w:rPr>
          <w:rFonts w:ascii="Gill Sans MT" w:hAnsi="Gill Sans MT"/>
          <w:sz w:val="24"/>
          <w:szCs w:val="24"/>
          <w:lang w:val="en-US"/>
        </w:rPr>
        <w:lastRenderedPageBreak/>
        <w:t xml:space="preserve">conduct, including repeated refusals to register and the denial of an effective opportunity to challenge those decisions. This case illustrates how administrative obstruction can be used as a tool to suppress dissent, erode workers’ collective rights, and undermine the core guarantees of freedom of association.  </w:t>
      </w:r>
    </w:p>
    <w:p w14:paraId="405D90A1" w14:textId="77777777" w:rsidR="00984FB8" w:rsidRPr="00C74359" w:rsidRDefault="00984FB8" w:rsidP="00984FB8">
      <w:pPr>
        <w:pStyle w:val="ListParagraph"/>
        <w:jc w:val="both"/>
        <w:rPr>
          <w:rFonts w:ascii="Gill Sans MT" w:hAnsi="Gill Sans MT"/>
          <w:sz w:val="24"/>
          <w:szCs w:val="24"/>
          <w:lang w:val="en-US"/>
        </w:rPr>
      </w:pPr>
    </w:p>
    <w:p w14:paraId="186F2C12" w14:textId="19D0153B" w:rsidR="00F27F2D" w:rsidRPr="00C74359" w:rsidRDefault="00F27F2D" w:rsidP="00BB19F1">
      <w:pPr>
        <w:pStyle w:val="ListParagraph"/>
        <w:numPr>
          <w:ilvl w:val="0"/>
          <w:numId w:val="2"/>
        </w:numPr>
        <w:jc w:val="both"/>
        <w:rPr>
          <w:rFonts w:ascii="Gill Sans MT" w:hAnsi="Gill Sans MT"/>
          <w:sz w:val="24"/>
          <w:szCs w:val="24"/>
          <w:lang w:val="en-US"/>
        </w:rPr>
      </w:pPr>
      <w:r w:rsidRPr="00C74359">
        <w:rPr>
          <w:rFonts w:ascii="Gill Sans MT" w:hAnsi="Gill Sans MT"/>
          <w:sz w:val="24"/>
          <w:szCs w:val="24"/>
          <w:lang w:val="en-US"/>
        </w:rPr>
        <w:t>The General Comment should emphasize that strengthening trade unions requires a comprehensive set of measures. First, states must provide robust legal guarantees that protect unions from interference by public authorities or employers, ensuring their independence in both governance and activities. Second, public awareness initiatives are essential to shift societal perceptions, presenting unions as modern democratic institutions that safeguard workers’ rights rather than outdated or politicized relics. Third, capacity</w:t>
      </w:r>
      <w:r w:rsidRPr="00C74359">
        <w:rPr>
          <w:rFonts w:ascii="Cambria Math" w:hAnsi="Cambria Math" w:cs="Cambria Math"/>
          <w:sz w:val="24"/>
          <w:szCs w:val="24"/>
          <w:lang w:val="en-US"/>
        </w:rPr>
        <w:t>‑</w:t>
      </w:r>
      <w:r w:rsidRPr="00C74359">
        <w:rPr>
          <w:rFonts w:ascii="Gill Sans MT" w:hAnsi="Gill Sans MT"/>
          <w:sz w:val="24"/>
          <w:szCs w:val="24"/>
          <w:lang w:val="en-US"/>
        </w:rPr>
        <w:t xml:space="preserve">building programs should be developed to support unions in weaker sectors, enabling them to learn from successful models and to build resilience across industries. Fourth, effective complaint and redress mechanisms must be accessible, allowing unions to challenge violations of their rights before impartial bodies. </w:t>
      </w:r>
    </w:p>
    <w:p w14:paraId="471F97A6" w14:textId="5DDE75C4" w:rsidR="0084193C" w:rsidRPr="00C74359" w:rsidRDefault="0084193C" w:rsidP="00BB19F1">
      <w:pPr>
        <w:jc w:val="both"/>
        <w:rPr>
          <w:rFonts w:ascii="Gill Sans MT" w:hAnsi="Gill Sans MT"/>
          <w:sz w:val="24"/>
          <w:szCs w:val="24"/>
          <w:lang w:val="en-US"/>
        </w:rPr>
      </w:pPr>
    </w:p>
    <w:sectPr w:rsidR="0084193C" w:rsidRPr="00C74359" w:rsidSect="001440BE">
      <w:pgSz w:w="11909" w:h="16834"/>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C0821" w14:textId="77777777" w:rsidR="00433FEE" w:rsidRDefault="00433FEE" w:rsidP="0084193C">
      <w:pPr>
        <w:spacing w:line="240" w:lineRule="auto"/>
      </w:pPr>
      <w:r>
        <w:separator/>
      </w:r>
    </w:p>
  </w:endnote>
  <w:endnote w:type="continuationSeparator" w:id="0">
    <w:p w14:paraId="7B71B04F" w14:textId="77777777" w:rsidR="00433FEE" w:rsidRDefault="00433FEE" w:rsidP="008419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erriweather">
    <w:charset w:val="00"/>
    <w:family w:val="auto"/>
    <w:pitch w:val="variable"/>
    <w:sig w:usb0="20000207" w:usb1="00000002"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18298" w14:textId="77777777" w:rsidR="00433FEE" w:rsidRDefault="00433FEE" w:rsidP="0084193C">
      <w:pPr>
        <w:spacing w:line="240" w:lineRule="auto"/>
      </w:pPr>
      <w:r>
        <w:separator/>
      </w:r>
    </w:p>
  </w:footnote>
  <w:footnote w:type="continuationSeparator" w:id="0">
    <w:p w14:paraId="13AA41CE" w14:textId="77777777" w:rsidR="00433FEE" w:rsidRDefault="00433FEE" w:rsidP="0084193C">
      <w:pPr>
        <w:spacing w:line="240" w:lineRule="auto"/>
      </w:pPr>
      <w:r>
        <w:continuationSeparator/>
      </w:r>
    </w:p>
  </w:footnote>
  <w:footnote w:id="1">
    <w:p w14:paraId="77097F07" w14:textId="77777777" w:rsidR="0084193C" w:rsidRPr="00BB19F1" w:rsidRDefault="0084193C" w:rsidP="0084193C">
      <w:pPr>
        <w:spacing w:after="160" w:line="259" w:lineRule="auto"/>
        <w:jc w:val="both"/>
        <w:rPr>
          <w:rFonts w:ascii="Gill Sans MT" w:eastAsia="Merriweather" w:hAnsi="Gill Sans MT" w:cs="Merriweather"/>
          <w:sz w:val="18"/>
          <w:szCs w:val="18"/>
        </w:rPr>
      </w:pPr>
      <w:r w:rsidRPr="00BB19F1">
        <w:rPr>
          <w:rFonts w:ascii="Gill Sans MT" w:hAnsi="Gill Sans MT"/>
          <w:vertAlign w:val="superscript"/>
        </w:rPr>
        <w:footnoteRef/>
      </w:r>
      <w:r w:rsidRPr="00BB19F1">
        <w:rPr>
          <w:rFonts w:ascii="Gill Sans MT" w:eastAsia="Merriweather" w:hAnsi="Gill Sans MT" w:cs="Merriweather"/>
          <w:sz w:val="18"/>
          <w:szCs w:val="18"/>
        </w:rPr>
        <w:t xml:space="preserve"> Public Defender of Georgia, </w:t>
      </w:r>
      <w:r w:rsidRPr="00BB19F1">
        <w:rPr>
          <w:rFonts w:ascii="Gill Sans MT" w:eastAsia="Merriweather" w:hAnsi="Gill Sans MT" w:cs="Merriweather"/>
          <w:i/>
          <w:iCs/>
          <w:sz w:val="18"/>
          <w:szCs w:val="18"/>
        </w:rPr>
        <w:t>Report On the Situation of Protection of Human Rights and Freedoms in Georgia,</w:t>
      </w:r>
      <w:r w:rsidRPr="00BB19F1">
        <w:rPr>
          <w:rFonts w:ascii="Gill Sans MT" w:eastAsia="Merriweather" w:hAnsi="Gill Sans MT" w:cs="Merriweather"/>
          <w:sz w:val="18"/>
          <w:szCs w:val="18"/>
        </w:rPr>
        <w:t xml:space="preserve"> 2024, p.161. </w:t>
      </w:r>
      <w:hyperlink r:id="rId1">
        <w:r w:rsidRPr="00BB19F1">
          <w:rPr>
            <w:rFonts w:ascii="Gill Sans MT" w:eastAsia="Merriweather" w:hAnsi="Gill Sans MT" w:cs="Merriweather"/>
            <w:color w:val="1155CC"/>
            <w:sz w:val="18"/>
            <w:szCs w:val="18"/>
            <w:u w:val="single"/>
          </w:rPr>
          <w:t>https://www.ombudsman.ge/res/docs/2025091211433999093.pdf</w:t>
        </w:r>
      </w:hyperlink>
      <w:r w:rsidRPr="00BB19F1">
        <w:rPr>
          <w:rFonts w:ascii="Gill Sans MT" w:eastAsia="Merriweather" w:hAnsi="Gill Sans MT" w:cs="Merriweather"/>
          <w:sz w:val="18"/>
          <w:szCs w:val="18"/>
        </w:rPr>
        <w:t xml:space="preserve"> </w:t>
      </w:r>
      <w:r w:rsidRPr="00BB19F1">
        <w:rPr>
          <w:rFonts w:ascii="Gill Sans MT" w:eastAsia="Merriweather" w:hAnsi="Gill Sans MT" w:cs="Merriweather"/>
          <w:sz w:val="20"/>
          <w:szCs w:val="20"/>
        </w:rPr>
        <w:t>[28.06.2026]</w:t>
      </w:r>
    </w:p>
  </w:footnote>
  <w:footnote w:id="2">
    <w:p w14:paraId="425B2E79" w14:textId="77777777" w:rsidR="0084193C" w:rsidRPr="00BB19F1" w:rsidRDefault="0084193C" w:rsidP="0084193C">
      <w:pPr>
        <w:spacing w:line="240" w:lineRule="auto"/>
        <w:jc w:val="both"/>
        <w:rPr>
          <w:rFonts w:ascii="Gill Sans MT" w:eastAsia="Merriweather" w:hAnsi="Gill Sans MT" w:cs="Merriweather"/>
          <w:sz w:val="18"/>
          <w:szCs w:val="18"/>
        </w:rPr>
      </w:pPr>
      <w:r w:rsidRPr="00BB19F1">
        <w:rPr>
          <w:rFonts w:ascii="Gill Sans MT" w:hAnsi="Gill Sans MT"/>
          <w:vertAlign w:val="superscript"/>
        </w:rPr>
        <w:footnoteRef/>
      </w:r>
      <w:r w:rsidRPr="00BB19F1">
        <w:rPr>
          <w:rFonts w:ascii="Gill Sans MT" w:eastAsia="Merriweather" w:hAnsi="Gill Sans MT" w:cs="Merriweather"/>
          <w:sz w:val="18"/>
          <w:szCs w:val="18"/>
        </w:rPr>
        <w:t xml:space="preserve"> Venice Commission, </w:t>
      </w:r>
      <w:r w:rsidRPr="00BB19F1">
        <w:rPr>
          <w:rFonts w:ascii="Gill Sans MT" w:eastAsia="Merriweather" w:hAnsi="Gill Sans MT" w:cs="Merriweather"/>
          <w:i/>
          <w:iCs/>
          <w:sz w:val="18"/>
          <w:szCs w:val="18"/>
        </w:rPr>
        <w:t>Urgent opinion on the Law on Transparency of Foreign Influence</w:t>
      </w:r>
      <w:r w:rsidRPr="00BB19F1">
        <w:rPr>
          <w:rFonts w:ascii="Gill Sans MT" w:eastAsia="Merriweather" w:hAnsi="Gill Sans MT" w:cs="Merriweather"/>
          <w:sz w:val="18"/>
          <w:szCs w:val="18"/>
        </w:rPr>
        <w:t xml:space="preserve">, 21 May 2024, para 98, 100. </w:t>
      </w:r>
      <w:hyperlink r:id="rId2">
        <w:r w:rsidRPr="00BB19F1">
          <w:rPr>
            <w:rFonts w:ascii="Gill Sans MT" w:eastAsia="Merriweather" w:hAnsi="Gill Sans MT" w:cs="Merriweather"/>
            <w:color w:val="1155CC"/>
            <w:sz w:val="18"/>
            <w:szCs w:val="18"/>
            <w:u w:val="single"/>
          </w:rPr>
          <w:t>https://www.venice.coe.int/webforms/documents/default.aspx?pdffile=CDL-PI(2024)013-e</w:t>
        </w:r>
      </w:hyperlink>
      <w:r w:rsidRPr="00BB19F1">
        <w:rPr>
          <w:rFonts w:ascii="Gill Sans MT" w:eastAsia="Merriweather" w:hAnsi="Gill Sans MT" w:cs="Merriweather"/>
          <w:sz w:val="18"/>
          <w:szCs w:val="18"/>
        </w:rPr>
        <w:t xml:space="preserve"> </w:t>
      </w:r>
      <w:r w:rsidRPr="00BB19F1">
        <w:rPr>
          <w:rFonts w:ascii="Gill Sans MT" w:eastAsia="Merriweather" w:hAnsi="Gill Sans MT" w:cs="Merriweather"/>
          <w:sz w:val="20"/>
          <w:szCs w:val="20"/>
        </w:rPr>
        <w:t>[28.06.2026]</w:t>
      </w:r>
    </w:p>
  </w:footnote>
  <w:footnote w:id="3">
    <w:p w14:paraId="3F12A668" w14:textId="77777777" w:rsidR="0084193C" w:rsidRPr="00BB19F1" w:rsidRDefault="0084193C" w:rsidP="0084193C">
      <w:pPr>
        <w:spacing w:line="240" w:lineRule="auto"/>
        <w:jc w:val="both"/>
        <w:rPr>
          <w:rFonts w:ascii="Gill Sans MT" w:eastAsia="Merriweather" w:hAnsi="Gill Sans MT" w:cs="Merriweather"/>
          <w:sz w:val="18"/>
          <w:szCs w:val="18"/>
        </w:rPr>
      </w:pPr>
      <w:r w:rsidRPr="00BB19F1">
        <w:rPr>
          <w:rFonts w:ascii="Gill Sans MT" w:hAnsi="Gill Sans MT"/>
          <w:vertAlign w:val="superscript"/>
        </w:rPr>
        <w:footnoteRef/>
      </w:r>
      <w:r w:rsidRPr="00BB19F1">
        <w:rPr>
          <w:rFonts w:ascii="Gill Sans MT" w:eastAsia="Merriweather" w:hAnsi="Gill Sans MT" w:cs="Merriweather"/>
          <w:sz w:val="18"/>
          <w:szCs w:val="18"/>
        </w:rPr>
        <w:t xml:space="preserve"> OSCE Office for Democratic Institutions and Human Rights - </w:t>
      </w:r>
      <w:r w:rsidRPr="00BB19F1">
        <w:rPr>
          <w:rFonts w:ascii="Gill Sans MT" w:eastAsia="Merriweather" w:hAnsi="Gill Sans MT" w:cs="Merriweather"/>
          <w:i/>
          <w:iCs/>
          <w:sz w:val="18"/>
          <w:szCs w:val="18"/>
        </w:rPr>
        <w:t>Urgent opinion on the Law  of Georgia “On Transparency of Foreign Influence”</w:t>
      </w:r>
      <w:r w:rsidRPr="00BB19F1">
        <w:rPr>
          <w:rFonts w:ascii="Gill Sans MT" w:eastAsia="Merriweather" w:hAnsi="Gill Sans MT" w:cs="Merriweather"/>
          <w:sz w:val="18"/>
          <w:szCs w:val="18"/>
        </w:rPr>
        <w:t xml:space="preserve">, 30 May 2024. </w:t>
      </w:r>
      <w:hyperlink r:id="rId3">
        <w:r w:rsidRPr="00BB19F1">
          <w:rPr>
            <w:rFonts w:ascii="Gill Sans MT" w:eastAsia="Merriweather" w:hAnsi="Gill Sans MT" w:cs="Merriweather"/>
            <w:color w:val="1155CC"/>
            <w:sz w:val="18"/>
            <w:szCs w:val="18"/>
            <w:u w:val="single"/>
          </w:rPr>
          <w:t>https://www.osce.org/files/f/documents/b/d/569922.pdf</w:t>
        </w:r>
      </w:hyperlink>
      <w:r w:rsidRPr="00BB19F1">
        <w:rPr>
          <w:rFonts w:ascii="Gill Sans MT" w:eastAsia="Merriweather" w:hAnsi="Gill Sans MT" w:cs="Merriweather"/>
          <w:sz w:val="18"/>
          <w:szCs w:val="18"/>
        </w:rPr>
        <w:t xml:space="preserve"> </w:t>
      </w:r>
      <w:r w:rsidRPr="00BB19F1">
        <w:rPr>
          <w:rFonts w:ascii="Gill Sans MT" w:eastAsia="Merriweather" w:hAnsi="Gill Sans MT" w:cs="Merriweather"/>
          <w:sz w:val="20"/>
          <w:szCs w:val="20"/>
        </w:rPr>
        <w:t>[28.06.2026]</w:t>
      </w:r>
    </w:p>
  </w:footnote>
  <w:footnote w:id="4">
    <w:p w14:paraId="4986C470" w14:textId="77777777" w:rsidR="0084193C" w:rsidRPr="00BB19F1" w:rsidRDefault="0084193C" w:rsidP="0084193C">
      <w:pPr>
        <w:spacing w:line="240" w:lineRule="auto"/>
        <w:jc w:val="both"/>
        <w:rPr>
          <w:rFonts w:ascii="Gill Sans MT" w:eastAsia="Merriweather" w:hAnsi="Gill Sans MT" w:cs="Merriweather"/>
          <w:sz w:val="18"/>
          <w:szCs w:val="18"/>
        </w:rPr>
      </w:pPr>
      <w:r w:rsidRPr="00BB19F1">
        <w:rPr>
          <w:rFonts w:ascii="Gill Sans MT" w:hAnsi="Gill Sans MT"/>
          <w:vertAlign w:val="superscript"/>
        </w:rPr>
        <w:footnoteRef/>
      </w:r>
      <w:r w:rsidRPr="00BB19F1">
        <w:rPr>
          <w:rFonts w:ascii="Gill Sans MT" w:eastAsia="Merriweather" w:hAnsi="Gill Sans MT" w:cs="Merriweather"/>
          <w:sz w:val="18"/>
          <w:szCs w:val="18"/>
        </w:rPr>
        <w:t xml:space="preserve"> Social Justice Center, </w:t>
      </w:r>
      <w:r w:rsidRPr="00BB19F1">
        <w:rPr>
          <w:rFonts w:ascii="Gill Sans MT" w:eastAsia="Merriweather" w:hAnsi="Gill Sans MT" w:cs="Merriweather"/>
          <w:i/>
          <w:iCs/>
          <w:sz w:val="18"/>
          <w:szCs w:val="18"/>
        </w:rPr>
        <w:t>FARA Does Not Apply to Civil Society and Media Organizations</w:t>
      </w:r>
      <w:r w:rsidRPr="00BB19F1">
        <w:rPr>
          <w:rFonts w:ascii="Gill Sans MT" w:eastAsia="Merriweather" w:hAnsi="Gill Sans MT" w:cs="Merriweather"/>
          <w:sz w:val="18"/>
          <w:szCs w:val="18"/>
        </w:rPr>
        <w:t xml:space="preserve">, 09 March 2025. </w:t>
      </w:r>
      <w:hyperlink r:id="rId4">
        <w:r w:rsidRPr="00BB19F1">
          <w:rPr>
            <w:rFonts w:ascii="Gill Sans MT" w:eastAsia="Merriweather" w:hAnsi="Gill Sans MT" w:cs="Merriweather"/>
            <w:color w:val="1155CC"/>
            <w:sz w:val="18"/>
            <w:szCs w:val="18"/>
            <w:u w:val="single"/>
          </w:rPr>
          <w:t>https://socialjustice.org.ge/en/products/ratom-ar-vrtseldeba-fara-sinamdvileshi-samokalako-da-media-organizatsiebze-ashsh-shi</w:t>
        </w:r>
      </w:hyperlink>
      <w:r w:rsidRPr="00BB19F1">
        <w:rPr>
          <w:rFonts w:ascii="Gill Sans MT" w:eastAsia="Merriweather" w:hAnsi="Gill Sans MT" w:cs="Merriweather"/>
          <w:sz w:val="18"/>
          <w:szCs w:val="18"/>
        </w:rPr>
        <w:t xml:space="preserve"> </w:t>
      </w:r>
      <w:r w:rsidRPr="00BB19F1">
        <w:rPr>
          <w:rFonts w:ascii="Gill Sans MT" w:eastAsia="Merriweather" w:hAnsi="Gill Sans MT" w:cs="Merriweather"/>
          <w:sz w:val="20"/>
          <w:szCs w:val="20"/>
        </w:rPr>
        <w:t>[28.06.2026]</w:t>
      </w:r>
    </w:p>
  </w:footnote>
  <w:footnote w:id="5">
    <w:p w14:paraId="522AE2AA" w14:textId="77777777" w:rsidR="0084193C" w:rsidRPr="00BB19F1" w:rsidRDefault="0084193C" w:rsidP="0084193C">
      <w:pPr>
        <w:spacing w:line="240" w:lineRule="auto"/>
        <w:jc w:val="both"/>
        <w:rPr>
          <w:rFonts w:ascii="Gill Sans MT" w:eastAsia="Merriweather" w:hAnsi="Gill Sans MT" w:cs="Merriweather"/>
          <w:sz w:val="18"/>
          <w:szCs w:val="18"/>
        </w:rPr>
      </w:pPr>
      <w:r w:rsidRPr="00BB19F1">
        <w:rPr>
          <w:rFonts w:ascii="Gill Sans MT" w:hAnsi="Gill Sans MT"/>
          <w:vertAlign w:val="superscript"/>
        </w:rPr>
        <w:footnoteRef/>
      </w:r>
      <w:r w:rsidRPr="00BB19F1">
        <w:rPr>
          <w:rFonts w:ascii="Gill Sans MT" w:eastAsia="Merriweather" w:hAnsi="Gill Sans MT" w:cs="Merriweather"/>
          <w:sz w:val="18"/>
          <w:szCs w:val="18"/>
        </w:rPr>
        <w:t xml:space="preserve"> Venice  Commission, </w:t>
      </w:r>
      <w:r w:rsidRPr="00BB19F1">
        <w:rPr>
          <w:rFonts w:ascii="Gill Sans MT" w:eastAsia="Merriweather" w:hAnsi="Gill Sans MT" w:cs="Merriweather"/>
          <w:i/>
          <w:iCs/>
          <w:sz w:val="18"/>
          <w:szCs w:val="18"/>
        </w:rPr>
        <w:t>Opinion On The Law On The Registration Of Foreign Agents, The Amendments To The Law On Grants And Other Laws Relating To “Foreign Influence”</w:t>
      </w:r>
      <w:r w:rsidRPr="00BB19F1">
        <w:rPr>
          <w:rFonts w:ascii="Gill Sans MT" w:eastAsia="Merriweather" w:hAnsi="Gill Sans MT" w:cs="Merriweather"/>
          <w:sz w:val="18"/>
          <w:szCs w:val="18"/>
        </w:rPr>
        <w:t xml:space="preserve">, Strasbourg, 15 October 2025, para 114-117. </w:t>
      </w:r>
      <w:hyperlink r:id="rId5">
        <w:r w:rsidRPr="00BB19F1">
          <w:rPr>
            <w:rFonts w:ascii="Gill Sans MT" w:eastAsia="Merriweather" w:hAnsi="Gill Sans MT" w:cs="Merriweather"/>
            <w:color w:val="1155CC"/>
            <w:sz w:val="18"/>
            <w:szCs w:val="18"/>
            <w:u w:val="single"/>
          </w:rPr>
          <w:t>https://www.venice.coe.int/webforms/documents/default.aspx?pdffile=CDL-AD(2025)034-e</w:t>
        </w:r>
      </w:hyperlink>
      <w:r w:rsidRPr="00BB19F1">
        <w:rPr>
          <w:rFonts w:ascii="Gill Sans MT" w:eastAsia="Merriweather" w:hAnsi="Gill Sans MT" w:cs="Merriweather"/>
          <w:sz w:val="18"/>
          <w:szCs w:val="18"/>
        </w:rPr>
        <w:t xml:space="preserve"> </w:t>
      </w:r>
      <w:r w:rsidRPr="00BB19F1">
        <w:rPr>
          <w:rFonts w:ascii="Gill Sans MT" w:eastAsia="Merriweather" w:hAnsi="Gill Sans MT" w:cs="Merriweather"/>
          <w:sz w:val="20"/>
          <w:szCs w:val="20"/>
        </w:rPr>
        <w:t>[28.06.2026]</w:t>
      </w:r>
    </w:p>
  </w:footnote>
  <w:footnote w:id="6">
    <w:p w14:paraId="524675C3" w14:textId="77777777" w:rsidR="0084193C" w:rsidRDefault="0084193C" w:rsidP="0084193C">
      <w:pPr>
        <w:spacing w:line="240" w:lineRule="auto"/>
        <w:jc w:val="both"/>
        <w:rPr>
          <w:rFonts w:ascii="Merriweather" w:eastAsia="Merriweather" w:hAnsi="Merriweather" w:cs="Merriweather"/>
          <w:sz w:val="18"/>
          <w:szCs w:val="18"/>
        </w:rPr>
      </w:pPr>
      <w:r w:rsidRPr="00BB19F1">
        <w:rPr>
          <w:rFonts w:ascii="Gill Sans MT" w:hAnsi="Gill Sans MT"/>
          <w:vertAlign w:val="superscript"/>
        </w:rPr>
        <w:footnoteRef/>
      </w:r>
      <w:r w:rsidRPr="00BB19F1">
        <w:rPr>
          <w:rFonts w:ascii="Gill Sans MT" w:eastAsia="Merriweather" w:hAnsi="Gill Sans MT" w:cs="Merriweather"/>
          <w:sz w:val="18"/>
          <w:szCs w:val="18"/>
        </w:rPr>
        <w:t xml:space="preserve"> Social Justice Center, </w:t>
      </w:r>
      <w:r w:rsidRPr="00BB19F1">
        <w:rPr>
          <w:rFonts w:ascii="Gill Sans MT" w:eastAsia="Merriweather" w:hAnsi="Gill Sans MT" w:cs="Merriweather"/>
          <w:i/>
          <w:iCs/>
          <w:sz w:val="18"/>
          <w:szCs w:val="18"/>
        </w:rPr>
        <w:t>“Georgian Dream” Is Effectively Destroying Political Freedoms — An Analysis of the Planned Amendments to the Law on Grants and Other Legislation</w:t>
      </w:r>
      <w:r w:rsidRPr="00BB19F1">
        <w:rPr>
          <w:rFonts w:ascii="Gill Sans MT" w:eastAsia="Merriweather" w:hAnsi="Gill Sans MT" w:cs="Merriweather"/>
          <w:sz w:val="18"/>
          <w:szCs w:val="18"/>
        </w:rPr>
        <w:t xml:space="preserve">, 02 February 2026. </w:t>
      </w:r>
      <w:hyperlink r:id="rId6">
        <w:r w:rsidRPr="00BB19F1">
          <w:rPr>
            <w:rFonts w:ascii="Gill Sans MT" w:eastAsia="Merriweather" w:hAnsi="Gill Sans MT" w:cs="Merriweather"/>
            <w:color w:val="1155CC"/>
            <w:sz w:val="18"/>
            <w:szCs w:val="18"/>
            <w:u w:val="single"/>
          </w:rPr>
          <w:t>https://socialjustice.org.ge/en/products/kartuli-otsneba-praktikulad-anadgurebs-politikur-tavisuflebebs-grantebis-shesakheb-kanonisa-da-skhva-sakanonmdeblo-aktebshi-dagegmili-tsvlilebebis-analizi</w:t>
        </w:r>
      </w:hyperlink>
      <w:r w:rsidRPr="00BB19F1">
        <w:rPr>
          <w:rFonts w:ascii="Gill Sans MT" w:eastAsia="Merriweather" w:hAnsi="Gill Sans MT" w:cs="Merriweather"/>
          <w:sz w:val="18"/>
          <w:szCs w:val="18"/>
        </w:rPr>
        <w:t xml:space="preserve"> </w:t>
      </w:r>
      <w:r w:rsidRPr="00BB19F1">
        <w:rPr>
          <w:rFonts w:ascii="Gill Sans MT" w:eastAsia="Merriweather" w:hAnsi="Gill Sans MT" w:cs="Merriweather"/>
          <w:sz w:val="20"/>
          <w:szCs w:val="20"/>
        </w:rPr>
        <w:t>[27.06.2026]</w:t>
      </w:r>
    </w:p>
  </w:footnote>
  <w:footnote w:id="7">
    <w:p w14:paraId="7420AA28" w14:textId="77777777" w:rsidR="0084193C" w:rsidRPr="004902A7" w:rsidRDefault="0084193C" w:rsidP="0084193C">
      <w:pPr>
        <w:spacing w:line="240" w:lineRule="auto"/>
        <w:jc w:val="both"/>
        <w:rPr>
          <w:rFonts w:ascii="Gill Sans MT" w:eastAsia="Merriweather" w:hAnsi="Gill Sans MT" w:cs="Merriweather"/>
          <w:sz w:val="18"/>
          <w:szCs w:val="18"/>
        </w:rPr>
      </w:pPr>
      <w:r w:rsidRPr="004902A7">
        <w:rPr>
          <w:rFonts w:ascii="Gill Sans MT" w:hAnsi="Gill Sans MT"/>
          <w:vertAlign w:val="superscript"/>
        </w:rPr>
        <w:footnoteRef/>
      </w:r>
      <w:r w:rsidRPr="004902A7">
        <w:rPr>
          <w:rFonts w:ascii="Gill Sans MT" w:eastAsia="Merriweather" w:hAnsi="Gill Sans MT" w:cs="Merriweather"/>
          <w:sz w:val="18"/>
          <w:szCs w:val="18"/>
        </w:rPr>
        <w:t xml:space="preserve"> ECtHR, </w:t>
      </w:r>
      <w:r w:rsidRPr="004902A7">
        <w:rPr>
          <w:rFonts w:ascii="Gill Sans MT" w:eastAsia="Merriweather" w:hAnsi="Gill Sans MT" w:cs="Merriweather"/>
          <w:i/>
          <w:iCs/>
          <w:sz w:val="18"/>
          <w:szCs w:val="18"/>
        </w:rPr>
        <w:t>Gorzelik and Others v. Poland</w:t>
      </w:r>
      <w:r w:rsidRPr="004902A7">
        <w:rPr>
          <w:rFonts w:ascii="Gill Sans MT" w:eastAsia="Merriweather" w:hAnsi="Gill Sans MT" w:cs="Merriweather"/>
          <w:sz w:val="18"/>
          <w:szCs w:val="18"/>
        </w:rPr>
        <w:t xml:space="preserve">, Application no. 44158/98, Judgment of 17 February 2004, para. 88 </w:t>
      </w:r>
    </w:p>
  </w:footnote>
  <w:footnote w:id="8">
    <w:p w14:paraId="242CA516" w14:textId="77777777" w:rsidR="0084193C" w:rsidRDefault="0084193C" w:rsidP="0084193C">
      <w:pPr>
        <w:spacing w:line="240" w:lineRule="auto"/>
        <w:jc w:val="both"/>
        <w:rPr>
          <w:sz w:val="18"/>
          <w:szCs w:val="18"/>
        </w:rPr>
      </w:pPr>
      <w:r w:rsidRPr="004902A7">
        <w:rPr>
          <w:rFonts w:ascii="Gill Sans MT" w:hAnsi="Gill Sans MT"/>
          <w:vertAlign w:val="superscript"/>
        </w:rPr>
        <w:footnoteRef/>
      </w:r>
      <w:r w:rsidRPr="004902A7">
        <w:rPr>
          <w:rFonts w:ascii="Gill Sans MT" w:eastAsia="Merriweather" w:hAnsi="Gill Sans MT" w:cs="Merriweather"/>
          <w:sz w:val="18"/>
          <w:szCs w:val="18"/>
        </w:rPr>
        <w:t xml:space="preserve"> United Nations General Assembly, 7 August 2013,  </w:t>
      </w:r>
      <w:r w:rsidRPr="004902A7">
        <w:rPr>
          <w:rFonts w:ascii="Gill Sans MT" w:eastAsia="Merriweather" w:hAnsi="Gill Sans MT" w:cs="Merriweather"/>
          <w:i/>
          <w:iCs/>
          <w:sz w:val="18"/>
          <w:szCs w:val="18"/>
        </w:rPr>
        <w:t>Rights to freedom of peaceful assembly and of association: Note by the Secretary-General,</w:t>
      </w:r>
      <w:r w:rsidRPr="004902A7">
        <w:rPr>
          <w:rFonts w:ascii="Gill Sans MT" w:eastAsia="Merriweather" w:hAnsi="Gill Sans MT" w:cs="Merriweather"/>
          <w:sz w:val="18"/>
          <w:szCs w:val="18"/>
        </w:rPr>
        <w:t xml:space="preserve"> (A/68/299), par. 43.  </w:t>
      </w:r>
      <w:hyperlink r:id="rId7">
        <w:r w:rsidRPr="004902A7">
          <w:rPr>
            <w:rFonts w:ascii="Gill Sans MT" w:eastAsia="Merriweather" w:hAnsi="Gill Sans MT" w:cs="Merriweather"/>
            <w:color w:val="1155CC"/>
            <w:sz w:val="18"/>
            <w:szCs w:val="18"/>
            <w:u w:val="single"/>
          </w:rPr>
          <w:t>https://docs.un.org/en/A/68/299</w:t>
        </w:r>
      </w:hyperlink>
      <w:r w:rsidRPr="004902A7">
        <w:rPr>
          <w:rFonts w:ascii="Gill Sans MT" w:eastAsia="Merriweather" w:hAnsi="Gill Sans MT" w:cs="Merriweather"/>
          <w:sz w:val="18"/>
          <w:szCs w:val="18"/>
        </w:rPr>
        <w:t xml:space="preserve"> [27.06.2026]</w:t>
      </w:r>
    </w:p>
  </w:footnote>
  <w:footnote w:id="9">
    <w:p w14:paraId="5FC60DD7" w14:textId="77777777" w:rsidR="0084193C" w:rsidRPr="00BB19F1" w:rsidRDefault="0084193C" w:rsidP="0084193C">
      <w:pPr>
        <w:spacing w:line="240" w:lineRule="auto"/>
        <w:jc w:val="both"/>
        <w:rPr>
          <w:rFonts w:ascii="Gill Sans MT" w:eastAsia="Merriweather" w:hAnsi="Gill Sans MT" w:cs="Merriweather"/>
          <w:sz w:val="18"/>
          <w:szCs w:val="18"/>
        </w:rPr>
      </w:pPr>
      <w:r>
        <w:rPr>
          <w:vertAlign w:val="superscript"/>
        </w:rPr>
        <w:footnoteRef/>
      </w:r>
      <w:r>
        <w:rPr>
          <w:rFonts w:ascii="Merriweather" w:eastAsia="Merriweather" w:hAnsi="Merriweather" w:cs="Merriweather"/>
          <w:sz w:val="18"/>
          <w:szCs w:val="18"/>
        </w:rPr>
        <w:t xml:space="preserve"> </w:t>
      </w:r>
      <w:r w:rsidRPr="00BB19F1">
        <w:rPr>
          <w:rFonts w:ascii="Gill Sans MT" w:eastAsia="Merriweather" w:hAnsi="Gill Sans MT" w:cs="Merriweather"/>
          <w:sz w:val="18"/>
          <w:szCs w:val="18"/>
        </w:rPr>
        <w:t xml:space="preserve">UN Human Rights Council, </w:t>
      </w:r>
      <w:r w:rsidRPr="00BB19F1">
        <w:rPr>
          <w:rFonts w:ascii="Gill Sans MT" w:eastAsia="Merriweather" w:hAnsi="Gill Sans MT" w:cs="Merriweather"/>
          <w:i/>
          <w:iCs/>
          <w:sz w:val="18"/>
          <w:szCs w:val="18"/>
        </w:rPr>
        <w:t>Resolution 24/5: The rights to freedom of peaceful assembly and of association</w:t>
      </w:r>
      <w:r w:rsidRPr="00BB19F1">
        <w:rPr>
          <w:rFonts w:ascii="Gill Sans MT" w:eastAsia="Merriweather" w:hAnsi="Gill Sans MT" w:cs="Merriweather"/>
          <w:sz w:val="18"/>
          <w:szCs w:val="18"/>
        </w:rPr>
        <w:t xml:space="preserve">, UN Doc. A/HRC/RES/24/5 (8 October 2013), </w:t>
      </w:r>
      <w:hyperlink r:id="rId8">
        <w:r w:rsidRPr="00BB19F1">
          <w:rPr>
            <w:rFonts w:ascii="Gill Sans MT" w:eastAsia="Merriweather" w:hAnsi="Gill Sans MT" w:cs="Merriweather"/>
            <w:color w:val="1155CC"/>
            <w:sz w:val="18"/>
            <w:szCs w:val="18"/>
            <w:u w:val="single"/>
          </w:rPr>
          <w:t>https://freeassembly.net/wp-content/uploads/2013/08/A-HRC-RES-24-5-ENG.pdf</w:t>
        </w:r>
      </w:hyperlink>
      <w:r w:rsidRPr="00BB19F1">
        <w:rPr>
          <w:rFonts w:ascii="Gill Sans MT" w:eastAsia="Merriweather" w:hAnsi="Gill Sans MT" w:cs="Merriweather"/>
          <w:sz w:val="18"/>
          <w:szCs w:val="18"/>
        </w:rPr>
        <w:t xml:space="preserve"> [28.06.2026]</w:t>
      </w:r>
    </w:p>
  </w:footnote>
  <w:footnote w:id="10">
    <w:p w14:paraId="4C0DCA92" w14:textId="77777777" w:rsidR="0084193C" w:rsidRPr="00BB19F1" w:rsidRDefault="0084193C" w:rsidP="0084193C">
      <w:pPr>
        <w:spacing w:line="240" w:lineRule="auto"/>
        <w:jc w:val="both"/>
        <w:rPr>
          <w:rFonts w:ascii="Gill Sans MT" w:eastAsia="Merriweather" w:hAnsi="Gill Sans MT" w:cs="Merriweather"/>
          <w:sz w:val="18"/>
          <w:szCs w:val="18"/>
        </w:rPr>
      </w:pPr>
      <w:r w:rsidRPr="00BB19F1">
        <w:rPr>
          <w:rFonts w:ascii="Gill Sans MT" w:hAnsi="Gill Sans MT"/>
          <w:vertAlign w:val="superscript"/>
        </w:rPr>
        <w:footnoteRef/>
      </w:r>
      <w:r w:rsidRPr="00BB19F1">
        <w:rPr>
          <w:rFonts w:ascii="Gill Sans MT" w:eastAsia="Merriweather" w:hAnsi="Gill Sans MT" w:cs="Merriweather"/>
          <w:sz w:val="18"/>
          <w:szCs w:val="18"/>
        </w:rPr>
        <w:t xml:space="preserve"> European Commission for Democracy Through Law (Venice Commission), </w:t>
      </w:r>
      <w:r w:rsidRPr="00BB19F1">
        <w:rPr>
          <w:rFonts w:ascii="Gill Sans MT" w:eastAsia="Merriweather" w:hAnsi="Gill Sans MT" w:cs="Merriweather"/>
          <w:i/>
          <w:iCs/>
          <w:sz w:val="18"/>
          <w:szCs w:val="18"/>
        </w:rPr>
        <w:t>Report on Election Observers as Human Rights Defenders</w:t>
      </w:r>
      <w:r w:rsidRPr="00BB19F1">
        <w:rPr>
          <w:rFonts w:ascii="Gill Sans MT" w:eastAsia="Merriweather" w:hAnsi="Gill Sans MT" w:cs="Merriweather"/>
          <w:sz w:val="18"/>
          <w:szCs w:val="18"/>
        </w:rPr>
        <w:t xml:space="preserve">, CDL-AD(2024)039 (11 December 2024). para 108. </w:t>
      </w:r>
      <w:hyperlink r:id="rId9">
        <w:r w:rsidRPr="00BB19F1">
          <w:rPr>
            <w:rFonts w:ascii="Gill Sans MT" w:eastAsia="Merriweather" w:hAnsi="Gill Sans MT" w:cs="Merriweather"/>
            <w:color w:val="1155CC"/>
            <w:sz w:val="18"/>
            <w:szCs w:val="18"/>
            <w:u w:val="single"/>
          </w:rPr>
          <w:t>https://www.coe.int/en/web/venice-commission/-/cdl-ad-2024-039-e</w:t>
        </w:r>
      </w:hyperlink>
      <w:r w:rsidRPr="00BB19F1">
        <w:rPr>
          <w:rFonts w:ascii="Gill Sans MT" w:eastAsia="Merriweather" w:hAnsi="Gill Sans MT" w:cs="Merriweather"/>
          <w:sz w:val="18"/>
          <w:szCs w:val="18"/>
        </w:rPr>
        <w:t xml:space="preserve"> [28.06.2026] </w:t>
      </w:r>
    </w:p>
  </w:footnote>
  <w:footnote w:id="11">
    <w:p w14:paraId="4821183B" w14:textId="77777777" w:rsidR="0084193C" w:rsidRPr="00BB19F1" w:rsidRDefault="0084193C" w:rsidP="0084193C">
      <w:pPr>
        <w:spacing w:line="240" w:lineRule="auto"/>
        <w:jc w:val="both"/>
        <w:rPr>
          <w:rFonts w:ascii="Gill Sans MT" w:eastAsia="Merriweather" w:hAnsi="Gill Sans MT" w:cs="Merriweather"/>
          <w:sz w:val="18"/>
          <w:szCs w:val="18"/>
        </w:rPr>
      </w:pPr>
      <w:r w:rsidRPr="00BB19F1">
        <w:rPr>
          <w:rFonts w:ascii="Gill Sans MT" w:hAnsi="Gill Sans MT"/>
          <w:vertAlign w:val="superscript"/>
        </w:rPr>
        <w:footnoteRef/>
      </w:r>
      <w:r w:rsidRPr="00BB19F1">
        <w:rPr>
          <w:rFonts w:ascii="Gill Sans MT" w:eastAsia="Merriweather" w:hAnsi="Gill Sans MT" w:cs="Merriweather"/>
          <w:sz w:val="18"/>
          <w:szCs w:val="18"/>
        </w:rPr>
        <w:t xml:space="preserve"> Committee of Ministers, </w:t>
      </w:r>
      <w:r w:rsidRPr="00BB19F1">
        <w:rPr>
          <w:rFonts w:ascii="Gill Sans MT" w:eastAsia="Merriweather" w:hAnsi="Gill Sans MT" w:cs="Merriweather"/>
          <w:i/>
          <w:iCs/>
          <w:sz w:val="18"/>
          <w:szCs w:val="18"/>
        </w:rPr>
        <w:t xml:space="preserve">Recommendation CM/Rec(2018)11 of the Committee of Ministers to member States on the need to strengthen the protection and promotion of civil society space in Europe, </w:t>
      </w:r>
      <w:r w:rsidRPr="00BB19F1">
        <w:rPr>
          <w:rFonts w:ascii="Gill Sans MT" w:eastAsia="Merriweather" w:hAnsi="Gill Sans MT" w:cs="Merriweather"/>
          <w:sz w:val="18"/>
          <w:szCs w:val="18"/>
        </w:rPr>
        <w:t xml:space="preserve">CM/Rec(2018)11, (28 November 2018), </w:t>
      </w:r>
      <w:hyperlink r:id="rId10">
        <w:r w:rsidRPr="00BB19F1">
          <w:rPr>
            <w:rFonts w:ascii="Gill Sans MT" w:eastAsia="Merriweather" w:hAnsi="Gill Sans MT" w:cs="Merriweather"/>
            <w:color w:val="1155CC"/>
            <w:sz w:val="18"/>
            <w:szCs w:val="18"/>
            <w:u w:val="single"/>
          </w:rPr>
          <w:t>https://rm.coe.int/recommendation-cmrec-2018-11-civic-space/168097e937</w:t>
        </w:r>
      </w:hyperlink>
      <w:r w:rsidRPr="00BB19F1">
        <w:rPr>
          <w:rFonts w:ascii="Gill Sans MT" w:eastAsia="Merriweather" w:hAnsi="Gill Sans MT" w:cs="Merriweather"/>
          <w:sz w:val="18"/>
          <w:szCs w:val="18"/>
        </w:rPr>
        <w:t xml:space="preserve"> [28.06.2026] </w:t>
      </w:r>
    </w:p>
  </w:footnote>
  <w:footnote w:id="12">
    <w:p w14:paraId="38AB7D6E" w14:textId="77777777" w:rsidR="0084193C" w:rsidRPr="00BB19F1" w:rsidRDefault="0084193C" w:rsidP="0084193C">
      <w:pPr>
        <w:spacing w:line="240" w:lineRule="auto"/>
        <w:jc w:val="both"/>
        <w:rPr>
          <w:rFonts w:ascii="Gill Sans MT" w:eastAsia="Merriweather" w:hAnsi="Gill Sans MT" w:cs="Merriweather"/>
          <w:sz w:val="18"/>
          <w:szCs w:val="18"/>
        </w:rPr>
      </w:pPr>
      <w:r w:rsidRPr="00BB19F1">
        <w:rPr>
          <w:rFonts w:ascii="Gill Sans MT" w:hAnsi="Gill Sans MT"/>
          <w:vertAlign w:val="superscript"/>
        </w:rPr>
        <w:footnoteRef/>
      </w:r>
      <w:r w:rsidRPr="00BB19F1">
        <w:rPr>
          <w:rFonts w:ascii="Gill Sans MT" w:eastAsia="Merriweather" w:hAnsi="Gill Sans MT" w:cs="Merriweather"/>
          <w:sz w:val="18"/>
          <w:szCs w:val="18"/>
        </w:rPr>
        <w:t xml:space="preserve"> OSCE/ODIHR, </w:t>
      </w:r>
      <w:r w:rsidRPr="00BB19F1">
        <w:rPr>
          <w:rFonts w:ascii="Gill Sans MT" w:eastAsia="Merriweather" w:hAnsi="Gill Sans MT" w:cs="Merriweather"/>
          <w:i/>
          <w:iCs/>
          <w:sz w:val="18"/>
          <w:szCs w:val="18"/>
        </w:rPr>
        <w:t>Guidelines on Freedom of Association</w:t>
      </w:r>
      <w:r w:rsidRPr="00BB19F1">
        <w:rPr>
          <w:rFonts w:ascii="Gill Sans MT" w:eastAsia="Merriweather" w:hAnsi="Gill Sans MT" w:cs="Merriweather"/>
          <w:sz w:val="18"/>
          <w:szCs w:val="18"/>
        </w:rPr>
        <w:t xml:space="preserve">, 2015, para 218, </w:t>
      </w:r>
      <w:hyperlink r:id="rId11">
        <w:r w:rsidRPr="00BB19F1">
          <w:rPr>
            <w:rFonts w:ascii="Gill Sans MT" w:eastAsia="Merriweather" w:hAnsi="Gill Sans MT" w:cs="Merriweather"/>
            <w:color w:val="1155CC"/>
            <w:sz w:val="18"/>
            <w:szCs w:val="18"/>
            <w:u w:val="single"/>
          </w:rPr>
          <w:t>https://odihr.osce.org/sites/default/files/f/documents/3/b/132371.pdf</w:t>
        </w:r>
      </w:hyperlink>
      <w:r w:rsidRPr="00BB19F1">
        <w:rPr>
          <w:rFonts w:ascii="Gill Sans MT" w:eastAsia="Merriweather" w:hAnsi="Gill Sans MT" w:cs="Merriweather"/>
          <w:sz w:val="18"/>
          <w:szCs w:val="18"/>
        </w:rPr>
        <w:t xml:space="preserve"> [28..06.2026]</w:t>
      </w:r>
    </w:p>
  </w:footnote>
  <w:footnote w:id="13">
    <w:p w14:paraId="25F7B151" w14:textId="77777777" w:rsidR="0084193C" w:rsidRPr="00BB19F1" w:rsidRDefault="0084193C" w:rsidP="0084193C">
      <w:pPr>
        <w:spacing w:line="240" w:lineRule="auto"/>
        <w:rPr>
          <w:rFonts w:ascii="Gill Sans MT" w:eastAsia="Merriweather" w:hAnsi="Gill Sans MT" w:cs="Merriweather"/>
          <w:sz w:val="18"/>
          <w:szCs w:val="18"/>
        </w:rPr>
      </w:pPr>
      <w:r w:rsidRPr="00BB19F1">
        <w:rPr>
          <w:rFonts w:ascii="Gill Sans MT" w:hAnsi="Gill Sans MT"/>
          <w:vertAlign w:val="superscript"/>
        </w:rPr>
        <w:footnoteRef/>
      </w:r>
      <w:r w:rsidRPr="00BB19F1">
        <w:rPr>
          <w:rFonts w:ascii="Gill Sans MT" w:eastAsia="Merriweather" w:hAnsi="Gill Sans MT" w:cs="Merriweather"/>
          <w:sz w:val="18"/>
          <w:szCs w:val="18"/>
        </w:rPr>
        <w:t xml:space="preserve"> Ibid. para 222.</w:t>
      </w:r>
    </w:p>
  </w:footnote>
  <w:footnote w:id="14">
    <w:p w14:paraId="2A5A276D" w14:textId="77777777" w:rsidR="0084193C" w:rsidRDefault="0084193C" w:rsidP="0084193C">
      <w:pPr>
        <w:spacing w:line="240" w:lineRule="auto"/>
        <w:jc w:val="both"/>
        <w:rPr>
          <w:rFonts w:ascii="Merriweather" w:eastAsia="Merriweather" w:hAnsi="Merriweather" w:cs="Merriweather"/>
          <w:sz w:val="18"/>
          <w:szCs w:val="18"/>
        </w:rPr>
      </w:pPr>
      <w:r w:rsidRPr="00BB19F1">
        <w:rPr>
          <w:rFonts w:ascii="Gill Sans MT" w:hAnsi="Gill Sans MT"/>
          <w:vertAlign w:val="superscript"/>
        </w:rPr>
        <w:footnoteRef/>
      </w:r>
      <w:r w:rsidRPr="00BB19F1">
        <w:rPr>
          <w:rFonts w:ascii="Gill Sans MT" w:eastAsia="Merriweather" w:hAnsi="Gill Sans MT" w:cs="Merriweather"/>
          <w:sz w:val="18"/>
          <w:szCs w:val="18"/>
        </w:rPr>
        <w:t xml:space="preserve"> UN Special Rapporteur on the rights to freedom of peaceful assembly and of association, Report to the UN Human Rights Council (Funding of associations and holding of peaceful assemblies), UN Doc. A/HRC/23/39, 24 April 2013, para 20. </w:t>
      </w:r>
      <w:hyperlink r:id="rId12">
        <w:r w:rsidRPr="00BB19F1">
          <w:rPr>
            <w:rFonts w:ascii="Gill Sans MT" w:eastAsia="Merriweather" w:hAnsi="Gill Sans MT" w:cs="Merriweather"/>
            <w:color w:val="1155CC"/>
            <w:sz w:val="18"/>
            <w:szCs w:val="18"/>
            <w:u w:val="single"/>
          </w:rPr>
          <w:t>https://freeassembly.net/wp-content/uploads/2013/04/A.HRC_.23.39_EN-funding-report-April-2013.pdf</w:t>
        </w:r>
      </w:hyperlink>
      <w:r w:rsidRPr="00BB19F1">
        <w:rPr>
          <w:rFonts w:ascii="Gill Sans MT" w:eastAsia="Merriweather" w:hAnsi="Gill Sans MT" w:cs="Merriweather"/>
          <w:sz w:val="18"/>
          <w:szCs w:val="18"/>
        </w:rPr>
        <w:t xml:space="preserve"> [28.06.2026]</w:t>
      </w:r>
    </w:p>
  </w:footnote>
  <w:footnote w:id="15">
    <w:p w14:paraId="5FA74083" w14:textId="77777777" w:rsidR="0084193C" w:rsidRPr="00C74359" w:rsidRDefault="0084193C" w:rsidP="0084193C">
      <w:pPr>
        <w:spacing w:line="240" w:lineRule="auto"/>
        <w:rPr>
          <w:rFonts w:ascii="Gill Sans MT" w:hAnsi="Gill Sans MT"/>
          <w:sz w:val="18"/>
          <w:szCs w:val="18"/>
        </w:rPr>
      </w:pPr>
      <w:r w:rsidRPr="00C74359">
        <w:rPr>
          <w:rFonts w:ascii="Gill Sans MT" w:hAnsi="Gill Sans MT"/>
          <w:vertAlign w:val="superscript"/>
        </w:rPr>
        <w:footnoteRef/>
      </w:r>
      <w:r w:rsidRPr="00C74359">
        <w:rPr>
          <w:rFonts w:ascii="Gill Sans MT" w:hAnsi="Gill Sans MT"/>
          <w:sz w:val="18"/>
          <w:szCs w:val="18"/>
        </w:rPr>
        <w:t xml:space="preserve">  </w:t>
      </w:r>
      <w:r w:rsidRPr="00C74359">
        <w:rPr>
          <w:rFonts w:ascii="Gill Sans MT" w:eastAsia="Merriweather" w:hAnsi="Gill Sans MT" w:cs="Merriweather"/>
          <w:sz w:val="18"/>
          <w:szCs w:val="18"/>
        </w:rPr>
        <w:t>International Society for Fair Elections and Democracy</w:t>
      </w:r>
    </w:p>
  </w:footnote>
  <w:footnote w:id="16">
    <w:p w14:paraId="2E62B91C" w14:textId="77777777" w:rsidR="0084193C" w:rsidRPr="00C74359" w:rsidRDefault="0084193C" w:rsidP="0084193C">
      <w:pPr>
        <w:spacing w:line="240" w:lineRule="auto"/>
        <w:rPr>
          <w:rFonts w:ascii="Gill Sans MT" w:hAnsi="Gill Sans MT"/>
          <w:sz w:val="18"/>
          <w:szCs w:val="18"/>
        </w:rPr>
      </w:pPr>
      <w:r w:rsidRPr="00C74359">
        <w:rPr>
          <w:rFonts w:ascii="Gill Sans MT" w:hAnsi="Gill Sans MT"/>
          <w:vertAlign w:val="superscript"/>
        </w:rPr>
        <w:footnoteRef/>
      </w:r>
      <w:r w:rsidRPr="00C74359">
        <w:rPr>
          <w:rFonts w:ascii="Gill Sans MT" w:hAnsi="Gill Sans MT"/>
          <w:sz w:val="18"/>
          <w:szCs w:val="18"/>
        </w:rPr>
        <w:t xml:space="preserve"> </w:t>
      </w:r>
      <w:r w:rsidRPr="00C74359">
        <w:rPr>
          <w:rFonts w:ascii="Gill Sans MT" w:eastAsia="Merriweather" w:hAnsi="Gill Sans MT" w:cs="Merriweather"/>
          <w:sz w:val="18"/>
          <w:szCs w:val="18"/>
        </w:rPr>
        <w:t xml:space="preserve"> LEPL National Agency of Public Registry, Application Number B25066611 or Application Number </w:t>
      </w:r>
      <w:r w:rsidRPr="00C74359">
        <w:rPr>
          <w:rFonts w:ascii="Gill Sans MT" w:eastAsia="Merriweather" w:hAnsi="Gill Sans MT" w:cs="Merriweather"/>
          <w:color w:val="222222"/>
          <w:sz w:val="18"/>
          <w:szCs w:val="18"/>
          <w:highlight w:val="white"/>
        </w:rPr>
        <w:t>B26362538</w:t>
      </w:r>
      <w:r w:rsidRPr="00C74359">
        <w:rPr>
          <w:rFonts w:ascii="Gill Sans MT" w:eastAsia="Merriweather" w:hAnsi="Gill Sans MT" w:cs="Merriweather"/>
          <w:sz w:val="18"/>
          <w:szCs w:val="18"/>
        </w:rPr>
        <w:t>.</w:t>
      </w:r>
    </w:p>
  </w:footnote>
  <w:footnote w:id="17">
    <w:p w14:paraId="1C6420A5" w14:textId="77777777" w:rsidR="0084193C" w:rsidRPr="00C74359" w:rsidRDefault="0084193C" w:rsidP="0084193C">
      <w:pPr>
        <w:spacing w:line="240" w:lineRule="auto"/>
        <w:jc w:val="both"/>
        <w:rPr>
          <w:rFonts w:ascii="Gill Sans MT" w:eastAsia="Merriweather" w:hAnsi="Gill Sans MT" w:cs="Merriweather"/>
          <w:sz w:val="18"/>
          <w:szCs w:val="18"/>
        </w:rPr>
      </w:pPr>
      <w:r w:rsidRPr="00C74359">
        <w:rPr>
          <w:rFonts w:ascii="Gill Sans MT" w:hAnsi="Gill Sans MT"/>
          <w:vertAlign w:val="superscript"/>
        </w:rPr>
        <w:footnoteRef/>
      </w:r>
      <w:r w:rsidRPr="00C74359">
        <w:rPr>
          <w:rFonts w:ascii="Gill Sans MT" w:eastAsia="Merriweather" w:hAnsi="Gill Sans MT" w:cs="Merriweather"/>
          <w:sz w:val="18"/>
          <w:szCs w:val="18"/>
        </w:rPr>
        <w:t xml:space="preserve">UN General Assembly, </w:t>
      </w:r>
      <w:r w:rsidRPr="00C74359">
        <w:rPr>
          <w:rFonts w:ascii="Gill Sans MT" w:eastAsia="Merriweather" w:hAnsi="Gill Sans MT" w:cs="Merriweather"/>
          <w:i/>
          <w:iCs/>
          <w:sz w:val="18"/>
          <w:szCs w:val="18"/>
        </w:rPr>
        <w:t>Note by the Secretary-General transmitting the report of the Special Representative of the Secretary-General on human rights defenders, Hina Jilani</w:t>
      </w:r>
      <w:r w:rsidRPr="00C74359">
        <w:rPr>
          <w:rFonts w:ascii="Gill Sans MT" w:eastAsia="Merriweather" w:hAnsi="Gill Sans MT" w:cs="Merriweather"/>
          <w:sz w:val="18"/>
          <w:szCs w:val="18"/>
        </w:rPr>
        <w:t xml:space="preserve">, UN Doc. A/59/401 (1 October 2004), para 82(c), (d), and (g), </w:t>
      </w:r>
      <w:hyperlink r:id="rId13">
        <w:r w:rsidRPr="00C74359">
          <w:rPr>
            <w:rFonts w:ascii="Gill Sans MT" w:eastAsia="Merriweather" w:hAnsi="Gill Sans MT" w:cs="Merriweather"/>
            <w:color w:val="1155CC"/>
            <w:sz w:val="18"/>
            <w:szCs w:val="18"/>
            <w:u w:val="single"/>
          </w:rPr>
          <w:t>https://www.refworld.org/reference/themreport/unchr/2004/36381</w:t>
        </w:r>
      </w:hyperlink>
      <w:r w:rsidRPr="00C74359">
        <w:rPr>
          <w:rFonts w:ascii="Gill Sans MT" w:eastAsia="Merriweather" w:hAnsi="Gill Sans MT" w:cs="Merriweather"/>
          <w:sz w:val="18"/>
          <w:szCs w:val="18"/>
        </w:rPr>
        <w:t xml:space="preserve"> [28.06.2026]</w:t>
      </w:r>
    </w:p>
  </w:footnote>
  <w:footnote w:id="18">
    <w:p w14:paraId="484519A1" w14:textId="77777777" w:rsidR="0084193C" w:rsidRPr="00C74359" w:rsidRDefault="0084193C" w:rsidP="0084193C">
      <w:pPr>
        <w:spacing w:line="240" w:lineRule="auto"/>
        <w:rPr>
          <w:rFonts w:ascii="Gill Sans MT" w:eastAsia="Times New Roman" w:hAnsi="Gill Sans MT" w:cs="Times New Roman"/>
          <w:sz w:val="18"/>
          <w:szCs w:val="18"/>
        </w:rPr>
      </w:pPr>
      <w:r w:rsidRPr="00C74359">
        <w:rPr>
          <w:rFonts w:ascii="Gill Sans MT" w:hAnsi="Gill Sans MT"/>
          <w:vertAlign w:val="superscript"/>
        </w:rPr>
        <w:footnoteRef/>
      </w:r>
      <w:r w:rsidRPr="00C74359">
        <w:rPr>
          <w:rFonts w:ascii="Gill Sans MT" w:eastAsia="Merriweather" w:hAnsi="Gill Sans MT" w:cs="Merriweather"/>
          <w:sz w:val="18"/>
          <w:szCs w:val="18"/>
        </w:rPr>
        <w:t xml:space="preserve"> ECtHR, Kobaliya and Others v. Russia, Applications no. 39446/16, 22 October 2024.</w:t>
      </w:r>
    </w:p>
  </w:footnote>
  <w:footnote w:id="19">
    <w:p w14:paraId="1DF51E77" w14:textId="77777777" w:rsidR="0084193C" w:rsidRPr="00C74359" w:rsidRDefault="0084193C" w:rsidP="0084193C">
      <w:pPr>
        <w:spacing w:line="240" w:lineRule="auto"/>
        <w:jc w:val="both"/>
        <w:rPr>
          <w:rFonts w:ascii="Gill Sans MT" w:hAnsi="Gill Sans MT"/>
          <w:sz w:val="20"/>
          <w:szCs w:val="20"/>
        </w:rPr>
      </w:pPr>
      <w:r w:rsidRPr="00C74359">
        <w:rPr>
          <w:rFonts w:ascii="Gill Sans MT" w:hAnsi="Gill Sans MT"/>
          <w:vertAlign w:val="superscript"/>
        </w:rPr>
        <w:footnoteRef/>
      </w:r>
      <w:r w:rsidRPr="00C74359">
        <w:rPr>
          <w:rFonts w:ascii="Gill Sans MT" w:hAnsi="Gill Sans MT"/>
          <w:sz w:val="20"/>
          <w:szCs w:val="20"/>
        </w:rPr>
        <w:t xml:space="preserve"> Social Justice Center, Civil Society Foundation, International Society for Fair Elections and Democracy, Institute for Development of Freedom of Information, Sapari.</w:t>
      </w:r>
    </w:p>
  </w:footnote>
  <w:footnote w:id="20">
    <w:p w14:paraId="5F9E8110" w14:textId="77777777" w:rsidR="0084193C" w:rsidRPr="00104238" w:rsidRDefault="0084193C" w:rsidP="0084193C">
      <w:pPr>
        <w:spacing w:after="160" w:line="240" w:lineRule="auto"/>
        <w:jc w:val="both"/>
        <w:rPr>
          <w:rFonts w:ascii="Gill Sans MT" w:hAnsi="Gill Sans MT"/>
          <w:sz w:val="20"/>
          <w:szCs w:val="20"/>
        </w:rPr>
      </w:pPr>
      <w:r w:rsidRPr="00C74359">
        <w:rPr>
          <w:rFonts w:ascii="Gill Sans MT" w:hAnsi="Gill Sans MT"/>
          <w:vertAlign w:val="superscript"/>
        </w:rPr>
        <w:footnoteRef/>
      </w:r>
      <w:r w:rsidRPr="00C74359">
        <w:rPr>
          <w:rFonts w:ascii="Gill Sans MT" w:hAnsi="Gill Sans MT"/>
          <w:sz w:val="20"/>
          <w:szCs w:val="20"/>
        </w:rPr>
        <w:t xml:space="preserve"> </w:t>
      </w:r>
      <w:r w:rsidRPr="00C74359">
        <w:rPr>
          <w:rFonts w:ascii="Gill Sans MT" w:eastAsia="Merriweather" w:hAnsi="Gill Sans MT" w:cs="Merriweather"/>
          <w:sz w:val="18"/>
          <w:szCs w:val="18"/>
        </w:rPr>
        <w:t>The freezing of the bank accounts of the civil society organisations was imposed within the framework of a criminal investigation initiated on 8 February 2025 following a request submitted by United Neutral Georgia. The investigation is being conducted jointly by the Prosecutor's Office, the State Security Service, and the Ministry of Internal Affairs under the following provisions of the Criminal Code of Georgia: Article 318(1) (Sabotage); Article 19 in conjunction with Article 318(2) (Attempted Sabotage committed under aggravating circumstances); Article 319 (Assistance to a Foreign Organisation or an Organisation under Foreign Control in Hostile Activities); and Article 321¹ (Financing or Other Material Support of Activities</w:t>
      </w:r>
      <w:r w:rsidRPr="00104238">
        <w:rPr>
          <w:rFonts w:ascii="Gill Sans MT" w:eastAsia="Merriweather" w:hAnsi="Gill Sans MT" w:cs="Merriweather"/>
          <w:sz w:val="18"/>
          <w:szCs w:val="18"/>
        </w:rPr>
        <w:t xml:space="preserve"> Directed against the Constitutional Order of Georgia and the Foundations of National Security). These offences are punishable by up to 15 years' imprisonment.</w:t>
      </w:r>
    </w:p>
    <w:p w14:paraId="5ECA27BD" w14:textId="77777777" w:rsidR="0084193C" w:rsidRPr="00BB19F1" w:rsidRDefault="0084193C" w:rsidP="0084193C">
      <w:pPr>
        <w:spacing w:after="160" w:line="240" w:lineRule="auto"/>
        <w:jc w:val="both"/>
        <w:rPr>
          <w:rFonts w:ascii="Gill Sans MT" w:hAnsi="Gill Sans MT"/>
          <w:sz w:val="20"/>
          <w:szCs w:val="20"/>
        </w:rPr>
      </w:pPr>
      <w:r w:rsidRPr="00BB19F1">
        <w:rPr>
          <w:rFonts w:ascii="Gill Sans MT" w:hAnsi="Gill Sans MT"/>
          <w:sz w:val="20"/>
          <w:szCs w:val="20"/>
        </w:rPr>
        <w:t xml:space="preserve">For more information please see- ISFED, The European Court Commences Examination of the Merits in the Case Concerning the Freezing of the Bank Accounts of Five Civil Society Organisations, </w:t>
      </w:r>
      <w:hyperlink r:id="rId14">
        <w:r w:rsidRPr="00BB19F1">
          <w:rPr>
            <w:rFonts w:ascii="Gill Sans MT" w:hAnsi="Gill Sans MT"/>
            <w:color w:val="1155CC"/>
            <w:sz w:val="20"/>
            <w:szCs w:val="20"/>
            <w:u w:val="single"/>
          </w:rPr>
          <w:t>https://www.isfed.ge/eng/gantskhadebebi/evropulma-sasamartlom-5-samoqalaqo-organizatsiisdakadaghebis-saqmeze-arsebiti-gankhilva-daitsko</w:t>
        </w:r>
      </w:hyperlink>
      <w:r w:rsidRPr="00BB19F1">
        <w:rPr>
          <w:rFonts w:ascii="Gill Sans MT" w:hAnsi="Gill Sans MT"/>
          <w:sz w:val="20"/>
          <w:szCs w:val="20"/>
        </w:rPr>
        <w:t xml:space="preserve">  </w:t>
      </w:r>
      <w:r w:rsidRPr="00BB19F1">
        <w:rPr>
          <w:rFonts w:ascii="Gill Sans MT" w:eastAsia="Merriweather" w:hAnsi="Gill Sans MT" w:cs="Merriweather"/>
          <w:sz w:val="18"/>
          <w:szCs w:val="18"/>
        </w:rPr>
        <w:t>[29.06.2026]</w:t>
      </w:r>
    </w:p>
  </w:footnote>
  <w:footnote w:id="21">
    <w:p w14:paraId="0C637134" w14:textId="77777777" w:rsidR="0084193C" w:rsidRPr="00BB19F1" w:rsidRDefault="0084193C" w:rsidP="0084193C">
      <w:pPr>
        <w:spacing w:line="240" w:lineRule="auto"/>
        <w:jc w:val="both"/>
        <w:rPr>
          <w:rFonts w:ascii="Gill Sans MT" w:hAnsi="Gill Sans MT"/>
          <w:sz w:val="18"/>
          <w:szCs w:val="18"/>
        </w:rPr>
      </w:pPr>
      <w:r w:rsidRPr="00BB19F1">
        <w:rPr>
          <w:rFonts w:ascii="Gill Sans MT" w:hAnsi="Gill Sans MT"/>
          <w:vertAlign w:val="superscript"/>
        </w:rPr>
        <w:footnoteRef/>
      </w:r>
      <w:r w:rsidRPr="00BB19F1">
        <w:rPr>
          <w:rFonts w:ascii="Gill Sans MT" w:eastAsia="Merriweather" w:hAnsi="Gill Sans MT" w:cs="Merriweather"/>
          <w:sz w:val="18"/>
          <w:szCs w:val="18"/>
        </w:rPr>
        <w:t xml:space="preserve"> International Society for Fair Elections and Democracy, The European Court has commenced the examination on the merits in the case regarding the asset freeze of five civil society organizations,  For more information please see- ISFED, The European Court Commences Examination of the Merits in the Case Concerning the Freezing of the Bank Accounts of Five Civil Society Organisations, </w:t>
      </w:r>
      <w:hyperlink r:id="rId15">
        <w:r w:rsidRPr="00BB19F1">
          <w:rPr>
            <w:rFonts w:ascii="Gill Sans MT" w:eastAsia="Merriweather" w:hAnsi="Gill Sans MT" w:cs="Merriweather"/>
            <w:color w:val="1155CC"/>
            <w:sz w:val="18"/>
            <w:szCs w:val="18"/>
            <w:u w:val="single"/>
          </w:rPr>
          <w:t>https://www.isfed.ge/eng/gantskhadebebi/evropulma-sasamartlom-5-samoqalaqo-organizatsiisdakadaghebis-saqmeze-arsebiti-gankhilva-daitsko</w:t>
        </w:r>
      </w:hyperlink>
      <w:r w:rsidRPr="00BB19F1">
        <w:rPr>
          <w:rFonts w:ascii="Gill Sans MT" w:eastAsia="Merriweather" w:hAnsi="Gill Sans MT" w:cs="Merriweather"/>
          <w:sz w:val="18"/>
          <w:szCs w:val="18"/>
        </w:rPr>
        <w:t xml:space="preserve">  </w:t>
      </w:r>
      <w:r w:rsidRPr="00BB19F1">
        <w:rPr>
          <w:rFonts w:ascii="Gill Sans MT" w:eastAsia="Merriweather" w:hAnsi="Gill Sans MT" w:cs="Merriweather"/>
          <w:sz w:val="16"/>
          <w:szCs w:val="16"/>
        </w:rPr>
        <w:t>[29.06.2026]</w:t>
      </w:r>
    </w:p>
  </w:footnote>
  <w:footnote w:id="22">
    <w:p w14:paraId="5DFA8ED0" w14:textId="77777777" w:rsidR="0084193C" w:rsidRPr="00BB19F1" w:rsidRDefault="0084193C" w:rsidP="0084193C">
      <w:pPr>
        <w:spacing w:line="240" w:lineRule="auto"/>
        <w:jc w:val="both"/>
        <w:rPr>
          <w:rFonts w:ascii="Gill Sans MT" w:eastAsia="Merriweather" w:hAnsi="Gill Sans MT" w:cs="Merriweather"/>
          <w:sz w:val="18"/>
          <w:szCs w:val="18"/>
        </w:rPr>
      </w:pPr>
      <w:r w:rsidRPr="00BB19F1">
        <w:rPr>
          <w:rFonts w:ascii="Gill Sans MT" w:hAnsi="Gill Sans MT"/>
          <w:vertAlign w:val="superscript"/>
        </w:rPr>
        <w:footnoteRef/>
      </w:r>
      <w:r w:rsidRPr="00BB19F1">
        <w:rPr>
          <w:rFonts w:ascii="Gill Sans MT" w:hAnsi="Gill Sans MT"/>
          <w:sz w:val="20"/>
          <w:szCs w:val="20"/>
        </w:rPr>
        <w:t xml:space="preserve"> </w:t>
      </w:r>
      <w:r w:rsidRPr="00BB19F1">
        <w:rPr>
          <w:rFonts w:ascii="Gill Sans MT" w:eastAsia="Merriweather" w:hAnsi="Gill Sans MT" w:cs="Merriweather"/>
          <w:color w:val="353535"/>
          <w:sz w:val="18"/>
          <w:szCs w:val="18"/>
        </w:rPr>
        <w:t xml:space="preserve">The Observatory for the Protection of Human Rights Defenders, a partnership of the International Federation for Human Rights (FIDH) and the World Organisation Against Torture (OMCT), Georgia: Tbilisi City Court freezes bank accounts of seven further leading civil society organisations amid unfounded investigations for “sabotage”, 29.08.2025 </w:t>
      </w:r>
      <w:hyperlink r:id="rId16">
        <w:r w:rsidRPr="00BB19F1">
          <w:rPr>
            <w:rFonts w:ascii="Gill Sans MT" w:eastAsia="Merriweather" w:hAnsi="Gill Sans MT" w:cs="Merriweather"/>
            <w:color w:val="1155CC"/>
            <w:sz w:val="18"/>
            <w:szCs w:val="18"/>
            <w:u w:val="single"/>
          </w:rPr>
          <w:t>https://www.omct.org/en/resources/urgent-interventions/georgia-tbilisi-city-court-freezes-bank-accounts-of-seven-further-leading-civil-society-organisations-amid-unfounded-investigations-for-sabotage?fbclid=IwY2xjawSrWZRleHRuA2FlbQIxMQBzcnRjBmFwcF9pZBAyMjIwMzkxNzg4MjAwODkyAAEeQQVzX8QVzs3gU2IvlYX7tr40vB1aMxm_TpsQQA7vsp13KGkb9sGmBZVoBKw_aem_YWdncwAd3l0j9Dm0Ycu-b7f3PIzf&amp;brid=YWdncwGVayRfgVB6hff490IIFNOo</w:t>
        </w:r>
      </w:hyperlink>
      <w:r w:rsidRPr="00BB19F1">
        <w:rPr>
          <w:rFonts w:ascii="Gill Sans MT" w:eastAsia="Merriweather" w:hAnsi="Gill Sans MT" w:cs="Merriweather"/>
          <w:color w:val="353535"/>
          <w:sz w:val="18"/>
          <w:szCs w:val="18"/>
        </w:rPr>
        <w:t xml:space="preserve"> </w:t>
      </w:r>
      <w:r w:rsidRPr="00BB19F1">
        <w:rPr>
          <w:rFonts w:ascii="Gill Sans MT" w:eastAsia="Merriweather" w:hAnsi="Gill Sans MT" w:cs="Merriweather"/>
          <w:sz w:val="18"/>
          <w:szCs w:val="18"/>
        </w:rPr>
        <w:t xml:space="preserve">[29.06.2026] </w:t>
      </w:r>
    </w:p>
    <w:p w14:paraId="7045A0DE" w14:textId="77777777" w:rsidR="0084193C" w:rsidRPr="00BB19F1" w:rsidRDefault="0084193C" w:rsidP="0084193C">
      <w:pPr>
        <w:spacing w:line="240" w:lineRule="auto"/>
        <w:jc w:val="both"/>
        <w:rPr>
          <w:rFonts w:ascii="Gill Sans MT" w:eastAsia="Merriweather" w:hAnsi="Gill Sans MT" w:cs="Merriweather"/>
          <w:color w:val="353535"/>
          <w:sz w:val="18"/>
          <w:szCs w:val="18"/>
        </w:rPr>
      </w:pPr>
      <w:r w:rsidRPr="00BB19F1">
        <w:rPr>
          <w:rFonts w:ascii="Gill Sans MT" w:eastAsia="Merriweather" w:hAnsi="Gill Sans MT" w:cs="Merriweather"/>
          <w:sz w:val="18"/>
          <w:szCs w:val="18"/>
        </w:rPr>
        <w:t xml:space="preserve">also see -  </w:t>
      </w:r>
      <w:r w:rsidRPr="00BB19F1">
        <w:rPr>
          <w:rFonts w:ascii="Gill Sans MT" w:eastAsia="Merriweather" w:hAnsi="Gill Sans MT" w:cs="Merriweather"/>
          <w:color w:val="353535"/>
          <w:sz w:val="18"/>
          <w:szCs w:val="18"/>
        </w:rPr>
        <w:t xml:space="preserve">Amnesty International, </w:t>
      </w:r>
      <w:r w:rsidRPr="00BB19F1">
        <w:rPr>
          <w:rFonts w:ascii="Gill Sans MT" w:eastAsia="Merriweather" w:hAnsi="Gill Sans MT" w:cs="Merriweather"/>
          <w:i/>
          <w:iCs/>
          <w:color w:val="353535"/>
          <w:sz w:val="18"/>
          <w:szCs w:val="18"/>
        </w:rPr>
        <w:t>Georgia: Authorities Built Coordinated System to Crush Dissent and Entrench Power</w:t>
      </w:r>
      <w:r w:rsidRPr="00BB19F1">
        <w:rPr>
          <w:rFonts w:ascii="Gill Sans MT" w:eastAsia="Merriweather" w:hAnsi="Gill Sans MT" w:cs="Merriweather"/>
          <w:b/>
          <w:bCs/>
          <w:color w:val="353535"/>
          <w:sz w:val="18"/>
          <w:szCs w:val="18"/>
        </w:rPr>
        <w:t xml:space="preserve">, </w:t>
      </w:r>
      <w:r w:rsidRPr="00BB19F1">
        <w:rPr>
          <w:rFonts w:ascii="Gill Sans MT" w:eastAsia="Merriweather" w:hAnsi="Gill Sans MT" w:cs="Merriweather"/>
          <w:color w:val="353535"/>
          <w:sz w:val="18"/>
          <w:szCs w:val="18"/>
        </w:rPr>
        <w:t>15 June 2026,</w:t>
      </w:r>
    </w:p>
    <w:p w14:paraId="3A3966A6" w14:textId="77777777" w:rsidR="0084193C" w:rsidRPr="00BB19F1" w:rsidRDefault="00433FEE" w:rsidP="0084193C">
      <w:pPr>
        <w:spacing w:line="240" w:lineRule="auto"/>
        <w:jc w:val="both"/>
        <w:rPr>
          <w:rFonts w:ascii="Gill Sans MT" w:hAnsi="Gill Sans MT"/>
          <w:sz w:val="20"/>
          <w:szCs w:val="20"/>
        </w:rPr>
      </w:pPr>
      <w:hyperlink r:id="rId17">
        <w:r w:rsidR="0084193C" w:rsidRPr="00BB19F1">
          <w:rPr>
            <w:rFonts w:ascii="Gill Sans MT" w:eastAsia="Merriweather" w:hAnsi="Gill Sans MT" w:cs="Merriweather"/>
            <w:color w:val="1155CC"/>
            <w:sz w:val="18"/>
            <w:szCs w:val="18"/>
            <w:u w:val="single"/>
          </w:rPr>
          <w:t>https://www.amnesty.org/en/latest/news/2026/06/georgia-authorities-built-coordinated-system-to-crush-dissent-and-entrench-power/</w:t>
        </w:r>
      </w:hyperlink>
      <w:r w:rsidR="0084193C" w:rsidRPr="00BB19F1">
        <w:rPr>
          <w:rFonts w:ascii="Gill Sans MT" w:hAnsi="Gill Sans MT"/>
        </w:rPr>
        <w:t xml:space="preserve"> </w:t>
      </w:r>
      <w:r w:rsidR="0084193C" w:rsidRPr="00BB19F1">
        <w:rPr>
          <w:rFonts w:ascii="Gill Sans MT" w:eastAsia="Merriweather" w:hAnsi="Gill Sans MT" w:cs="Merriweather"/>
          <w:sz w:val="18"/>
          <w:szCs w:val="18"/>
        </w:rPr>
        <w:t xml:space="preserve">[29.06.2026] </w:t>
      </w:r>
    </w:p>
  </w:footnote>
  <w:footnote w:id="23">
    <w:p w14:paraId="4723CDD7" w14:textId="77777777" w:rsidR="0084193C" w:rsidRPr="00BB19F1" w:rsidRDefault="0084193C" w:rsidP="0084193C">
      <w:pPr>
        <w:spacing w:line="240" w:lineRule="auto"/>
        <w:rPr>
          <w:rFonts w:ascii="Gill Sans MT" w:hAnsi="Gill Sans MT"/>
          <w:sz w:val="20"/>
          <w:szCs w:val="20"/>
        </w:rPr>
      </w:pPr>
      <w:r w:rsidRPr="00BB19F1">
        <w:rPr>
          <w:rFonts w:ascii="Gill Sans MT" w:hAnsi="Gill Sans MT"/>
          <w:vertAlign w:val="superscript"/>
        </w:rPr>
        <w:footnoteRef/>
      </w:r>
      <w:r w:rsidRPr="00BB19F1">
        <w:rPr>
          <w:rFonts w:ascii="Gill Sans MT" w:hAnsi="Gill Sans MT"/>
          <w:sz w:val="20"/>
          <w:szCs w:val="20"/>
        </w:rPr>
        <w:t xml:space="preserve"> </w:t>
      </w:r>
      <w:r w:rsidRPr="00BB19F1">
        <w:rPr>
          <w:rFonts w:ascii="Gill Sans MT" w:eastAsia="Merriweather" w:hAnsi="Gill Sans MT" w:cs="Merriweather"/>
          <w:sz w:val="18"/>
          <w:szCs w:val="18"/>
        </w:rPr>
        <w:t xml:space="preserve"> Georgia: Statement by the Spokesperson on the authorities’ decision to freeze the bank accounts of seven Civil Society Organisations, </w:t>
      </w:r>
      <w:hyperlink r:id="rId18">
        <w:r w:rsidRPr="00BB19F1">
          <w:rPr>
            <w:rFonts w:ascii="Gill Sans MT" w:eastAsia="Merriweather" w:hAnsi="Gill Sans MT" w:cs="Merriweather"/>
            <w:color w:val="1155CC"/>
            <w:sz w:val="18"/>
            <w:szCs w:val="18"/>
            <w:u w:val="single"/>
          </w:rPr>
          <w:t>https://www.eeas.europa.eu/eeas/georgia-statement-spokeperson-authorities%E2%80%99-decision-freeze-bank-accounts-seven-civil-society_en?brid=YWdncwFAovkBHvah1L9FUUkda0mX&amp;s=221</w:t>
        </w:r>
      </w:hyperlink>
      <w:r w:rsidRPr="00BB19F1">
        <w:rPr>
          <w:rFonts w:ascii="Gill Sans MT" w:eastAsia="Merriweather" w:hAnsi="Gill Sans MT" w:cs="Merriweather"/>
          <w:sz w:val="18"/>
          <w:szCs w:val="18"/>
        </w:rPr>
        <w:t xml:space="preserve"> [29.06.2026] </w:t>
      </w:r>
    </w:p>
  </w:footnote>
  <w:footnote w:id="24">
    <w:p w14:paraId="439C7B49" w14:textId="77777777" w:rsidR="0084193C" w:rsidRPr="00BB19F1" w:rsidRDefault="0084193C" w:rsidP="0084193C">
      <w:pPr>
        <w:spacing w:line="240" w:lineRule="auto"/>
        <w:rPr>
          <w:rFonts w:ascii="Gill Sans MT" w:hAnsi="Gill Sans MT"/>
          <w:sz w:val="20"/>
          <w:szCs w:val="20"/>
        </w:rPr>
      </w:pPr>
      <w:r w:rsidRPr="00BB19F1">
        <w:rPr>
          <w:rFonts w:ascii="Gill Sans MT" w:hAnsi="Gill Sans MT"/>
          <w:vertAlign w:val="superscript"/>
        </w:rPr>
        <w:footnoteRef/>
      </w:r>
      <w:r w:rsidRPr="00BB19F1">
        <w:rPr>
          <w:rFonts w:ascii="Gill Sans MT" w:hAnsi="Gill Sans MT"/>
          <w:sz w:val="20"/>
          <w:szCs w:val="20"/>
        </w:rPr>
        <w:t xml:space="preserve"> </w:t>
      </w:r>
      <w:r w:rsidRPr="00BB19F1">
        <w:rPr>
          <w:rFonts w:ascii="Gill Sans MT" w:eastAsia="Merriweather" w:hAnsi="Gill Sans MT" w:cs="Merriweather"/>
          <w:sz w:val="18"/>
          <w:szCs w:val="18"/>
        </w:rPr>
        <w:t xml:space="preserve"> For more information please see </w:t>
      </w:r>
      <w:hyperlink r:id="rId19">
        <w:r w:rsidRPr="00BB19F1">
          <w:rPr>
            <w:rFonts w:ascii="Gill Sans MT" w:eastAsia="Merriweather" w:hAnsi="Gill Sans MT" w:cs="Merriweather"/>
            <w:color w:val="1155CC"/>
            <w:sz w:val="18"/>
            <w:szCs w:val="18"/>
            <w:u w:val="single"/>
          </w:rPr>
          <w:t>https://palitranews.ge/video/265046-chexetis-sagareo-ucqeba-arasamtavrobo-organizaciebi-sheucvlel-rols-asruleben-qvela-kveqanashi-sakartvelos-mtavrobas-movucodebt-sheacheros-gamoziebebi-da-gaatavisuplos-gaqinuli-pinansuri-resursebi/</w:t>
        </w:r>
      </w:hyperlink>
      <w:r w:rsidRPr="00BB19F1">
        <w:rPr>
          <w:rFonts w:ascii="Gill Sans MT" w:eastAsia="Merriweather" w:hAnsi="Gill Sans MT" w:cs="Merriweather"/>
          <w:sz w:val="18"/>
          <w:szCs w:val="18"/>
        </w:rPr>
        <w:t xml:space="preserve"> [29.06.2026] </w:t>
      </w:r>
    </w:p>
  </w:footnote>
  <w:footnote w:id="25">
    <w:p w14:paraId="6532729D" w14:textId="77777777" w:rsidR="0084193C" w:rsidRDefault="0084193C" w:rsidP="0084193C">
      <w:pPr>
        <w:spacing w:line="240" w:lineRule="auto"/>
        <w:rPr>
          <w:sz w:val="20"/>
          <w:szCs w:val="20"/>
        </w:rPr>
      </w:pPr>
      <w:r w:rsidRPr="00BB19F1">
        <w:rPr>
          <w:rFonts w:ascii="Gill Sans MT" w:hAnsi="Gill Sans MT"/>
          <w:vertAlign w:val="superscript"/>
        </w:rPr>
        <w:footnoteRef/>
      </w:r>
      <w:r w:rsidRPr="00BB19F1">
        <w:rPr>
          <w:rFonts w:ascii="Gill Sans MT" w:hAnsi="Gill Sans MT"/>
          <w:sz w:val="20"/>
          <w:szCs w:val="20"/>
        </w:rPr>
        <w:t xml:space="preserve">  Memorandum on accountability of law enforcement and freedoms of assembly, association and expression in Georgia, </w:t>
      </w:r>
      <w:hyperlink r:id="rId20">
        <w:r w:rsidRPr="00BB19F1">
          <w:rPr>
            <w:rFonts w:ascii="Gill Sans MT" w:hAnsi="Gill Sans MT"/>
            <w:color w:val="1155CC"/>
            <w:sz w:val="20"/>
            <w:szCs w:val="20"/>
            <w:u w:val="single"/>
          </w:rPr>
          <w:t>https://rm.coe.int/memorandum-on-georgia-on-accountability-of-law-enforcement-and-freedom/48802c0ac8</w:t>
        </w:r>
      </w:hyperlink>
      <w:r w:rsidRPr="00BB19F1">
        <w:rPr>
          <w:rFonts w:ascii="Gill Sans MT" w:hAnsi="Gill Sans MT"/>
          <w:sz w:val="20"/>
          <w:szCs w:val="20"/>
        </w:rPr>
        <w:t xml:space="preserve"> </w:t>
      </w:r>
      <w:r w:rsidRPr="00BB19F1">
        <w:rPr>
          <w:rFonts w:ascii="Gill Sans MT" w:eastAsia="Merriweather" w:hAnsi="Gill Sans MT" w:cs="Merriweather"/>
          <w:sz w:val="18"/>
          <w:szCs w:val="18"/>
        </w:rPr>
        <w:t xml:space="preserve">[29.06.2026]  </w:t>
      </w:r>
    </w:p>
  </w:footnote>
  <w:footnote w:id="26">
    <w:p w14:paraId="5B63DBBB" w14:textId="77777777" w:rsidR="0084193C" w:rsidRPr="00104238" w:rsidRDefault="0084193C" w:rsidP="0084193C">
      <w:pPr>
        <w:spacing w:line="240" w:lineRule="auto"/>
        <w:rPr>
          <w:rFonts w:ascii="Gill Sans MT" w:hAnsi="Gill Sans MT"/>
          <w:sz w:val="20"/>
          <w:szCs w:val="20"/>
        </w:rPr>
      </w:pPr>
      <w:r w:rsidRPr="00104238">
        <w:rPr>
          <w:rFonts w:ascii="Gill Sans MT" w:hAnsi="Gill Sans MT"/>
          <w:vertAlign w:val="superscript"/>
        </w:rPr>
        <w:footnoteRef/>
      </w:r>
      <w:r w:rsidRPr="00104238">
        <w:rPr>
          <w:rFonts w:ascii="Gill Sans MT" w:hAnsi="Gill Sans MT"/>
          <w:sz w:val="20"/>
          <w:szCs w:val="20"/>
        </w:rPr>
        <w:t xml:space="preserve"> </w:t>
      </w:r>
      <w:r w:rsidRPr="00104238">
        <w:rPr>
          <w:rFonts w:ascii="Gill Sans MT" w:eastAsia="Merriweather" w:hAnsi="Gill Sans MT" w:cs="Merriweather"/>
          <w:sz w:val="18"/>
          <w:szCs w:val="18"/>
        </w:rPr>
        <w:t xml:space="preserve"> The Parliamentary Assembly of the Council of Europe (PACE),  Uphold democracy and the rule of law in Georgia, </w:t>
      </w:r>
      <w:hyperlink r:id="rId21">
        <w:r w:rsidRPr="00104238">
          <w:rPr>
            <w:rFonts w:ascii="Gill Sans MT" w:eastAsia="Merriweather" w:hAnsi="Gill Sans MT" w:cs="Merriweather"/>
            <w:color w:val="1155CC"/>
            <w:sz w:val="18"/>
            <w:szCs w:val="18"/>
            <w:u w:val="single"/>
          </w:rPr>
          <w:t>https://pace.coe.int/en/files/35692/html</w:t>
        </w:r>
      </w:hyperlink>
      <w:r w:rsidRPr="00104238">
        <w:rPr>
          <w:rFonts w:ascii="Gill Sans MT" w:eastAsia="Merriweather" w:hAnsi="Gill Sans MT" w:cs="Merriweather"/>
          <w:sz w:val="18"/>
          <w:szCs w:val="18"/>
        </w:rPr>
        <w:t xml:space="preserve"> [29.06.2026]   </w:t>
      </w:r>
    </w:p>
  </w:footnote>
  <w:footnote w:id="27">
    <w:p w14:paraId="20F187F3" w14:textId="77777777" w:rsidR="0084193C" w:rsidRPr="00104238" w:rsidRDefault="0084193C" w:rsidP="0084193C">
      <w:pPr>
        <w:spacing w:line="240" w:lineRule="auto"/>
        <w:rPr>
          <w:rFonts w:ascii="Gill Sans MT" w:eastAsia="Merriweather" w:hAnsi="Gill Sans MT" w:cs="Merriweather"/>
          <w:sz w:val="18"/>
          <w:szCs w:val="18"/>
        </w:rPr>
      </w:pPr>
      <w:r w:rsidRPr="00104238">
        <w:rPr>
          <w:rFonts w:ascii="Gill Sans MT" w:hAnsi="Gill Sans MT"/>
          <w:vertAlign w:val="superscript"/>
        </w:rPr>
        <w:footnoteRef/>
      </w:r>
      <w:r w:rsidRPr="00104238">
        <w:rPr>
          <w:rFonts w:ascii="Gill Sans MT" w:hAnsi="Gill Sans MT"/>
          <w:sz w:val="20"/>
          <w:szCs w:val="20"/>
        </w:rPr>
        <w:t xml:space="preserve"> </w:t>
      </w:r>
      <w:r w:rsidRPr="00104238">
        <w:rPr>
          <w:rFonts w:ascii="Gill Sans MT" w:eastAsia="Merriweather" w:hAnsi="Gill Sans MT" w:cs="Merriweather"/>
          <w:sz w:val="18"/>
          <w:szCs w:val="18"/>
        </w:rPr>
        <w:t xml:space="preserve"> The Parliamentary Assembly of the Council of Europe (PACE), The functioning of democratic institutions in Georgia, </w:t>
      </w:r>
      <w:hyperlink r:id="rId22">
        <w:r w:rsidRPr="00104238">
          <w:rPr>
            <w:rFonts w:ascii="Gill Sans MT" w:eastAsia="Merriweather" w:hAnsi="Gill Sans MT" w:cs="Merriweather"/>
            <w:color w:val="1155CC"/>
            <w:sz w:val="18"/>
            <w:szCs w:val="18"/>
            <w:u w:val="single"/>
          </w:rPr>
          <w:t>http://pace.coe.int/en/files/36232/html</w:t>
        </w:r>
      </w:hyperlink>
      <w:r w:rsidRPr="00104238">
        <w:rPr>
          <w:rFonts w:ascii="Gill Sans MT" w:eastAsia="Merriweather" w:hAnsi="Gill Sans MT" w:cs="Merriweather"/>
          <w:sz w:val="18"/>
          <w:szCs w:val="18"/>
        </w:rPr>
        <w:t xml:space="preserve"> [29.06.2026]   </w:t>
      </w:r>
    </w:p>
    <w:p w14:paraId="6CF94825" w14:textId="77777777" w:rsidR="0084193C" w:rsidRDefault="0084193C" w:rsidP="0084193C">
      <w:pPr>
        <w:spacing w:line="240" w:lineRule="auto"/>
        <w:rPr>
          <w:sz w:val="20"/>
          <w:szCs w:val="20"/>
        </w:rPr>
      </w:pPr>
    </w:p>
  </w:footnote>
  <w:footnote w:id="28">
    <w:p w14:paraId="1A7CB51A" w14:textId="77777777" w:rsidR="00104238" w:rsidRDefault="00104238" w:rsidP="00104238">
      <w:pPr>
        <w:jc w:val="both"/>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 xml:space="preserve">CCPR/C/21/Rev.1/Add.4, para 4. </w:t>
      </w:r>
      <w:hyperlink r:id="rId23">
        <w:r>
          <w:rPr>
            <w:rFonts w:ascii="Times New Roman" w:eastAsia="Times New Roman" w:hAnsi="Times New Roman" w:cs="Times New Roman"/>
            <w:color w:val="1155CC"/>
            <w:sz w:val="16"/>
            <w:szCs w:val="16"/>
            <w:u w:val="single"/>
          </w:rPr>
          <w:t>https://www.refworld.org/legal/general/hrc/1993/13375</w:t>
        </w:r>
      </w:hyperlink>
      <w:r>
        <w:rPr>
          <w:rFonts w:ascii="Times New Roman" w:eastAsia="Times New Roman" w:hAnsi="Times New Roman" w:cs="Times New Roman"/>
          <w:sz w:val="16"/>
          <w:szCs w:val="16"/>
        </w:rPr>
        <w:t xml:space="preserve">; CCPR/C/21/Rev.1/Add.6, para 8. </w:t>
      </w:r>
      <w:hyperlink r:id="rId24">
        <w:r>
          <w:rPr>
            <w:rFonts w:ascii="Times New Roman" w:eastAsia="Times New Roman" w:hAnsi="Times New Roman" w:cs="Times New Roman"/>
            <w:color w:val="1155CC"/>
            <w:sz w:val="16"/>
            <w:szCs w:val="16"/>
            <w:u w:val="single"/>
          </w:rPr>
          <w:t>https://www.refworld.org/legal/general/hrc/1994/10945</w:t>
        </w:r>
      </w:hyperlink>
      <w:r>
        <w:rPr>
          <w:rFonts w:ascii="Times New Roman" w:eastAsia="Times New Roman" w:hAnsi="Times New Roman" w:cs="Times New Roman"/>
          <w:sz w:val="16"/>
          <w:szCs w:val="16"/>
        </w:rPr>
        <w:t xml:space="preserve"> </w:t>
      </w:r>
    </w:p>
  </w:footnote>
  <w:footnote w:id="29">
    <w:p w14:paraId="68C93881" w14:textId="77777777" w:rsidR="00485EE9" w:rsidRDefault="00485EE9" w:rsidP="00485EE9">
      <w:pPr>
        <w:jc w:val="both"/>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 xml:space="preserve"> Venice Commission, CDL-PI(2024)013, 2024,</w:t>
      </w:r>
    </w:p>
    <w:p w14:paraId="0A89AB1F" w14:textId="77777777" w:rsidR="00485EE9" w:rsidRDefault="00485EE9" w:rsidP="00485EE9">
      <w:pPr>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hyperlink r:id="rId25">
        <w:r>
          <w:rPr>
            <w:rFonts w:ascii="Times New Roman" w:eastAsia="Times New Roman" w:hAnsi="Times New Roman" w:cs="Times New Roman"/>
            <w:color w:val="1155CC"/>
            <w:sz w:val="16"/>
            <w:szCs w:val="16"/>
            <w:u w:val="single"/>
          </w:rPr>
          <w:t>https://www.venice.coe.int/webforms/documents/default.aspx?pdffile=CDL-PI(2024)013-e</w:t>
        </w:r>
      </w:hyperlink>
      <w:r>
        <w:rPr>
          <w:rFonts w:ascii="Times New Roman" w:eastAsia="Times New Roman" w:hAnsi="Times New Roman" w:cs="Times New Roman"/>
          <w:sz w:val="16"/>
          <w:szCs w:val="16"/>
        </w:rPr>
        <w:t xml:space="preserve">; </w:t>
      </w:r>
    </w:p>
  </w:footnote>
  <w:footnote w:id="30">
    <w:p w14:paraId="5E767A35" w14:textId="77777777" w:rsidR="00485EE9" w:rsidRPr="00C74359" w:rsidRDefault="00485EE9" w:rsidP="00485EE9">
      <w:pPr>
        <w:jc w:val="both"/>
        <w:rPr>
          <w:rFonts w:ascii="Gill Sans MT" w:eastAsia="Times New Roman" w:hAnsi="Gill Sans MT"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sz w:val="16"/>
          <w:szCs w:val="16"/>
        </w:rPr>
        <w:t xml:space="preserve"> ODIHR and Venice Commission, J</w:t>
      </w:r>
      <w:r w:rsidRPr="00C74359">
        <w:rPr>
          <w:rFonts w:ascii="Gill Sans MT" w:eastAsia="Times New Roman" w:hAnsi="Gill Sans MT" w:cs="Times New Roman"/>
          <w:i/>
          <w:iCs/>
          <w:sz w:val="16"/>
          <w:szCs w:val="16"/>
        </w:rPr>
        <w:t>oint Opinion on the Draft Law of Republika Srpska on the Special Registry and Publicity of the Work of Non-Profit Organisations</w:t>
      </w:r>
      <w:r w:rsidRPr="00C74359">
        <w:rPr>
          <w:rFonts w:ascii="Gill Sans MT" w:eastAsia="Times New Roman" w:hAnsi="Gill Sans MT" w:cs="Times New Roman"/>
          <w:sz w:val="16"/>
          <w:szCs w:val="16"/>
        </w:rPr>
        <w:t xml:space="preserve">, 12 June 2023, para. 55, </w:t>
      </w:r>
      <w:hyperlink r:id="rId26">
        <w:r w:rsidRPr="00C74359">
          <w:rPr>
            <w:rFonts w:ascii="Gill Sans MT" w:eastAsia="Times New Roman" w:hAnsi="Gill Sans MT" w:cs="Times New Roman"/>
            <w:color w:val="1155CC"/>
            <w:sz w:val="16"/>
            <w:szCs w:val="16"/>
            <w:u w:val="single"/>
          </w:rPr>
          <w:t>https://legislationline.org/taxonomy/term/25582</w:t>
        </w:r>
      </w:hyperlink>
      <w:r w:rsidRPr="00C74359">
        <w:rPr>
          <w:rFonts w:ascii="Gill Sans MT" w:eastAsia="Times New Roman" w:hAnsi="Gill Sans MT" w:cs="Times New Roman"/>
          <w:sz w:val="16"/>
          <w:szCs w:val="16"/>
        </w:rPr>
        <w:t xml:space="preserve">,   and Romania </w:t>
      </w:r>
      <w:r w:rsidRPr="00C74359">
        <w:rPr>
          <w:rFonts w:ascii="Gill Sans MT" w:eastAsia="Times New Roman" w:hAnsi="Gill Sans MT" w:cs="Times New Roman"/>
          <w:i/>
          <w:iCs/>
          <w:sz w:val="16"/>
          <w:szCs w:val="16"/>
        </w:rPr>
        <w:t>- Joint Opinion on Draft Law No. 140/2017 on amending Governmental Ordinance No. 26/2000 on Associations and Foundations</w:t>
      </w:r>
      <w:r w:rsidRPr="00C74359">
        <w:rPr>
          <w:rFonts w:ascii="Gill Sans MT" w:eastAsia="Times New Roman" w:hAnsi="Gill Sans MT" w:cs="Times New Roman"/>
          <w:sz w:val="16"/>
          <w:szCs w:val="16"/>
        </w:rPr>
        <w:t xml:space="preserve">, CDL-AD(2018)004, paras. 12 and 66. </w:t>
      </w:r>
      <w:hyperlink r:id="rId27">
        <w:r w:rsidRPr="00C74359">
          <w:rPr>
            <w:rFonts w:ascii="Gill Sans MT" w:eastAsia="Times New Roman" w:hAnsi="Gill Sans MT" w:cs="Times New Roman"/>
            <w:color w:val="1155CC"/>
            <w:sz w:val="16"/>
            <w:szCs w:val="16"/>
            <w:u w:val="single"/>
          </w:rPr>
          <w:t>https://www.venice.coe.int/webforms/documents/?pdf=CDL-AD(2018)004-e</w:t>
        </w:r>
      </w:hyperlink>
      <w:r w:rsidRPr="00C74359">
        <w:rPr>
          <w:rFonts w:ascii="Gill Sans MT" w:eastAsia="Times New Roman" w:hAnsi="Gill Sans MT" w:cs="Times New Roman"/>
          <w:sz w:val="16"/>
          <w:szCs w:val="16"/>
        </w:rPr>
        <w:t xml:space="preserve"> </w:t>
      </w:r>
    </w:p>
  </w:footnote>
  <w:footnote w:id="31">
    <w:p w14:paraId="023B3B11" w14:textId="77777777" w:rsidR="00485EE9" w:rsidRPr="00C74359" w:rsidRDefault="00485EE9" w:rsidP="00485EE9">
      <w:pPr>
        <w:jc w:val="both"/>
        <w:rPr>
          <w:rFonts w:ascii="Gill Sans MT" w:eastAsia="Times New Roman" w:hAnsi="Gill Sans MT"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sz w:val="16"/>
          <w:szCs w:val="16"/>
        </w:rPr>
        <w:t xml:space="preserve"> See ODIHR, </w:t>
      </w:r>
      <w:r w:rsidRPr="00C74359">
        <w:rPr>
          <w:rFonts w:ascii="Gill Sans MT" w:eastAsia="Times New Roman" w:hAnsi="Gill Sans MT" w:cs="Times New Roman"/>
          <w:i/>
          <w:iCs/>
          <w:sz w:val="16"/>
          <w:szCs w:val="16"/>
        </w:rPr>
        <w:t>Urgent Opinion on the Law “On Transparency of Foreign Influence” of Georgia</w:t>
      </w:r>
      <w:r w:rsidRPr="00C74359">
        <w:rPr>
          <w:rFonts w:ascii="Gill Sans MT" w:eastAsia="Times New Roman" w:hAnsi="Gill Sans MT" w:cs="Times New Roman"/>
          <w:sz w:val="16"/>
          <w:szCs w:val="16"/>
        </w:rPr>
        <w:t xml:space="preserve">, 30 May 2024. </w:t>
      </w:r>
      <w:hyperlink r:id="rId28">
        <w:r w:rsidRPr="00C74359">
          <w:rPr>
            <w:rFonts w:ascii="Gill Sans MT" w:eastAsia="Times New Roman" w:hAnsi="Gill Sans MT" w:cs="Times New Roman"/>
            <w:color w:val="1155CC"/>
            <w:sz w:val="16"/>
            <w:szCs w:val="16"/>
            <w:u w:val="single"/>
          </w:rPr>
          <w:t>https://odihr.osce.org/odihr/569922</w:t>
        </w:r>
      </w:hyperlink>
      <w:r w:rsidRPr="00C74359">
        <w:rPr>
          <w:rFonts w:ascii="Gill Sans MT" w:eastAsia="Times New Roman" w:hAnsi="Gill Sans MT" w:cs="Times New Roman"/>
          <w:sz w:val="16"/>
          <w:szCs w:val="16"/>
        </w:rPr>
        <w:t xml:space="preserve"> </w:t>
      </w:r>
    </w:p>
  </w:footnote>
  <w:footnote w:id="32">
    <w:p w14:paraId="3555BFA9" w14:textId="77777777" w:rsidR="00485EE9" w:rsidRPr="00C74359" w:rsidRDefault="00485EE9" w:rsidP="00485EE9">
      <w:pPr>
        <w:rPr>
          <w:rFonts w:ascii="Gill Sans MT" w:eastAsia="Times New Roman" w:hAnsi="Gill Sans MT"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sz w:val="16"/>
          <w:szCs w:val="16"/>
        </w:rPr>
        <w:t xml:space="preserve"> ECtHR, Ecodefence and Others v. Russia, Application no. 9988/13, 14 June 2022.</w:t>
      </w:r>
    </w:p>
  </w:footnote>
  <w:footnote w:id="33">
    <w:p w14:paraId="35A690FC" w14:textId="77777777" w:rsidR="00485EE9" w:rsidRPr="00C74359" w:rsidRDefault="00485EE9" w:rsidP="00485EE9">
      <w:pPr>
        <w:rPr>
          <w:rFonts w:ascii="Gill Sans MT" w:eastAsia="Times New Roman" w:hAnsi="Gill Sans MT"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sz w:val="16"/>
          <w:szCs w:val="16"/>
        </w:rPr>
        <w:t xml:space="preserve">  CJEU, Case C</w:t>
      </w:r>
      <w:r w:rsidRPr="00C74359">
        <w:rPr>
          <w:rFonts w:ascii="Cambria Math" w:eastAsia="Times New Roman" w:hAnsi="Cambria Math" w:cs="Cambria Math"/>
          <w:sz w:val="16"/>
          <w:szCs w:val="16"/>
        </w:rPr>
        <w:t>‑</w:t>
      </w:r>
      <w:r w:rsidRPr="00C74359">
        <w:rPr>
          <w:rFonts w:ascii="Gill Sans MT" w:eastAsia="Times New Roman" w:hAnsi="Gill Sans MT" w:cs="Times New Roman"/>
          <w:sz w:val="16"/>
          <w:szCs w:val="16"/>
        </w:rPr>
        <w:t>78/18, 18 June 2020.</w:t>
      </w:r>
    </w:p>
  </w:footnote>
  <w:footnote w:id="34">
    <w:p w14:paraId="5214F52D" w14:textId="77777777" w:rsidR="00485EE9" w:rsidRPr="00C74359" w:rsidRDefault="00485EE9" w:rsidP="00485EE9">
      <w:pPr>
        <w:jc w:val="both"/>
        <w:rPr>
          <w:rFonts w:ascii="Gill Sans MT" w:eastAsia="Times New Roman" w:hAnsi="Gill Sans MT"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sz w:val="16"/>
          <w:szCs w:val="16"/>
        </w:rPr>
        <w:t xml:space="preserve">Venice Commission, CDL-PI(2024)013, 2024, </w:t>
      </w:r>
    </w:p>
    <w:p w14:paraId="090EB331" w14:textId="77777777" w:rsidR="00485EE9" w:rsidRPr="00C74359" w:rsidRDefault="00433FEE" w:rsidP="00485EE9">
      <w:pPr>
        <w:jc w:val="both"/>
        <w:rPr>
          <w:rFonts w:ascii="Gill Sans MT" w:eastAsia="Times New Roman" w:hAnsi="Gill Sans MT" w:cs="Times New Roman"/>
          <w:sz w:val="16"/>
          <w:szCs w:val="16"/>
        </w:rPr>
      </w:pPr>
      <w:hyperlink r:id="rId29">
        <w:r w:rsidR="00485EE9" w:rsidRPr="00C74359">
          <w:rPr>
            <w:rFonts w:ascii="Gill Sans MT" w:eastAsia="Times New Roman" w:hAnsi="Gill Sans MT" w:cs="Times New Roman"/>
            <w:color w:val="1155CC"/>
            <w:sz w:val="16"/>
            <w:szCs w:val="16"/>
            <w:u w:val="single"/>
          </w:rPr>
          <w:t>https://www.venice.coe.int/webforms/documents/default.aspx?pdffile=CDL-PI(2024)013-e</w:t>
        </w:r>
      </w:hyperlink>
      <w:r w:rsidR="00485EE9" w:rsidRPr="00C74359">
        <w:rPr>
          <w:rFonts w:ascii="Gill Sans MT" w:eastAsia="Times New Roman" w:hAnsi="Gill Sans MT" w:cs="Times New Roman"/>
          <w:sz w:val="16"/>
          <w:szCs w:val="16"/>
        </w:rPr>
        <w:t>; Venice Commission, CDL-AD(2025)034, 2025,</w:t>
      </w:r>
      <w:hyperlink r:id="rId30">
        <w:r w:rsidR="00485EE9" w:rsidRPr="00C74359">
          <w:rPr>
            <w:rFonts w:ascii="Gill Sans MT" w:eastAsia="Times New Roman" w:hAnsi="Gill Sans MT" w:cs="Times New Roman"/>
            <w:color w:val="1155CC"/>
            <w:sz w:val="16"/>
            <w:szCs w:val="16"/>
            <w:u w:val="single"/>
          </w:rPr>
          <w:t xml:space="preserve"> https://www.venice.coe.int/webforms/documents/default.aspx?pdffile=CDL-AD(2025)034-e</w:t>
        </w:r>
      </w:hyperlink>
      <w:r w:rsidR="00485EE9" w:rsidRPr="00C74359">
        <w:rPr>
          <w:rFonts w:ascii="Gill Sans MT" w:eastAsia="Times New Roman" w:hAnsi="Gill Sans MT" w:cs="Times New Roman"/>
          <w:sz w:val="16"/>
          <w:szCs w:val="16"/>
        </w:rPr>
        <w:t>.</w:t>
      </w:r>
    </w:p>
  </w:footnote>
  <w:footnote w:id="35">
    <w:p w14:paraId="13FD0B3C" w14:textId="77777777" w:rsidR="00485EE9" w:rsidRPr="00C74359" w:rsidRDefault="00485EE9" w:rsidP="00485EE9">
      <w:pPr>
        <w:jc w:val="both"/>
        <w:rPr>
          <w:rFonts w:ascii="Gill Sans MT" w:eastAsia="Times New Roman" w:hAnsi="Gill Sans MT" w:cs="Times New Roman"/>
          <w:sz w:val="14"/>
          <w:szCs w:val="14"/>
        </w:rPr>
      </w:pPr>
      <w:r w:rsidRPr="00C74359">
        <w:rPr>
          <w:rFonts w:ascii="Gill Sans MT" w:hAnsi="Gill Sans MT"/>
          <w:vertAlign w:val="superscript"/>
        </w:rPr>
        <w:footnoteRef/>
      </w:r>
      <w:r w:rsidRPr="00C74359">
        <w:rPr>
          <w:rFonts w:ascii="Gill Sans MT" w:eastAsia="Times New Roman" w:hAnsi="Gill Sans MT" w:cs="Times New Roman"/>
          <w:sz w:val="16"/>
          <w:szCs w:val="16"/>
        </w:rPr>
        <w:t xml:space="preserve"> Council of Europe, </w:t>
      </w:r>
      <w:r w:rsidRPr="00C74359">
        <w:rPr>
          <w:rFonts w:ascii="Gill Sans MT" w:eastAsia="Times New Roman" w:hAnsi="Gill Sans MT" w:cs="Times New Roman"/>
          <w:i/>
          <w:iCs/>
          <w:sz w:val="16"/>
          <w:szCs w:val="16"/>
        </w:rPr>
        <w:t>Bosnia and Herzegovina: The authorities of Republika Srpska should repeal the “foreign agent” law</w:t>
      </w:r>
      <w:r w:rsidRPr="00C74359">
        <w:rPr>
          <w:rFonts w:ascii="Gill Sans MT" w:eastAsia="Times New Roman" w:hAnsi="Gill Sans MT" w:cs="Times New Roman"/>
          <w:sz w:val="16"/>
          <w:szCs w:val="16"/>
        </w:rPr>
        <w:t>, Strasbourg 28/02/2025,</w:t>
      </w:r>
      <w:hyperlink r:id="rId31">
        <w:r w:rsidRPr="00C74359">
          <w:rPr>
            <w:rFonts w:ascii="Gill Sans MT" w:eastAsia="Times New Roman" w:hAnsi="Gill Sans MT" w:cs="Times New Roman"/>
            <w:color w:val="1155CC"/>
            <w:sz w:val="16"/>
            <w:szCs w:val="16"/>
            <w:u w:val="single"/>
          </w:rPr>
          <w:t>https://www.coe.int/en/web/commissioner/-/bosnia-and-herzegovina-the-authorities-of-republika-srpska-should-repeal-the-foreign-agent-law</w:t>
        </w:r>
      </w:hyperlink>
      <w:r w:rsidRPr="00C74359">
        <w:rPr>
          <w:rFonts w:ascii="Gill Sans MT" w:eastAsia="Times New Roman" w:hAnsi="Gill Sans MT" w:cs="Times New Roman"/>
          <w:sz w:val="16"/>
          <w:szCs w:val="16"/>
        </w:rPr>
        <w:t xml:space="preserve">. Politico, </w:t>
      </w:r>
      <w:r w:rsidRPr="00C74359">
        <w:rPr>
          <w:rFonts w:ascii="Gill Sans MT" w:eastAsia="Times New Roman" w:hAnsi="Gill Sans MT" w:cs="Times New Roman"/>
          <w:i/>
          <w:iCs/>
          <w:sz w:val="16"/>
          <w:szCs w:val="16"/>
        </w:rPr>
        <w:t>Czechia preparing Kremlin-style bill to crack down on NGOs, critics say</w:t>
      </w:r>
      <w:r w:rsidRPr="00C74359">
        <w:rPr>
          <w:rFonts w:ascii="Gill Sans MT" w:eastAsia="Times New Roman" w:hAnsi="Gill Sans MT" w:cs="Times New Roman"/>
          <w:sz w:val="16"/>
          <w:szCs w:val="16"/>
        </w:rPr>
        <w:t xml:space="preserve">, March 19, 2026, </w:t>
      </w:r>
      <w:hyperlink r:id="rId32">
        <w:r w:rsidRPr="00C74359">
          <w:rPr>
            <w:rFonts w:ascii="Gill Sans MT" w:eastAsia="Times New Roman" w:hAnsi="Gill Sans MT" w:cs="Times New Roman"/>
            <w:color w:val="1155CC"/>
            <w:sz w:val="16"/>
            <w:szCs w:val="16"/>
            <w:u w:val="single"/>
          </w:rPr>
          <w:t>https://www.politico.eu/article/czechia-prepares-kremlin-style-bill-crackdown-on-ngos-critics-say/</w:t>
        </w:r>
      </w:hyperlink>
      <w:r w:rsidRPr="00C74359">
        <w:rPr>
          <w:rFonts w:ascii="Gill Sans MT" w:eastAsia="Times New Roman" w:hAnsi="Gill Sans MT" w:cs="Times New Roman"/>
          <w:sz w:val="16"/>
          <w:szCs w:val="16"/>
        </w:rPr>
        <w:t xml:space="preserve">  </w:t>
      </w:r>
    </w:p>
  </w:footnote>
  <w:footnote w:id="36">
    <w:p w14:paraId="24F79398" w14:textId="77777777" w:rsidR="00485EE9" w:rsidRPr="00C74359" w:rsidRDefault="00485EE9" w:rsidP="00485EE9">
      <w:pPr>
        <w:jc w:val="both"/>
        <w:rPr>
          <w:rFonts w:ascii="Gill Sans MT" w:eastAsia="Times New Roman" w:hAnsi="Gill Sans MT"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sz w:val="16"/>
          <w:szCs w:val="16"/>
        </w:rPr>
        <w:t xml:space="preserve"> </w:t>
      </w:r>
      <w:r w:rsidRPr="00C74359">
        <w:rPr>
          <w:rFonts w:ascii="Gill Sans MT" w:eastAsia="Times New Roman" w:hAnsi="Gill Sans MT" w:cs="Times New Roman"/>
          <w:color w:val="333333"/>
          <w:sz w:val="16"/>
          <w:szCs w:val="16"/>
          <w:highlight w:val="white"/>
        </w:rPr>
        <w:t>Parliament of Georgia</w:t>
      </w:r>
      <w:r w:rsidRPr="00C74359">
        <w:rPr>
          <w:rFonts w:ascii="Gill Sans MT" w:eastAsia="Times New Roman" w:hAnsi="Gill Sans MT" w:cs="Times New Roman"/>
          <w:sz w:val="16"/>
          <w:szCs w:val="16"/>
        </w:rPr>
        <w:t xml:space="preserve">, Civil Code of Georgia, article 1509¹, </w:t>
      </w:r>
      <w:hyperlink r:id="rId33">
        <w:r w:rsidRPr="00C74359">
          <w:rPr>
            <w:rFonts w:ascii="Gill Sans MT" w:eastAsia="Times New Roman" w:hAnsi="Gill Sans MT" w:cs="Times New Roman"/>
            <w:color w:val="1155CC"/>
            <w:sz w:val="16"/>
            <w:szCs w:val="16"/>
            <w:u w:val="single"/>
          </w:rPr>
          <w:t>https://matsne.gov.ge/en/document/view/31702?publication=138</w:t>
        </w:r>
      </w:hyperlink>
      <w:r w:rsidRPr="00C74359">
        <w:rPr>
          <w:rFonts w:ascii="Gill Sans MT" w:eastAsia="Times New Roman" w:hAnsi="Gill Sans MT" w:cs="Times New Roman"/>
          <w:sz w:val="16"/>
          <w:szCs w:val="16"/>
        </w:rPr>
        <w:t xml:space="preserve"> </w:t>
      </w:r>
    </w:p>
  </w:footnote>
  <w:footnote w:id="37">
    <w:p w14:paraId="48E5FDF1" w14:textId="77777777" w:rsidR="00485EE9" w:rsidRPr="00C74359" w:rsidRDefault="00485EE9" w:rsidP="00485EE9">
      <w:pPr>
        <w:jc w:val="both"/>
        <w:rPr>
          <w:rFonts w:ascii="Gill Sans MT" w:eastAsia="Times New Roman" w:hAnsi="Gill Sans MT"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color w:val="333333"/>
          <w:sz w:val="16"/>
          <w:szCs w:val="16"/>
          <w:highlight w:val="white"/>
        </w:rPr>
        <w:t>Parliament of Georgia</w:t>
      </w:r>
      <w:r w:rsidRPr="00C74359">
        <w:rPr>
          <w:rFonts w:ascii="Gill Sans MT" w:eastAsia="Times New Roman" w:hAnsi="Gill Sans MT" w:cs="Times New Roman"/>
          <w:sz w:val="16"/>
          <w:szCs w:val="16"/>
        </w:rPr>
        <w:t xml:space="preserve">, </w:t>
      </w:r>
      <w:r w:rsidRPr="00C74359">
        <w:rPr>
          <w:rFonts w:ascii="Gill Sans MT" w:eastAsia="Times New Roman" w:hAnsi="Gill Sans MT" w:cs="Times New Roman"/>
          <w:i/>
          <w:iCs/>
          <w:sz w:val="16"/>
          <w:szCs w:val="16"/>
        </w:rPr>
        <w:t>Law of Georgia on  Transparency of Foreign Influence</w:t>
      </w:r>
      <w:r w:rsidRPr="00C74359">
        <w:rPr>
          <w:rFonts w:ascii="Gill Sans MT" w:eastAsia="Times New Roman" w:hAnsi="Gill Sans MT" w:cs="Times New Roman"/>
          <w:sz w:val="16"/>
          <w:szCs w:val="16"/>
        </w:rPr>
        <w:t xml:space="preserve">, </w:t>
      </w:r>
      <w:hyperlink r:id="rId34">
        <w:r w:rsidRPr="00C74359">
          <w:rPr>
            <w:rFonts w:ascii="Gill Sans MT" w:eastAsia="Times New Roman" w:hAnsi="Gill Sans MT" w:cs="Times New Roman"/>
            <w:color w:val="1155CC"/>
            <w:sz w:val="16"/>
            <w:szCs w:val="16"/>
            <w:u w:val="single"/>
          </w:rPr>
          <w:t>https://matsne.gov.ge/en/document/view/6171895?publication=1</w:t>
        </w:r>
      </w:hyperlink>
      <w:r w:rsidRPr="00C74359">
        <w:rPr>
          <w:rFonts w:ascii="Gill Sans MT" w:eastAsia="Times New Roman" w:hAnsi="Gill Sans MT" w:cs="Times New Roman"/>
          <w:sz w:val="16"/>
          <w:szCs w:val="16"/>
        </w:rPr>
        <w:t xml:space="preserve"> </w:t>
      </w:r>
    </w:p>
  </w:footnote>
  <w:footnote w:id="38">
    <w:p w14:paraId="3A4BEA95" w14:textId="77777777" w:rsidR="00485EE9" w:rsidRPr="00C74359" w:rsidRDefault="00485EE9" w:rsidP="00485EE9">
      <w:pPr>
        <w:jc w:val="both"/>
        <w:rPr>
          <w:rFonts w:ascii="Gill Sans MT" w:eastAsia="Times New Roman" w:hAnsi="Gill Sans MT"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color w:val="333333"/>
          <w:sz w:val="16"/>
          <w:szCs w:val="16"/>
          <w:highlight w:val="white"/>
        </w:rPr>
        <w:t>Parliament of Georgia</w:t>
      </w:r>
      <w:r w:rsidRPr="00C74359">
        <w:rPr>
          <w:rFonts w:ascii="Gill Sans MT" w:eastAsia="Times New Roman" w:hAnsi="Gill Sans MT" w:cs="Times New Roman"/>
          <w:sz w:val="16"/>
          <w:szCs w:val="16"/>
        </w:rPr>
        <w:t xml:space="preserve">, </w:t>
      </w:r>
      <w:r w:rsidRPr="00C74359">
        <w:rPr>
          <w:rFonts w:ascii="Gill Sans MT" w:eastAsia="Times New Roman" w:hAnsi="Gill Sans MT" w:cs="Times New Roman"/>
          <w:i/>
          <w:iCs/>
          <w:sz w:val="16"/>
          <w:szCs w:val="16"/>
        </w:rPr>
        <w:t>Law of Georgia Foreign Agents Registration Act</w:t>
      </w:r>
      <w:r w:rsidRPr="00C74359">
        <w:rPr>
          <w:rFonts w:ascii="Gill Sans MT" w:eastAsia="Times New Roman" w:hAnsi="Gill Sans MT" w:cs="Times New Roman"/>
          <w:sz w:val="16"/>
          <w:szCs w:val="16"/>
        </w:rPr>
        <w:t xml:space="preserve">, </w:t>
      </w:r>
      <w:hyperlink r:id="rId35">
        <w:r w:rsidRPr="00C74359">
          <w:rPr>
            <w:rFonts w:ascii="Gill Sans MT" w:eastAsia="Times New Roman" w:hAnsi="Gill Sans MT" w:cs="Times New Roman"/>
            <w:color w:val="1155CC"/>
            <w:sz w:val="16"/>
            <w:szCs w:val="16"/>
            <w:u w:val="single"/>
          </w:rPr>
          <w:t>https://matsne.gov.ge/en/document/view/6461578?publication=1</w:t>
        </w:r>
      </w:hyperlink>
      <w:r w:rsidRPr="00C74359">
        <w:rPr>
          <w:rFonts w:ascii="Gill Sans MT" w:eastAsia="Times New Roman" w:hAnsi="Gill Sans MT" w:cs="Times New Roman"/>
          <w:sz w:val="16"/>
          <w:szCs w:val="16"/>
        </w:rPr>
        <w:t xml:space="preserve"> </w:t>
      </w:r>
    </w:p>
  </w:footnote>
  <w:footnote w:id="39">
    <w:p w14:paraId="0D731C6A" w14:textId="77777777" w:rsidR="00485EE9" w:rsidRPr="00C74359" w:rsidRDefault="00485EE9" w:rsidP="00485EE9">
      <w:pPr>
        <w:jc w:val="both"/>
        <w:rPr>
          <w:rFonts w:ascii="Gill Sans MT" w:eastAsia="Times New Roman" w:hAnsi="Gill Sans MT"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sz w:val="16"/>
          <w:szCs w:val="16"/>
        </w:rPr>
        <w:t xml:space="preserve"> </w:t>
      </w:r>
      <w:r w:rsidRPr="00C74359">
        <w:rPr>
          <w:rFonts w:ascii="Gill Sans MT" w:eastAsia="Times New Roman" w:hAnsi="Gill Sans MT" w:cs="Times New Roman"/>
          <w:color w:val="333333"/>
          <w:sz w:val="16"/>
          <w:szCs w:val="16"/>
          <w:highlight w:val="white"/>
        </w:rPr>
        <w:t>Parliament of Georgia</w:t>
      </w:r>
      <w:r w:rsidRPr="00C74359">
        <w:rPr>
          <w:rFonts w:ascii="Gill Sans MT" w:eastAsia="Times New Roman" w:hAnsi="Gill Sans MT" w:cs="Times New Roman"/>
          <w:sz w:val="16"/>
          <w:szCs w:val="16"/>
        </w:rPr>
        <w:t xml:space="preserve">, </w:t>
      </w:r>
      <w:r w:rsidRPr="00C74359">
        <w:rPr>
          <w:rFonts w:ascii="Gill Sans MT" w:eastAsia="Times New Roman" w:hAnsi="Gill Sans MT" w:cs="Times New Roman"/>
          <w:i/>
          <w:iCs/>
          <w:sz w:val="16"/>
          <w:szCs w:val="16"/>
        </w:rPr>
        <w:t>Law of Georgia on Grants</w:t>
      </w:r>
      <w:r w:rsidRPr="00C74359">
        <w:rPr>
          <w:rFonts w:ascii="Gill Sans MT" w:eastAsia="Times New Roman" w:hAnsi="Gill Sans MT" w:cs="Times New Roman"/>
          <w:sz w:val="16"/>
          <w:szCs w:val="16"/>
        </w:rPr>
        <w:t xml:space="preserve">, </w:t>
      </w:r>
      <w:hyperlink r:id="rId36">
        <w:r w:rsidRPr="00C74359">
          <w:rPr>
            <w:rFonts w:ascii="Gill Sans MT" w:eastAsia="Times New Roman" w:hAnsi="Gill Sans MT" w:cs="Times New Roman"/>
            <w:color w:val="1155CC"/>
            <w:sz w:val="16"/>
            <w:szCs w:val="16"/>
            <w:u w:val="single"/>
          </w:rPr>
          <w:t>https://www.matsne.gov.ge/en/document/view/31510?publication=38</w:t>
        </w:r>
      </w:hyperlink>
      <w:r w:rsidRPr="00C74359">
        <w:rPr>
          <w:rFonts w:ascii="Gill Sans MT" w:eastAsia="Times New Roman" w:hAnsi="Gill Sans MT" w:cs="Times New Roman"/>
          <w:sz w:val="16"/>
          <w:szCs w:val="16"/>
        </w:rPr>
        <w:t xml:space="preserve"> </w:t>
      </w:r>
    </w:p>
  </w:footnote>
  <w:footnote w:id="40">
    <w:p w14:paraId="1415D086" w14:textId="77777777" w:rsidR="00485EE9" w:rsidRDefault="00485EE9" w:rsidP="00485EE9">
      <w:pPr>
        <w:jc w:val="both"/>
        <w:rPr>
          <w:rFonts w:ascii="Times New Roman" w:eastAsia="Times New Roman" w:hAnsi="Times New Roman"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sz w:val="16"/>
          <w:szCs w:val="16"/>
        </w:rPr>
        <w:t xml:space="preserve"> Business Media,</w:t>
      </w:r>
      <w:r w:rsidRPr="00C74359">
        <w:rPr>
          <w:rFonts w:ascii="Gill Sans MT" w:eastAsia="Times New Roman" w:hAnsi="Gill Sans MT" w:cs="Times New Roman"/>
          <w:i/>
          <w:iCs/>
          <w:sz w:val="16"/>
          <w:szCs w:val="16"/>
        </w:rPr>
        <w:t xml:space="preserve"> How many organizations are registered in the "Russian Law" registry? — A list</w:t>
      </w:r>
      <w:r w:rsidRPr="00C74359">
        <w:rPr>
          <w:rFonts w:ascii="Gill Sans MT" w:eastAsia="Times New Roman" w:hAnsi="Gill Sans MT" w:cs="Times New Roman"/>
          <w:sz w:val="16"/>
          <w:szCs w:val="16"/>
        </w:rPr>
        <w:t xml:space="preserve">, 17.10.24:  Charitable Center of Jews of Georgia "Hesed Eliahu, The Jewish Distribution Committee '' Joint'' in Georgia, Christian Union, Cru Georgia, available at: </w:t>
      </w:r>
      <w:hyperlink r:id="rId37">
        <w:r w:rsidRPr="00C74359">
          <w:rPr>
            <w:rFonts w:ascii="Gill Sans MT" w:eastAsia="Times New Roman" w:hAnsi="Gill Sans MT" w:cs="Times New Roman"/>
            <w:color w:val="1155CC"/>
            <w:sz w:val="16"/>
            <w:szCs w:val="16"/>
            <w:u w:val="single"/>
          </w:rPr>
          <w:t>https://bm.ge/news/ramdeni-organizatsiaa-registrirebuli-rusuli-kanonis-reestrshi-sia</w:t>
        </w:r>
      </w:hyperlink>
      <w:r w:rsidRPr="00C74359">
        <w:rPr>
          <w:rFonts w:ascii="Gill Sans MT" w:eastAsia="Times New Roman" w:hAnsi="Gill Sans MT" w:cs="Times New Roman"/>
          <w:sz w:val="16"/>
          <w:szCs w:val="16"/>
        </w:rPr>
        <w:t xml:space="preserve">; also: </w:t>
      </w:r>
      <w:hyperlink r:id="rId38">
        <w:r w:rsidRPr="00C74359">
          <w:rPr>
            <w:rFonts w:ascii="Gill Sans MT" w:eastAsia="Times New Roman" w:hAnsi="Gill Sans MT" w:cs="Times New Roman"/>
            <w:color w:val="1155CC"/>
            <w:sz w:val="16"/>
            <w:szCs w:val="16"/>
            <w:u w:val="single"/>
          </w:rPr>
          <w:t>Intrenational Baptist Church in Tbilisi</w:t>
        </w:r>
      </w:hyperlink>
      <w:r w:rsidRPr="00C74359">
        <w:rPr>
          <w:rFonts w:ascii="Gill Sans MT" w:eastAsia="Times New Roman" w:hAnsi="Gill Sans MT" w:cs="Times New Roman"/>
          <w:sz w:val="16"/>
          <w:szCs w:val="16"/>
        </w:rPr>
        <w:t xml:space="preserve">, </w:t>
      </w:r>
      <w:hyperlink r:id="rId39">
        <w:r w:rsidRPr="00C74359">
          <w:rPr>
            <w:rFonts w:ascii="Gill Sans MT" w:eastAsia="Times New Roman" w:hAnsi="Gill Sans MT" w:cs="Times New Roman"/>
            <w:color w:val="1155CC"/>
            <w:sz w:val="16"/>
            <w:szCs w:val="16"/>
            <w:u w:val="single"/>
          </w:rPr>
          <w:t>Union of Georgian Jews (Jewish Union of Georgia)</w:t>
        </w:r>
      </w:hyperlink>
      <w:r w:rsidRPr="00C74359">
        <w:rPr>
          <w:rFonts w:ascii="Gill Sans MT" w:eastAsia="Times New Roman" w:hAnsi="Gill Sans MT" w:cs="Times New Roman"/>
          <w:sz w:val="16"/>
          <w:szCs w:val="16"/>
        </w:rPr>
        <w:t xml:space="preserve">; Interpressnews, </w:t>
      </w:r>
      <w:r w:rsidRPr="00C74359">
        <w:rPr>
          <w:rFonts w:ascii="Gill Sans MT" w:eastAsia="Times New Roman" w:hAnsi="Gill Sans MT" w:cs="Times New Roman"/>
          <w:i/>
          <w:iCs/>
          <w:sz w:val="16"/>
          <w:szCs w:val="16"/>
        </w:rPr>
        <w:t>According to data as of March 31, 2026, the number of grant recipients registered in the foreign grants registry stands at 31</w:t>
      </w:r>
      <w:r w:rsidRPr="00C74359">
        <w:rPr>
          <w:rFonts w:ascii="Gill Sans MT" w:eastAsia="Times New Roman" w:hAnsi="Gill Sans MT" w:cs="Times New Roman"/>
          <w:sz w:val="16"/>
          <w:szCs w:val="16"/>
        </w:rPr>
        <w:t>, “the Georgian Jewish Charitable Center “Hesed Eliyahu”, Christian Union, the Jewish Cultural-Educational Foundation Hesed Abuli, the American Jewish Joint Distribution Committee (“Joint”) in Georgia,01.04.2026,</w:t>
      </w:r>
      <w:hyperlink r:id="rId40">
        <w:r w:rsidRPr="00C74359">
          <w:rPr>
            <w:rFonts w:ascii="Gill Sans MT" w:eastAsia="Times New Roman" w:hAnsi="Gill Sans MT" w:cs="Times New Roman"/>
            <w:color w:val="1155CC"/>
            <w:sz w:val="16"/>
            <w:szCs w:val="16"/>
            <w:u w:val="single"/>
          </w:rPr>
          <w:t>https://www.interpressnews.ge/en/article/146671-according-to-data-as-of-march-31-2026-the-number-of-grant-recipients-registered-in-the-foreign-grants-registry-stands-at-31</w:t>
        </w:r>
      </w:hyperlink>
      <w:r w:rsidRPr="00BB19F1">
        <w:rPr>
          <w:rFonts w:ascii="Gill Sans MT" w:eastAsia="Times New Roman" w:hAnsi="Gill Sans MT" w:cs="Times New Roman"/>
          <w:sz w:val="16"/>
          <w:szCs w:val="16"/>
        </w:rPr>
        <w:t>; Government of Georgia Order No. 794,</w:t>
      </w:r>
      <w:r w:rsidRPr="00BB19F1">
        <w:rPr>
          <w:rFonts w:ascii="Gill Sans MT" w:eastAsia="Times New Roman" w:hAnsi="Gill Sans MT" w:cs="Times New Roman"/>
          <w:i/>
          <w:iCs/>
          <w:sz w:val="16"/>
          <w:szCs w:val="16"/>
        </w:rPr>
        <w:t xml:space="preserve"> regarding the approval to grant a subsidy (grant) to the Non-Entrepreneurial (Non-Commercial) Legal Entity –  Charitable Foundation "Caritas Georgia", within the framework of the project “Humanitarian Dining Hall of Caritas Georgia in Kutaisi (Proj. No. 68690)”, implemented for the Near East Welfare Association (CNEWA, USA</w:t>
      </w:r>
      <w:r w:rsidRPr="00BB19F1">
        <w:rPr>
          <w:rFonts w:ascii="Gill Sans MT" w:eastAsia="Times New Roman" w:hAnsi="Gill Sans MT" w:cs="Times New Roman"/>
          <w:sz w:val="16"/>
          <w:szCs w:val="16"/>
        </w:rPr>
        <w:t xml:space="preserve">), </w:t>
      </w:r>
      <w:hyperlink r:id="rId41">
        <w:r w:rsidRPr="00BB19F1">
          <w:rPr>
            <w:rFonts w:ascii="Gill Sans MT" w:eastAsia="Times New Roman" w:hAnsi="Gill Sans MT" w:cs="Times New Roman"/>
            <w:color w:val="1155CC"/>
            <w:sz w:val="16"/>
            <w:szCs w:val="16"/>
            <w:u w:val="single"/>
          </w:rPr>
          <w:t>https://www.gov.ge/index.php?lang_id=GEO&amp;sec_id=629&amp;info_id=96041</w:t>
        </w:r>
      </w:hyperlink>
      <w:r w:rsidRPr="00BB19F1">
        <w:rPr>
          <w:rFonts w:ascii="Gill Sans MT" w:eastAsia="Times New Roman" w:hAnsi="Gill Sans MT" w:cs="Times New Roman"/>
          <w:sz w:val="16"/>
          <w:szCs w:val="16"/>
        </w:rPr>
        <w:t xml:space="preserve">; Government of Georgia Order No. 23, </w:t>
      </w:r>
      <w:r w:rsidRPr="00BB19F1">
        <w:rPr>
          <w:rFonts w:ascii="Gill Sans MT" w:eastAsia="Times New Roman" w:hAnsi="Gill Sans MT" w:cs="Times New Roman"/>
          <w:i/>
          <w:iCs/>
          <w:sz w:val="16"/>
          <w:szCs w:val="16"/>
        </w:rPr>
        <w:t xml:space="preserve">concerning the approval to grant a subsidy (grant) to the Non-Entrepreneurial (Non-Commercial) Legal Entity – “The Jewish Distribution Committee '' Joint'' in Georgia”, within the framework of the project “Care and Support”, implemented for JDC International Ltd, </w:t>
      </w:r>
      <w:hyperlink r:id="rId42">
        <w:r w:rsidRPr="00BB19F1">
          <w:rPr>
            <w:rFonts w:ascii="Gill Sans MT" w:eastAsia="Times New Roman" w:hAnsi="Gill Sans MT" w:cs="Times New Roman"/>
            <w:color w:val="1155CC"/>
            <w:sz w:val="16"/>
            <w:szCs w:val="16"/>
            <w:u w:val="single"/>
          </w:rPr>
          <w:t>https://www.gov.ge/index.php?lang_id=GEO&amp;sec_id=629&amp;info_id=94833</w:t>
        </w:r>
      </w:hyperlink>
      <w:r>
        <w:rPr>
          <w:rFonts w:ascii="Times New Roman" w:eastAsia="Times New Roman" w:hAnsi="Times New Roman" w:cs="Times New Roman"/>
          <w:sz w:val="16"/>
          <w:szCs w:val="16"/>
        </w:rPr>
        <w:t xml:space="preserve"> </w:t>
      </w:r>
    </w:p>
  </w:footnote>
  <w:footnote w:id="41">
    <w:p w14:paraId="0B732595" w14:textId="77777777" w:rsidR="00485EE9" w:rsidRDefault="00485EE9" w:rsidP="00485EE9">
      <w:pPr>
        <w:jc w:val="both"/>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 xml:space="preserve"> A/HRC/56/50, 13 September 2024, para 42, </w:t>
      </w:r>
      <w:hyperlink r:id="rId43">
        <w:r>
          <w:rPr>
            <w:rFonts w:ascii="Times New Roman" w:eastAsia="Times New Roman" w:hAnsi="Times New Roman" w:cs="Times New Roman"/>
            <w:color w:val="1155CC"/>
            <w:sz w:val="16"/>
            <w:szCs w:val="16"/>
            <w:u w:val="single"/>
          </w:rPr>
          <w:t>https://docs.un.org/en/A/HRC/56/50</w:t>
        </w:r>
      </w:hyperlink>
      <w:r>
        <w:rPr>
          <w:rFonts w:ascii="Times New Roman" w:eastAsia="Times New Roman" w:hAnsi="Times New Roman" w:cs="Times New Roman"/>
          <w:sz w:val="16"/>
          <w:szCs w:val="16"/>
        </w:rPr>
        <w:t xml:space="preserve"> </w:t>
      </w:r>
    </w:p>
  </w:footnote>
  <w:footnote w:id="42">
    <w:p w14:paraId="33A66E79" w14:textId="77777777" w:rsidR="00485EE9" w:rsidRDefault="00485EE9" w:rsidP="00485EE9">
      <w:pPr>
        <w:jc w:val="both"/>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16"/>
          <w:szCs w:val="16"/>
        </w:rPr>
        <w:t xml:space="preserve"> Interim report of the Special Rapporteur on freedom of religion or belief, Nazila Ghanea, </w:t>
      </w:r>
      <w:r>
        <w:rPr>
          <w:rFonts w:ascii="Times New Roman" w:eastAsia="Times New Roman" w:hAnsi="Times New Roman" w:cs="Times New Roman"/>
          <w:i/>
          <w:iCs/>
          <w:sz w:val="16"/>
          <w:szCs w:val="16"/>
        </w:rPr>
        <w:t>Peace and freedom of religion or belief</w:t>
      </w:r>
      <w:r>
        <w:rPr>
          <w:rFonts w:ascii="Times New Roman" w:eastAsia="Times New Roman" w:hAnsi="Times New Roman" w:cs="Times New Roman"/>
          <w:sz w:val="16"/>
          <w:szCs w:val="16"/>
        </w:rPr>
        <w:t xml:space="preserve">, A/79/182, 18 July 2024, para 48, </w:t>
      </w:r>
      <w:hyperlink r:id="rId44">
        <w:r>
          <w:rPr>
            <w:rFonts w:ascii="Times New Roman" w:eastAsia="Times New Roman" w:hAnsi="Times New Roman" w:cs="Times New Roman"/>
            <w:color w:val="1155CC"/>
            <w:sz w:val="16"/>
            <w:szCs w:val="16"/>
            <w:u w:val="single"/>
          </w:rPr>
          <w:t>https://docs.un.org/en/A/79/182</w:t>
        </w:r>
      </w:hyperlink>
      <w:r>
        <w:rPr>
          <w:rFonts w:ascii="Times New Roman" w:eastAsia="Times New Roman" w:hAnsi="Times New Roman" w:cs="Times New Roman"/>
          <w:sz w:val="16"/>
          <w:szCs w:val="16"/>
        </w:rPr>
        <w:t xml:space="preserve"> </w:t>
      </w:r>
    </w:p>
  </w:footnote>
  <w:footnote w:id="43">
    <w:p w14:paraId="65D431D0" w14:textId="77777777" w:rsidR="0084193C" w:rsidRDefault="0084193C" w:rsidP="0084193C">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16"/>
          <w:szCs w:val="16"/>
        </w:rPr>
        <w:t xml:space="preserve">A/HRC/56/50, 13 September 2024, para 80, </w:t>
      </w:r>
      <w:hyperlink r:id="rId45">
        <w:r>
          <w:rPr>
            <w:rFonts w:ascii="Times New Roman" w:eastAsia="Times New Roman" w:hAnsi="Times New Roman" w:cs="Times New Roman"/>
            <w:color w:val="1155CC"/>
            <w:sz w:val="16"/>
            <w:szCs w:val="16"/>
            <w:u w:val="single"/>
          </w:rPr>
          <w:t>https://docs.un.org/en/A/HRC/56/50</w:t>
        </w:r>
      </w:hyperlink>
      <w:r>
        <w:rPr>
          <w:rFonts w:ascii="Times New Roman" w:eastAsia="Times New Roman" w:hAnsi="Times New Roman" w:cs="Times New Roman"/>
          <w:sz w:val="16"/>
          <w:szCs w:val="16"/>
        </w:rPr>
        <w:t xml:space="preserve"> </w:t>
      </w:r>
    </w:p>
  </w:footnote>
  <w:footnote w:id="44">
    <w:p w14:paraId="1887F732" w14:textId="77777777" w:rsidR="0084193C" w:rsidRPr="00C74359" w:rsidRDefault="0084193C" w:rsidP="0084193C">
      <w:pPr>
        <w:rPr>
          <w:rFonts w:ascii="Gill Sans MT" w:eastAsia="Times New Roman" w:hAnsi="Gill Sans MT"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sz w:val="16"/>
          <w:szCs w:val="16"/>
        </w:rPr>
        <w:t xml:space="preserve"> A/HRC/50/23, 10 May 2022, para. 9  </w:t>
      </w:r>
    </w:p>
  </w:footnote>
  <w:footnote w:id="45">
    <w:p w14:paraId="3322EB98" w14:textId="77777777" w:rsidR="0084193C" w:rsidRPr="00C74359" w:rsidRDefault="0084193C" w:rsidP="0084193C">
      <w:pPr>
        <w:spacing w:line="240" w:lineRule="auto"/>
        <w:rPr>
          <w:rFonts w:ascii="Gill Sans MT" w:eastAsia="Times New Roman" w:hAnsi="Gill Sans MT"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sz w:val="16"/>
          <w:szCs w:val="16"/>
        </w:rPr>
        <w:t xml:space="preserve">European Court of Human Rights, </w:t>
      </w:r>
      <w:r w:rsidRPr="00C74359">
        <w:rPr>
          <w:rFonts w:ascii="Gill Sans MT" w:eastAsia="Times New Roman" w:hAnsi="Gill Sans MT" w:cs="Times New Roman"/>
          <w:i/>
          <w:iCs/>
          <w:sz w:val="16"/>
          <w:szCs w:val="16"/>
        </w:rPr>
        <w:t>Ecodefence and Others v. Russia</w:t>
      </w:r>
      <w:r w:rsidRPr="00C74359">
        <w:rPr>
          <w:rFonts w:ascii="Gill Sans MT" w:eastAsia="Times New Roman" w:hAnsi="Gill Sans MT" w:cs="Times New Roman"/>
          <w:sz w:val="16"/>
          <w:szCs w:val="16"/>
        </w:rPr>
        <w:t>, no.</w:t>
      </w:r>
      <w:hyperlink r:id="rId46" w:anchor="%7B%22appno%22:%5B%229988/13%22%5D,%22itemid%22:%5B%22001-217751%22%5D%7D">
        <w:r w:rsidRPr="00C74359">
          <w:rPr>
            <w:rFonts w:ascii="Gill Sans MT" w:eastAsia="Times New Roman" w:hAnsi="Gill Sans MT" w:cs="Times New Roman"/>
            <w:sz w:val="16"/>
            <w:szCs w:val="16"/>
          </w:rPr>
          <w:t xml:space="preserve"> 9988/13</w:t>
        </w:r>
      </w:hyperlink>
      <w:r w:rsidRPr="00C74359">
        <w:rPr>
          <w:rFonts w:ascii="Gill Sans MT" w:eastAsia="Times New Roman" w:hAnsi="Gill Sans MT" w:cs="Times New Roman"/>
          <w:sz w:val="16"/>
          <w:szCs w:val="16"/>
        </w:rPr>
        <w:t>, 14 June 2022, paras. 139 and 165</w:t>
      </w:r>
    </w:p>
  </w:footnote>
  <w:footnote w:id="46">
    <w:p w14:paraId="5DB4E30F" w14:textId="77777777" w:rsidR="0084193C" w:rsidRPr="00C74359" w:rsidRDefault="0084193C" w:rsidP="0084193C">
      <w:pPr>
        <w:rPr>
          <w:rFonts w:ascii="Gill Sans MT" w:eastAsia="Times New Roman" w:hAnsi="Gill Sans MT"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sz w:val="16"/>
          <w:szCs w:val="16"/>
        </w:rPr>
        <w:t xml:space="preserve"> CCPR/C/HUN/CO/6, 9 May 2018, para. 53-56 </w:t>
      </w:r>
    </w:p>
  </w:footnote>
  <w:footnote w:id="47">
    <w:p w14:paraId="7F77A32B" w14:textId="77777777" w:rsidR="0084193C" w:rsidRPr="00C74359" w:rsidRDefault="0084193C" w:rsidP="0084193C">
      <w:pPr>
        <w:rPr>
          <w:rFonts w:ascii="Gill Sans MT" w:eastAsia="Times New Roman" w:hAnsi="Gill Sans MT"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sz w:val="16"/>
          <w:szCs w:val="16"/>
        </w:rPr>
        <w:t xml:space="preserve"> CCPR/C/AZE/CO/4, 16 November 2016, para. 40-41</w:t>
      </w:r>
    </w:p>
  </w:footnote>
  <w:footnote w:id="48">
    <w:p w14:paraId="2BBB97F7" w14:textId="77777777" w:rsidR="0084193C" w:rsidRDefault="0084193C" w:rsidP="0084193C">
      <w:pPr>
        <w:spacing w:line="240" w:lineRule="auto"/>
        <w:jc w:val="both"/>
        <w:rPr>
          <w:rFonts w:ascii="Times New Roman" w:eastAsia="Times New Roman" w:hAnsi="Times New Roman" w:cs="Times New Roman"/>
          <w:sz w:val="14"/>
          <w:szCs w:val="14"/>
        </w:rPr>
      </w:pPr>
      <w:r w:rsidRPr="00C74359">
        <w:rPr>
          <w:rFonts w:ascii="Gill Sans MT" w:hAnsi="Gill Sans MT"/>
          <w:vertAlign w:val="superscript"/>
        </w:rPr>
        <w:footnoteRef/>
      </w:r>
      <w:r w:rsidRPr="00C74359">
        <w:rPr>
          <w:rFonts w:ascii="Gill Sans MT" w:eastAsia="Times New Roman" w:hAnsi="Gill Sans MT" w:cs="Times New Roman"/>
          <w:sz w:val="20"/>
          <w:szCs w:val="20"/>
        </w:rPr>
        <w:t xml:space="preserve"> </w:t>
      </w:r>
      <w:r w:rsidRPr="00C74359">
        <w:rPr>
          <w:rFonts w:ascii="Gill Sans MT" w:eastAsia="Times New Roman" w:hAnsi="Gill Sans MT" w:cs="Times New Roman"/>
          <w:sz w:val="16"/>
          <w:szCs w:val="16"/>
        </w:rPr>
        <w:t>Special Rapporteur on freedom of religion or belief,</w:t>
      </w:r>
      <w:r w:rsidRPr="00C74359">
        <w:rPr>
          <w:rFonts w:ascii="Gill Sans MT" w:eastAsia="Times New Roman" w:hAnsi="Gill Sans MT" w:cs="Times New Roman"/>
          <w:i/>
          <w:iCs/>
          <w:sz w:val="16"/>
          <w:szCs w:val="16"/>
        </w:rPr>
        <w:t xml:space="preserve"> Rapporteur’s Digest on Freedom of Religion or Belief, Second edition (2023)</w:t>
      </w:r>
      <w:r w:rsidRPr="00C74359">
        <w:rPr>
          <w:rFonts w:ascii="Gill Sans MT" w:eastAsia="Times New Roman" w:hAnsi="Gill Sans MT" w:cs="Times New Roman"/>
          <w:sz w:val="16"/>
          <w:szCs w:val="16"/>
        </w:rPr>
        <w:t xml:space="preserve">, p.66 </w:t>
      </w:r>
      <w:hyperlink r:id="rId47">
        <w:r w:rsidRPr="00C74359">
          <w:rPr>
            <w:rFonts w:ascii="Gill Sans MT" w:eastAsia="Times New Roman" w:hAnsi="Gill Sans MT" w:cs="Times New Roman"/>
            <w:color w:val="1155CC"/>
            <w:sz w:val="16"/>
            <w:szCs w:val="16"/>
            <w:u w:val="single"/>
          </w:rPr>
          <w:t>https://www.ohchr.org/sites/default/files/Documents/Issues/Religion/RapporteursDigestFreedomReligionBelief.pdf</w:t>
        </w:r>
      </w:hyperlink>
      <w:r>
        <w:rPr>
          <w:rFonts w:ascii="Times New Roman" w:eastAsia="Times New Roman" w:hAnsi="Times New Roman" w:cs="Times New Roman"/>
          <w:sz w:val="16"/>
          <w:szCs w:val="16"/>
        </w:rPr>
        <w:t xml:space="preserve"> </w:t>
      </w:r>
    </w:p>
  </w:footnote>
  <w:footnote w:id="49">
    <w:p w14:paraId="56C1B592" w14:textId="77777777" w:rsidR="0084193C" w:rsidRPr="00C74359" w:rsidRDefault="0084193C" w:rsidP="0084193C">
      <w:pPr>
        <w:rPr>
          <w:rFonts w:ascii="Gill Sans MT" w:eastAsia="Times New Roman" w:hAnsi="Gill Sans MT" w:cs="Times New Roman"/>
          <w:sz w:val="16"/>
          <w:szCs w:val="16"/>
        </w:rPr>
      </w:pPr>
      <w:r w:rsidRPr="00C74359">
        <w:rPr>
          <w:rFonts w:ascii="Gill Sans MT" w:hAnsi="Gill Sans MT"/>
          <w:vertAlign w:val="superscript"/>
        </w:rPr>
        <w:footnoteRef/>
      </w:r>
      <w:r w:rsidRPr="00C74359">
        <w:rPr>
          <w:rFonts w:ascii="Gill Sans MT" w:eastAsia="Times New Roman" w:hAnsi="Gill Sans MT" w:cs="Times New Roman"/>
          <w:sz w:val="16"/>
          <w:szCs w:val="16"/>
        </w:rPr>
        <w:t xml:space="preserve"> CCPR/C/BLR/CO/5, 22 November 2018, para 46</w:t>
      </w:r>
    </w:p>
  </w:footnote>
  <w:footnote w:id="50">
    <w:p w14:paraId="67822802" w14:textId="77777777" w:rsidR="0084193C" w:rsidRPr="00485EE9" w:rsidRDefault="0084193C" w:rsidP="0084193C">
      <w:pPr>
        <w:spacing w:line="240" w:lineRule="auto"/>
        <w:jc w:val="both"/>
        <w:rPr>
          <w:rFonts w:ascii="Gill Sans MT" w:eastAsia="Merriweather" w:hAnsi="Gill Sans MT" w:cs="Merriweather"/>
          <w:sz w:val="18"/>
          <w:szCs w:val="18"/>
        </w:rPr>
      </w:pPr>
      <w:r w:rsidRPr="00485EE9">
        <w:rPr>
          <w:rFonts w:ascii="Gill Sans MT" w:hAnsi="Gill Sans MT"/>
          <w:vertAlign w:val="superscript"/>
        </w:rPr>
        <w:footnoteRef/>
      </w:r>
      <w:r w:rsidRPr="00485EE9">
        <w:rPr>
          <w:rFonts w:ascii="Gill Sans MT" w:eastAsia="Merriweather" w:hAnsi="Gill Sans MT" w:cs="Merriweather"/>
          <w:sz w:val="18"/>
          <w:szCs w:val="18"/>
        </w:rPr>
        <w:t xml:space="preserve"> A/HRC/20/27, para. 52. </w:t>
      </w:r>
      <w:hyperlink r:id="rId48">
        <w:r w:rsidRPr="00485EE9">
          <w:rPr>
            <w:rFonts w:ascii="Gill Sans MT" w:eastAsia="Merriweather" w:hAnsi="Gill Sans MT" w:cs="Merriweather"/>
            <w:color w:val="1155CC"/>
            <w:sz w:val="18"/>
            <w:szCs w:val="18"/>
            <w:u w:val="single"/>
          </w:rPr>
          <w:t>https://docs.un.org/en/A/HRC/20/27</w:t>
        </w:r>
      </w:hyperlink>
      <w:r w:rsidRPr="00485EE9">
        <w:rPr>
          <w:rFonts w:ascii="Gill Sans MT" w:eastAsia="Merriweather" w:hAnsi="Gill Sans MT" w:cs="Merriweather"/>
          <w:sz w:val="18"/>
          <w:szCs w:val="18"/>
        </w:rPr>
        <w:t xml:space="preserve"> (24.06.2026). </w:t>
      </w:r>
    </w:p>
  </w:footnote>
  <w:footnote w:id="51">
    <w:p w14:paraId="0745D036" w14:textId="77777777" w:rsidR="0084193C" w:rsidRPr="00485EE9" w:rsidRDefault="0084193C" w:rsidP="0084193C">
      <w:pPr>
        <w:spacing w:line="240" w:lineRule="auto"/>
        <w:jc w:val="both"/>
        <w:rPr>
          <w:rFonts w:ascii="Gill Sans MT" w:eastAsia="Merriweather" w:hAnsi="Gill Sans MT" w:cs="Merriweather"/>
          <w:sz w:val="18"/>
          <w:szCs w:val="18"/>
        </w:rPr>
      </w:pPr>
      <w:r w:rsidRPr="00485EE9">
        <w:rPr>
          <w:rFonts w:ascii="Gill Sans MT" w:hAnsi="Gill Sans MT"/>
          <w:vertAlign w:val="superscript"/>
        </w:rPr>
        <w:footnoteRef/>
      </w:r>
      <w:r w:rsidRPr="00485EE9">
        <w:rPr>
          <w:rFonts w:ascii="Gill Sans MT" w:eastAsia="Merriweather" w:hAnsi="Gill Sans MT" w:cs="Merriweather"/>
          <w:sz w:val="18"/>
          <w:szCs w:val="18"/>
        </w:rPr>
        <w:t xml:space="preserve"> ECtHR, </w:t>
      </w:r>
      <w:r w:rsidRPr="00485EE9">
        <w:rPr>
          <w:rFonts w:ascii="Gill Sans MT" w:eastAsia="Merriweather" w:hAnsi="Gill Sans MT" w:cs="Merriweather"/>
          <w:i/>
          <w:iCs/>
          <w:sz w:val="18"/>
          <w:szCs w:val="18"/>
        </w:rPr>
        <w:t>United Communist Party of Turkey and Others v. Turkey</w:t>
      </w:r>
      <w:r w:rsidRPr="00485EE9">
        <w:rPr>
          <w:rFonts w:ascii="Gill Sans MT" w:eastAsia="Merriweather" w:hAnsi="Gill Sans MT" w:cs="Merriweather"/>
          <w:sz w:val="18"/>
          <w:szCs w:val="18"/>
        </w:rPr>
        <w:t xml:space="preserve">, Application no. 133/1996/752/951, 30 January 1998, para. 24, para. 25. </w:t>
      </w:r>
      <w:hyperlink r:id="rId49">
        <w:r w:rsidRPr="00485EE9">
          <w:rPr>
            <w:rFonts w:ascii="Gill Sans MT" w:eastAsia="Merriweather" w:hAnsi="Gill Sans MT" w:cs="Merriweather"/>
            <w:color w:val="1155CC"/>
            <w:sz w:val="18"/>
            <w:szCs w:val="18"/>
            <w:u w:val="single"/>
          </w:rPr>
          <w:t>https://hudoc.echr.coe.int/eng?i=001-58128</w:t>
        </w:r>
      </w:hyperlink>
      <w:r w:rsidRPr="00485EE9">
        <w:rPr>
          <w:rFonts w:ascii="Gill Sans MT" w:eastAsia="Merriweather" w:hAnsi="Gill Sans MT" w:cs="Merriweather"/>
          <w:sz w:val="18"/>
          <w:szCs w:val="18"/>
        </w:rPr>
        <w:t xml:space="preserve"> (24.06.2026). </w:t>
      </w:r>
    </w:p>
  </w:footnote>
  <w:footnote w:id="52">
    <w:p w14:paraId="1C516848" w14:textId="77777777" w:rsidR="0084193C" w:rsidRPr="00485EE9" w:rsidRDefault="0084193C" w:rsidP="0084193C">
      <w:pPr>
        <w:spacing w:line="240" w:lineRule="auto"/>
        <w:jc w:val="both"/>
        <w:rPr>
          <w:rFonts w:ascii="Gill Sans MT" w:eastAsia="Merriweather" w:hAnsi="Gill Sans MT" w:cs="Merriweather"/>
          <w:sz w:val="18"/>
          <w:szCs w:val="18"/>
        </w:rPr>
      </w:pPr>
      <w:r w:rsidRPr="00485EE9">
        <w:rPr>
          <w:rFonts w:ascii="Gill Sans MT" w:hAnsi="Gill Sans MT"/>
          <w:vertAlign w:val="superscript"/>
        </w:rPr>
        <w:footnoteRef/>
      </w:r>
      <w:r w:rsidRPr="00485EE9">
        <w:rPr>
          <w:rFonts w:ascii="Gill Sans MT" w:eastAsia="Merriweather" w:hAnsi="Gill Sans MT" w:cs="Merriweather"/>
          <w:sz w:val="18"/>
          <w:szCs w:val="18"/>
        </w:rPr>
        <w:t xml:space="preserve"> Human Rights Committee, General Comment No. 25 (1996), para. 26. </w:t>
      </w:r>
      <w:hyperlink r:id="rId50">
        <w:r w:rsidRPr="00485EE9">
          <w:rPr>
            <w:rFonts w:ascii="Gill Sans MT" w:eastAsia="Merriweather" w:hAnsi="Gill Sans MT" w:cs="Merriweather"/>
            <w:color w:val="1155CC"/>
            <w:sz w:val="18"/>
            <w:szCs w:val="18"/>
            <w:u w:val="single"/>
          </w:rPr>
          <w:t>https://www.equalrightstrust.org/ertdocumentbank/general%20comment%2025.pdf</w:t>
        </w:r>
      </w:hyperlink>
      <w:r w:rsidRPr="00485EE9">
        <w:rPr>
          <w:rFonts w:ascii="Gill Sans MT" w:eastAsia="Merriweather" w:hAnsi="Gill Sans MT" w:cs="Merriweather"/>
          <w:sz w:val="18"/>
          <w:szCs w:val="18"/>
        </w:rPr>
        <w:t xml:space="preserve"> (24.06.2026). </w:t>
      </w:r>
    </w:p>
  </w:footnote>
  <w:footnote w:id="53">
    <w:p w14:paraId="7A1A62A0" w14:textId="77777777" w:rsidR="0084193C" w:rsidRDefault="0084193C" w:rsidP="0084193C">
      <w:pPr>
        <w:spacing w:line="240" w:lineRule="auto"/>
        <w:jc w:val="both"/>
        <w:rPr>
          <w:rFonts w:ascii="Merriweather" w:eastAsia="Merriweather" w:hAnsi="Merriweather" w:cs="Merriweather"/>
          <w:sz w:val="18"/>
          <w:szCs w:val="18"/>
        </w:rPr>
      </w:pPr>
      <w:r w:rsidRPr="00485EE9">
        <w:rPr>
          <w:rFonts w:ascii="Gill Sans MT" w:hAnsi="Gill Sans MT"/>
          <w:vertAlign w:val="superscript"/>
        </w:rPr>
        <w:footnoteRef/>
      </w:r>
      <w:r w:rsidRPr="00485EE9">
        <w:rPr>
          <w:rFonts w:ascii="Gill Sans MT" w:eastAsia="Merriweather" w:hAnsi="Gill Sans MT" w:cs="Merriweather"/>
          <w:sz w:val="18"/>
          <w:szCs w:val="18"/>
        </w:rPr>
        <w:t xml:space="preserve"> A/HRC/59/44, para. 41. </w:t>
      </w:r>
      <w:hyperlink r:id="rId51">
        <w:r w:rsidRPr="00485EE9">
          <w:rPr>
            <w:rFonts w:ascii="Gill Sans MT" w:eastAsia="Merriweather" w:hAnsi="Gill Sans MT" w:cs="Merriweather"/>
            <w:color w:val="1155CC"/>
            <w:sz w:val="18"/>
            <w:szCs w:val="18"/>
            <w:u w:val="single"/>
          </w:rPr>
          <w:t>https://docs.un.org/en/A/HRC/59/44</w:t>
        </w:r>
      </w:hyperlink>
      <w:r w:rsidRPr="00485EE9">
        <w:rPr>
          <w:rFonts w:ascii="Gill Sans MT" w:eastAsia="Merriweather" w:hAnsi="Gill Sans MT" w:cs="Merriweather"/>
          <w:sz w:val="18"/>
          <w:szCs w:val="18"/>
        </w:rPr>
        <w:t xml:space="preserve"> (24.06.2026).</w:t>
      </w:r>
      <w:r>
        <w:rPr>
          <w:rFonts w:ascii="Merriweather" w:eastAsia="Merriweather" w:hAnsi="Merriweather" w:cs="Merriweather"/>
          <w:sz w:val="18"/>
          <w:szCs w:val="18"/>
        </w:rPr>
        <w:t xml:space="preserve"> </w:t>
      </w:r>
    </w:p>
  </w:footnote>
  <w:footnote w:id="54">
    <w:p w14:paraId="61469779" w14:textId="77777777" w:rsidR="0084193C" w:rsidRPr="00206A7F" w:rsidRDefault="0084193C" w:rsidP="0084193C">
      <w:pPr>
        <w:spacing w:line="240" w:lineRule="auto"/>
        <w:jc w:val="both"/>
        <w:rPr>
          <w:rFonts w:ascii="Gill Sans MT" w:eastAsia="Merriweather" w:hAnsi="Gill Sans MT" w:cs="Merriweather"/>
          <w:sz w:val="18"/>
          <w:szCs w:val="18"/>
        </w:rPr>
      </w:pPr>
      <w:r>
        <w:rPr>
          <w:vertAlign w:val="superscript"/>
        </w:rPr>
        <w:footnoteRef/>
      </w:r>
      <w:r>
        <w:rPr>
          <w:rFonts w:ascii="Merriweather" w:eastAsia="Merriweather" w:hAnsi="Merriweather" w:cs="Merriweather"/>
          <w:sz w:val="18"/>
          <w:szCs w:val="18"/>
        </w:rPr>
        <w:t xml:space="preserve"> </w:t>
      </w:r>
      <w:r w:rsidRPr="00206A7F">
        <w:rPr>
          <w:rFonts w:ascii="Gill Sans MT" w:eastAsia="Merriweather" w:hAnsi="Gill Sans MT" w:cs="Merriweather"/>
          <w:sz w:val="18"/>
          <w:szCs w:val="18"/>
        </w:rPr>
        <w:t xml:space="preserve">ECtHR, </w:t>
      </w:r>
      <w:r w:rsidRPr="00206A7F">
        <w:rPr>
          <w:rFonts w:ascii="Gill Sans MT" w:eastAsia="Merriweather" w:hAnsi="Gill Sans MT" w:cs="Merriweather"/>
          <w:i/>
          <w:iCs/>
          <w:sz w:val="18"/>
          <w:szCs w:val="18"/>
        </w:rPr>
        <w:t>Republican Party of Russia v. Russia</w:t>
      </w:r>
      <w:r w:rsidRPr="00206A7F">
        <w:rPr>
          <w:rFonts w:ascii="Gill Sans MT" w:eastAsia="Merriweather" w:hAnsi="Gill Sans MT" w:cs="Merriweather"/>
          <w:sz w:val="18"/>
          <w:szCs w:val="18"/>
        </w:rPr>
        <w:t xml:space="preserve">, Application no. 12976/07, 15 September 2011, para. 78. </w:t>
      </w:r>
      <w:hyperlink r:id="rId52">
        <w:r w:rsidRPr="00206A7F">
          <w:rPr>
            <w:rFonts w:ascii="Gill Sans MT" w:eastAsia="Merriweather" w:hAnsi="Gill Sans MT" w:cs="Merriweather"/>
            <w:color w:val="1155CC"/>
            <w:sz w:val="18"/>
            <w:szCs w:val="18"/>
            <w:u w:val="single"/>
          </w:rPr>
          <w:t>https://hudoc.echr.coe.int/eng?i=001-104495</w:t>
        </w:r>
      </w:hyperlink>
      <w:r w:rsidRPr="00206A7F">
        <w:rPr>
          <w:rFonts w:ascii="Gill Sans MT" w:eastAsia="Merriweather" w:hAnsi="Gill Sans MT" w:cs="Merriweather"/>
          <w:sz w:val="18"/>
          <w:szCs w:val="18"/>
        </w:rPr>
        <w:t xml:space="preserve"> (24.06.2026). </w:t>
      </w:r>
    </w:p>
  </w:footnote>
  <w:footnote w:id="55">
    <w:p w14:paraId="6C2DE6D4" w14:textId="77777777" w:rsidR="0084193C" w:rsidRPr="00206A7F" w:rsidRDefault="0084193C" w:rsidP="0084193C">
      <w:pPr>
        <w:spacing w:line="240" w:lineRule="auto"/>
        <w:jc w:val="both"/>
        <w:rPr>
          <w:rFonts w:ascii="Gill Sans MT" w:eastAsia="Merriweather" w:hAnsi="Gill Sans MT" w:cs="Merriweather"/>
          <w:sz w:val="18"/>
          <w:szCs w:val="18"/>
        </w:rPr>
      </w:pPr>
      <w:r w:rsidRPr="00206A7F">
        <w:rPr>
          <w:rFonts w:ascii="Gill Sans MT" w:hAnsi="Gill Sans MT"/>
          <w:vertAlign w:val="superscript"/>
        </w:rPr>
        <w:footnoteRef/>
      </w:r>
      <w:r w:rsidRPr="00206A7F">
        <w:rPr>
          <w:rFonts w:ascii="Gill Sans MT" w:eastAsia="Merriweather" w:hAnsi="Gill Sans MT" w:cs="Merriweather"/>
          <w:sz w:val="18"/>
          <w:szCs w:val="18"/>
        </w:rPr>
        <w:t xml:space="preserve"> OSCE Office for Democratic Institutions and Human Rights and the Venice Commission of the Council of Europe, </w:t>
      </w:r>
      <w:r w:rsidRPr="00206A7F">
        <w:rPr>
          <w:rFonts w:ascii="Gill Sans MT" w:eastAsia="Merriweather" w:hAnsi="Gill Sans MT" w:cs="Merriweather"/>
          <w:i/>
          <w:iCs/>
          <w:sz w:val="18"/>
          <w:szCs w:val="18"/>
        </w:rPr>
        <w:t xml:space="preserve">Guidelines on Political Party Regulation </w:t>
      </w:r>
      <w:r w:rsidRPr="00206A7F">
        <w:rPr>
          <w:rFonts w:ascii="Gill Sans MT" w:eastAsia="Merriweather" w:hAnsi="Gill Sans MT" w:cs="Merriweather"/>
          <w:sz w:val="18"/>
          <w:szCs w:val="18"/>
        </w:rPr>
        <w:t xml:space="preserve">(2011), para. 16. </w:t>
      </w:r>
      <w:hyperlink r:id="rId53">
        <w:r w:rsidRPr="00206A7F">
          <w:rPr>
            <w:rFonts w:ascii="Gill Sans MT" w:eastAsia="Merriweather" w:hAnsi="Gill Sans MT" w:cs="Merriweather"/>
            <w:color w:val="1155CC"/>
            <w:sz w:val="18"/>
            <w:szCs w:val="18"/>
            <w:u w:val="single"/>
          </w:rPr>
          <w:t>https://odihr.osce.org/sites/default/files/f/documents/2/b/77812.pdf</w:t>
        </w:r>
      </w:hyperlink>
      <w:r w:rsidRPr="00206A7F">
        <w:rPr>
          <w:rFonts w:ascii="Gill Sans MT" w:eastAsia="Merriweather" w:hAnsi="Gill Sans MT" w:cs="Merriweather"/>
          <w:sz w:val="18"/>
          <w:szCs w:val="18"/>
        </w:rPr>
        <w:t xml:space="preserve"> (25.06.2026).</w:t>
      </w:r>
    </w:p>
  </w:footnote>
  <w:footnote w:id="56">
    <w:p w14:paraId="37FD461B" w14:textId="77777777" w:rsidR="0084193C" w:rsidRPr="00206A7F" w:rsidRDefault="0084193C" w:rsidP="0084193C">
      <w:pPr>
        <w:spacing w:line="240" w:lineRule="auto"/>
        <w:jc w:val="both"/>
        <w:rPr>
          <w:rFonts w:ascii="Gill Sans MT" w:eastAsia="Merriweather" w:hAnsi="Gill Sans MT" w:cs="Merriweather"/>
          <w:sz w:val="18"/>
          <w:szCs w:val="18"/>
        </w:rPr>
      </w:pPr>
      <w:r w:rsidRPr="00206A7F">
        <w:rPr>
          <w:rFonts w:ascii="Gill Sans MT" w:hAnsi="Gill Sans MT"/>
          <w:vertAlign w:val="superscript"/>
        </w:rPr>
        <w:footnoteRef/>
      </w:r>
      <w:r w:rsidRPr="00206A7F">
        <w:rPr>
          <w:rFonts w:ascii="Gill Sans MT" w:eastAsia="Merriweather" w:hAnsi="Gill Sans MT" w:cs="Merriweather"/>
          <w:sz w:val="18"/>
          <w:szCs w:val="18"/>
        </w:rPr>
        <w:t xml:space="preserve"> Ibid.</w:t>
      </w:r>
    </w:p>
  </w:footnote>
  <w:footnote w:id="57">
    <w:p w14:paraId="0A7753A7" w14:textId="77777777" w:rsidR="0084193C" w:rsidRPr="00206A7F" w:rsidRDefault="0084193C" w:rsidP="0084193C">
      <w:pPr>
        <w:spacing w:line="240" w:lineRule="auto"/>
        <w:jc w:val="both"/>
        <w:rPr>
          <w:rFonts w:ascii="Gill Sans MT" w:eastAsia="Merriweather" w:hAnsi="Gill Sans MT" w:cs="Merriweather"/>
          <w:sz w:val="18"/>
          <w:szCs w:val="18"/>
        </w:rPr>
      </w:pPr>
      <w:r w:rsidRPr="00206A7F">
        <w:rPr>
          <w:rFonts w:ascii="Gill Sans MT" w:hAnsi="Gill Sans MT"/>
          <w:vertAlign w:val="superscript"/>
        </w:rPr>
        <w:footnoteRef/>
      </w:r>
      <w:r w:rsidRPr="00206A7F">
        <w:rPr>
          <w:rFonts w:ascii="Gill Sans MT" w:eastAsia="Merriweather" w:hAnsi="Gill Sans MT" w:cs="Merriweather"/>
          <w:sz w:val="18"/>
          <w:szCs w:val="18"/>
        </w:rPr>
        <w:t xml:space="preserve"> OSCE Office for Democratic Institutions and Human Rights and the Venice Commission of the Council of Europe, </w:t>
      </w:r>
      <w:r w:rsidRPr="00206A7F">
        <w:rPr>
          <w:rFonts w:ascii="Gill Sans MT" w:eastAsia="Merriweather" w:hAnsi="Gill Sans MT" w:cs="Merriweather"/>
          <w:i/>
          <w:iCs/>
          <w:sz w:val="18"/>
          <w:szCs w:val="18"/>
        </w:rPr>
        <w:t>Guidelines on Political Party Regulation, Second Edition</w:t>
      </w:r>
      <w:r w:rsidRPr="00206A7F">
        <w:rPr>
          <w:rFonts w:ascii="Gill Sans MT" w:eastAsia="Merriweather" w:hAnsi="Gill Sans MT" w:cs="Merriweather"/>
          <w:sz w:val="18"/>
          <w:szCs w:val="18"/>
        </w:rPr>
        <w:t xml:space="preserve"> (2020), para. 49-52. </w:t>
      </w:r>
      <w:hyperlink r:id="rId54">
        <w:r w:rsidRPr="00206A7F">
          <w:rPr>
            <w:rFonts w:ascii="Gill Sans MT" w:eastAsia="Merriweather" w:hAnsi="Gill Sans MT" w:cs="Merriweather"/>
            <w:color w:val="1155CC"/>
            <w:sz w:val="18"/>
            <w:szCs w:val="18"/>
            <w:u w:val="single"/>
          </w:rPr>
          <w:t>https://odihr.osce.org/sites/default/files/f/documents/8/1/538473.pdf</w:t>
        </w:r>
      </w:hyperlink>
      <w:r w:rsidRPr="00206A7F">
        <w:rPr>
          <w:rFonts w:ascii="Gill Sans MT" w:eastAsia="Merriweather" w:hAnsi="Gill Sans MT" w:cs="Merriweather"/>
          <w:sz w:val="18"/>
          <w:szCs w:val="18"/>
        </w:rPr>
        <w:t xml:space="preserve"> (25.06.2026). </w:t>
      </w:r>
    </w:p>
  </w:footnote>
  <w:footnote w:id="58">
    <w:p w14:paraId="1ED0D8FB" w14:textId="77777777" w:rsidR="0084193C" w:rsidRPr="00206A7F" w:rsidRDefault="0084193C" w:rsidP="0084193C">
      <w:pPr>
        <w:spacing w:line="240" w:lineRule="auto"/>
        <w:jc w:val="both"/>
        <w:rPr>
          <w:rFonts w:ascii="Gill Sans MT" w:eastAsia="Merriweather" w:hAnsi="Gill Sans MT" w:cs="Merriweather"/>
          <w:sz w:val="18"/>
          <w:szCs w:val="18"/>
        </w:rPr>
      </w:pPr>
      <w:r w:rsidRPr="00206A7F">
        <w:rPr>
          <w:rFonts w:ascii="Gill Sans MT" w:hAnsi="Gill Sans MT"/>
          <w:vertAlign w:val="superscript"/>
        </w:rPr>
        <w:footnoteRef/>
      </w:r>
      <w:r w:rsidRPr="00206A7F">
        <w:rPr>
          <w:rFonts w:ascii="Gill Sans MT" w:eastAsia="Merriweather" w:hAnsi="Gill Sans MT" w:cs="Merriweather"/>
          <w:sz w:val="18"/>
          <w:szCs w:val="18"/>
        </w:rPr>
        <w:t xml:space="preserve"> Ibid. para. 50. </w:t>
      </w:r>
    </w:p>
  </w:footnote>
  <w:footnote w:id="59">
    <w:p w14:paraId="4D20C836" w14:textId="77777777" w:rsidR="0084193C" w:rsidRDefault="0084193C" w:rsidP="0084193C">
      <w:pPr>
        <w:spacing w:line="240" w:lineRule="auto"/>
        <w:jc w:val="both"/>
        <w:rPr>
          <w:rFonts w:ascii="Merriweather" w:eastAsia="Merriweather" w:hAnsi="Merriweather" w:cs="Merriweather"/>
          <w:sz w:val="18"/>
          <w:szCs w:val="18"/>
        </w:rPr>
      </w:pPr>
      <w:r w:rsidRPr="00206A7F">
        <w:rPr>
          <w:rFonts w:ascii="Gill Sans MT" w:hAnsi="Gill Sans MT"/>
          <w:vertAlign w:val="superscript"/>
        </w:rPr>
        <w:footnoteRef/>
      </w:r>
      <w:r w:rsidRPr="00206A7F">
        <w:rPr>
          <w:rFonts w:ascii="Gill Sans MT" w:eastAsia="Merriweather" w:hAnsi="Gill Sans MT" w:cs="Merriweather"/>
          <w:sz w:val="18"/>
          <w:szCs w:val="18"/>
        </w:rPr>
        <w:t xml:space="preserve"> ECtHR,</w:t>
      </w:r>
      <w:r w:rsidRPr="00206A7F">
        <w:rPr>
          <w:rFonts w:ascii="Gill Sans MT" w:hAnsi="Gill Sans MT"/>
          <w:i/>
          <w:iCs/>
          <w:sz w:val="18"/>
          <w:szCs w:val="18"/>
        </w:rPr>
        <w:t xml:space="preserve"> Refah Parti</w:t>
      </w:r>
      <w:r w:rsidRPr="00206A7F">
        <w:rPr>
          <w:i/>
          <w:iCs/>
          <w:sz w:val="18"/>
          <w:szCs w:val="18"/>
        </w:rPr>
        <w:t>̇</w:t>
      </w:r>
      <w:r w:rsidRPr="00206A7F">
        <w:rPr>
          <w:rFonts w:ascii="Gill Sans MT" w:hAnsi="Gill Sans MT"/>
          <w:i/>
          <w:iCs/>
          <w:sz w:val="18"/>
          <w:szCs w:val="18"/>
        </w:rPr>
        <w:t>si</w:t>
      </w:r>
      <w:r w:rsidRPr="00206A7F">
        <w:rPr>
          <w:i/>
          <w:iCs/>
          <w:sz w:val="18"/>
          <w:szCs w:val="18"/>
        </w:rPr>
        <w:t>̇</w:t>
      </w:r>
      <w:r w:rsidRPr="00206A7F">
        <w:rPr>
          <w:rFonts w:ascii="Gill Sans MT" w:hAnsi="Gill Sans MT"/>
          <w:i/>
          <w:iCs/>
          <w:sz w:val="18"/>
          <w:szCs w:val="18"/>
        </w:rPr>
        <w:t xml:space="preserve"> (The Welfare Party) and Others v. Turkey</w:t>
      </w:r>
      <w:r w:rsidRPr="00206A7F">
        <w:rPr>
          <w:rFonts w:ascii="Gill Sans MT" w:eastAsia="Merriweather" w:hAnsi="Gill Sans MT" w:cs="Merriweather"/>
          <w:sz w:val="18"/>
          <w:szCs w:val="18"/>
        </w:rPr>
        <w:t xml:space="preserve">, Application no. 41340/98, 41342/98, 41343/98 and 41344/98), 13 February 2003, para. 100. </w:t>
      </w:r>
      <w:hyperlink r:id="rId55">
        <w:r w:rsidRPr="00206A7F">
          <w:rPr>
            <w:rFonts w:ascii="Gill Sans MT" w:eastAsia="Merriweather" w:hAnsi="Gill Sans MT" w:cs="Merriweather"/>
            <w:color w:val="1155CC"/>
            <w:sz w:val="18"/>
            <w:szCs w:val="18"/>
            <w:u w:val="single"/>
          </w:rPr>
          <w:t>https://hudoc.echr.coe.int/eng?i=001-60936</w:t>
        </w:r>
      </w:hyperlink>
      <w:r w:rsidRPr="00206A7F">
        <w:rPr>
          <w:rFonts w:ascii="Gill Sans MT" w:eastAsia="Merriweather" w:hAnsi="Gill Sans MT" w:cs="Merriweather"/>
          <w:sz w:val="18"/>
          <w:szCs w:val="18"/>
        </w:rPr>
        <w:t xml:space="preserve"> (25.06.2026).</w:t>
      </w:r>
    </w:p>
  </w:footnote>
  <w:footnote w:id="60">
    <w:p w14:paraId="7DAD8DD7" w14:textId="77777777" w:rsidR="0084193C" w:rsidRPr="00206A7F" w:rsidRDefault="0084193C" w:rsidP="0084193C">
      <w:pPr>
        <w:spacing w:line="240" w:lineRule="auto"/>
        <w:rPr>
          <w:rFonts w:ascii="Gill Sans MT" w:hAnsi="Gill Sans MT"/>
          <w:sz w:val="20"/>
          <w:szCs w:val="20"/>
        </w:rPr>
      </w:pPr>
      <w:r>
        <w:rPr>
          <w:vertAlign w:val="superscript"/>
        </w:rPr>
        <w:footnoteRef/>
      </w:r>
      <w:r>
        <w:rPr>
          <w:sz w:val="20"/>
          <w:szCs w:val="20"/>
        </w:rPr>
        <w:t xml:space="preserve"> </w:t>
      </w:r>
      <w:r w:rsidRPr="00206A7F">
        <w:rPr>
          <w:rFonts w:ascii="Gill Sans MT" w:eastAsia="Merriweather" w:hAnsi="Gill Sans MT" w:cs="Merriweather"/>
          <w:sz w:val="18"/>
          <w:szCs w:val="18"/>
        </w:rPr>
        <w:t xml:space="preserve"> ECtHR, </w:t>
      </w:r>
      <w:r w:rsidRPr="00206A7F">
        <w:rPr>
          <w:rFonts w:ascii="Gill Sans MT" w:eastAsia="Merriweather" w:hAnsi="Gill Sans MT" w:cs="Merriweather"/>
          <w:i/>
          <w:iCs/>
          <w:sz w:val="18"/>
          <w:szCs w:val="18"/>
        </w:rPr>
        <w:t>United Communist Party of Turkey and Others v. Turkey</w:t>
      </w:r>
      <w:r w:rsidRPr="00206A7F">
        <w:rPr>
          <w:rFonts w:ascii="Gill Sans MT" w:eastAsia="Merriweather" w:hAnsi="Gill Sans MT" w:cs="Merriweather"/>
          <w:sz w:val="18"/>
          <w:szCs w:val="18"/>
        </w:rPr>
        <w:t xml:space="preserve">, Application no. 133/1996/752/951, 30 January 1998, para. 58. </w:t>
      </w:r>
      <w:hyperlink r:id="rId56">
        <w:r w:rsidRPr="00206A7F">
          <w:rPr>
            <w:rFonts w:ascii="Gill Sans MT" w:eastAsia="Merriweather" w:hAnsi="Gill Sans MT" w:cs="Merriweather"/>
            <w:color w:val="1155CC"/>
            <w:sz w:val="18"/>
            <w:szCs w:val="18"/>
            <w:u w:val="single"/>
          </w:rPr>
          <w:t>https://hudoc.echr.coe.int/eng?i=001-58128</w:t>
        </w:r>
      </w:hyperlink>
      <w:r w:rsidRPr="00206A7F">
        <w:rPr>
          <w:rFonts w:ascii="Gill Sans MT" w:eastAsia="Merriweather" w:hAnsi="Gill Sans MT" w:cs="Merriweather"/>
          <w:sz w:val="18"/>
          <w:szCs w:val="18"/>
        </w:rPr>
        <w:t xml:space="preserve"> (25.06.2026).</w:t>
      </w:r>
    </w:p>
  </w:footnote>
  <w:footnote w:id="61">
    <w:p w14:paraId="0627633A" w14:textId="77777777" w:rsidR="0084193C" w:rsidRDefault="0084193C" w:rsidP="0084193C">
      <w:pPr>
        <w:spacing w:line="240" w:lineRule="auto"/>
        <w:jc w:val="both"/>
        <w:rPr>
          <w:rFonts w:ascii="Merriweather" w:eastAsia="Merriweather" w:hAnsi="Merriweather" w:cs="Merriweather"/>
          <w:sz w:val="18"/>
          <w:szCs w:val="18"/>
        </w:rPr>
      </w:pPr>
      <w:r w:rsidRPr="00206A7F">
        <w:rPr>
          <w:rFonts w:ascii="Gill Sans MT" w:hAnsi="Gill Sans MT"/>
          <w:vertAlign w:val="superscript"/>
        </w:rPr>
        <w:footnoteRef/>
      </w:r>
      <w:r w:rsidRPr="00206A7F">
        <w:rPr>
          <w:rFonts w:ascii="Gill Sans MT" w:eastAsia="Merriweather" w:hAnsi="Gill Sans MT" w:cs="Merriweather"/>
          <w:sz w:val="18"/>
          <w:szCs w:val="18"/>
        </w:rPr>
        <w:t xml:space="preserve"> The OSCE Office for Democratic Institutions and Human Rights (ODIHR), OSCE fact-finding mission on Georgia (2026) under paragraph 12 of the Moscow Mechanism Document, </w:t>
      </w:r>
      <w:r w:rsidRPr="00206A7F">
        <w:rPr>
          <w:rFonts w:ascii="Gill Sans MT" w:eastAsia="Merriweather" w:hAnsi="Gill Sans MT" w:cs="Merriweather"/>
          <w:i/>
          <w:iCs/>
          <w:sz w:val="18"/>
          <w:szCs w:val="18"/>
        </w:rPr>
        <w:t>Report on Developments in Georgia in Respect of Human Rights and Fundamental Freedoms since Spring 2024</w:t>
      </w:r>
      <w:r w:rsidRPr="00206A7F">
        <w:rPr>
          <w:rFonts w:ascii="Gill Sans MT" w:eastAsia="Merriweather" w:hAnsi="Gill Sans MT" w:cs="Merriweather"/>
          <w:sz w:val="18"/>
          <w:szCs w:val="18"/>
        </w:rPr>
        <w:t xml:space="preserve">, page 58, para. 163. </w:t>
      </w:r>
      <w:hyperlink r:id="rId57">
        <w:r w:rsidRPr="00206A7F">
          <w:rPr>
            <w:rFonts w:ascii="Gill Sans MT" w:eastAsia="Merriweather" w:hAnsi="Gill Sans MT" w:cs="Merriweather"/>
            <w:color w:val="1155CC"/>
            <w:sz w:val="18"/>
            <w:szCs w:val="18"/>
            <w:u w:val="single"/>
          </w:rPr>
          <w:t>https://odihr.osce.org/sites/default/files/documents/official_documents/2026/03/odgal0009c1%20ODIHR%20NV%2082-2026%20report_Moscow%20Mechanism%20invoked%20in%20respect%20of%20Georgia_0.pdf</w:t>
        </w:r>
      </w:hyperlink>
      <w:r w:rsidRPr="00206A7F">
        <w:rPr>
          <w:rFonts w:ascii="Gill Sans MT" w:eastAsia="Merriweather" w:hAnsi="Gill Sans MT" w:cs="Merriweather"/>
          <w:sz w:val="18"/>
          <w:szCs w:val="18"/>
        </w:rPr>
        <w:t xml:space="preserve"> (25.06.2026).</w:t>
      </w:r>
    </w:p>
  </w:footnote>
  <w:footnote w:id="62">
    <w:p w14:paraId="30164DC3" w14:textId="77777777" w:rsidR="0084193C" w:rsidRPr="00206A7F" w:rsidRDefault="0084193C" w:rsidP="0084193C">
      <w:pPr>
        <w:spacing w:line="240" w:lineRule="auto"/>
        <w:jc w:val="both"/>
        <w:rPr>
          <w:rFonts w:ascii="Gill Sans MT" w:hAnsi="Gill Sans MT"/>
          <w:sz w:val="20"/>
          <w:szCs w:val="20"/>
        </w:rPr>
      </w:pPr>
      <w:r w:rsidRPr="00206A7F">
        <w:rPr>
          <w:rFonts w:ascii="Gill Sans MT" w:hAnsi="Gill Sans MT"/>
          <w:vertAlign w:val="superscript"/>
        </w:rPr>
        <w:footnoteRef/>
      </w:r>
      <w:r w:rsidRPr="00206A7F">
        <w:rPr>
          <w:rFonts w:ascii="Gill Sans MT" w:hAnsi="Gill Sans MT"/>
          <w:sz w:val="20"/>
          <w:szCs w:val="20"/>
        </w:rPr>
        <w:t xml:space="preserve"> </w:t>
      </w:r>
      <w:r w:rsidRPr="00206A7F">
        <w:rPr>
          <w:rFonts w:ascii="Gill Sans MT" w:eastAsia="Merriweather" w:hAnsi="Gill Sans MT" w:cs="Merriweather"/>
          <w:sz w:val="18"/>
          <w:szCs w:val="18"/>
        </w:rPr>
        <w:t>ECtHR,</w:t>
      </w:r>
      <w:r w:rsidRPr="00206A7F">
        <w:rPr>
          <w:rFonts w:ascii="Gill Sans MT" w:hAnsi="Gill Sans MT"/>
          <w:i/>
          <w:iCs/>
          <w:sz w:val="18"/>
          <w:szCs w:val="18"/>
        </w:rPr>
        <w:t xml:space="preserve"> Refah Parti</w:t>
      </w:r>
      <w:r w:rsidRPr="00206A7F">
        <w:rPr>
          <w:i/>
          <w:iCs/>
          <w:sz w:val="18"/>
          <w:szCs w:val="18"/>
        </w:rPr>
        <w:t>̇</w:t>
      </w:r>
      <w:r w:rsidRPr="00206A7F">
        <w:rPr>
          <w:rFonts w:ascii="Gill Sans MT" w:hAnsi="Gill Sans MT"/>
          <w:i/>
          <w:iCs/>
          <w:sz w:val="18"/>
          <w:szCs w:val="18"/>
        </w:rPr>
        <w:t>si</w:t>
      </w:r>
      <w:r w:rsidRPr="00206A7F">
        <w:rPr>
          <w:i/>
          <w:iCs/>
          <w:sz w:val="18"/>
          <w:szCs w:val="18"/>
        </w:rPr>
        <w:t>̇</w:t>
      </w:r>
      <w:r w:rsidRPr="00206A7F">
        <w:rPr>
          <w:rFonts w:ascii="Gill Sans MT" w:hAnsi="Gill Sans MT"/>
          <w:i/>
          <w:iCs/>
          <w:sz w:val="18"/>
          <w:szCs w:val="18"/>
        </w:rPr>
        <w:t xml:space="preserve"> (The Welfare Party) and Others v. Turkey</w:t>
      </w:r>
      <w:r w:rsidRPr="00206A7F">
        <w:rPr>
          <w:rFonts w:ascii="Gill Sans MT" w:eastAsia="Merriweather" w:hAnsi="Gill Sans MT" w:cs="Merriweather"/>
          <w:sz w:val="18"/>
          <w:szCs w:val="18"/>
        </w:rPr>
        <w:t xml:space="preserve">, Application no. 41340/98, 41342/98, 41343/98 and 41344/98), 13 February 2003, para. 104. </w:t>
      </w:r>
      <w:hyperlink r:id="rId58">
        <w:r w:rsidRPr="00206A7F">
          <w:rPr>
            <w:rFonts w:ascii="Gill Sans MT" w:eastAsia="Merriweather" w:hAnsi="Gill Sans MT" w:cs="Merriweather"/>
            <w:color w:val="1155CC"/>
            <w:sz w:val="18"/>
            <w:szCs w:val="18"/>
            <w:u w:val="single"/>
          </w:rPr>
          <w:t>https://hudoc.echr.coe.int/eng?i=001-60936</w:t>
        </w:r>
      </w:hyperlink>
      <w:r w:rsidRPr="00206A7F">
        <w:rPr>
          <w:rFonts w:ascii="Gill Sans MT" w:eastAsia="Merriweather" w:hAnsi="Gill Sans MT" w:cs="Merriweather"/>
          <w:sz w:val="18"/>
          <w:szCs w:val="18"/>
        </w:rPr>
        <w:t xml:space="preserve"> (25.06.2026).</w:t>
      </w:r>
    </w:p>
  </w:footnote>
  <w:footnote w:id="63">
    <w:p w14:paraId="62B1F353" w14:textId="77777777" w:rsidR="0084193C" w:rsidRPr="00206A7F" w:rsidRDefault="0084193C" w:rsidP="0084193C">
      <w:pPr>
        <w:spacing w:line="240" w:lineRule="auto"/>
        <w:jc w:val="both"/>
        <w:rPr>
          <w:rFonts w:ascii="Gill Sans MT" w:eastAsia="Merriweather" w:hAnsi="Gill Sans MT" w:cs="Merriweather"/>
          <w:sz w:val="18"/>
          <w:szCs w:val="18"/>
        </w:rPr>
      </w:pPr>
      <w:r w:rsidRPr="00206A7F">
        <w:rPr>
          <w:rFonts w:ascii="Gill Sans MT" w:hAnsi="Gill Sans MT"/>
          <w:vertAlign w:val="superscript"/>
        </w:rPr>
        <w:footnoteRef/>
      </w:r>
      <w:r w:rsidRPr="00206A7F">
        <w:rPr>
          <w:rFonts w:ascii="Gill Sans MT" w:eastAsia="Merriweather" w:hAnsi="Gill Sans MT" w:cs="Merriweather"/>
          <w:sz w:val="18"/>
          <w:szCs w:val="18"/>
        </w:rPr>
        <w:t xml:space="preserve"> A/HRC/23/39, para. 23. </w:t>
      </w:r>
      <w:hyperlink r:id="rId59">
        <w:r w:rsidRPr="00206A7F">
          <w:rPr>
            <w:rFonts w:ascii="Gill Sans MT" w:eastAsia="Merriweather" w:hAnsi="Gill Sans MT" w:cs="Merriweather"/>
            <w:color w:val="1155CC"/>
            <w:sz w:val="18"/>
            <w:szCs w:val="18"/>
            <w:u w:val="single"/>
          </w:rPr>
          <w:t>https://docs.un.org/en/A/HRC/23/39</w:t>
        </w:r>
      </w:hyperlink>
      <w:r w:rsidRPr="00206A7F">
        <w:rPr>
          <w:rFonts w:ascii="Gill Sans MT" w:eastAsia="Merriweather" w:hAnsi="Gill Sans MT" w:cs="Merriweather"/>
          <w:sz w:val="18"/>
          <w:szCs w:val="18"/>
        </w:rPr>
        <w:t xml:space="preserve"> (27.06.2026).</w:t>
      </w:r>
    </w:p>
  </w:footnote>
  <w:footnote w:id="64">
    <w:p w14:paraId="5FD0ADE9" w14:textId="77777777" w:rsidR="0084193C" w:rsidRPr="00206A7F" w:rsidRDefault="0084193C" w:rsidP="0084193C">
      <w:pPr>
        <w:spacing w:line="240" w:lineRule="auto"/>
        <w:jc w:val="both"/>
        <w:rPr>
          <w:rFonts w:ascii="Gill Sans MT" w:eastAsia="Merriweather" w:hAnsi="Gill Sans MT" w:cs="Merriweather"/>
          <w:sz w:val="18"/>
          <w:szCs w:val="18"/>
        </w:rPr>
      </w:pPr>
      <w:r w:rsidRPr="00206A7F">
        <w:rPr>
          <w:rFonts w:ascii="Gill Sans MT" w:hAnsi="Gill Sans MT"/>
          <w:vertAlign w:val="superscript"/>
        </w:rPr>
        <w:footnoteRef/>
      </w:r>
      <w:r w:rsidRPr="00206A7F">
        <w:rPr>
          <w:rFonts w:ascii="Gill Sans MT" w:eastAsia="Merriweather" w:hAnsi="Gill Sans MT" w:cs="Merriweather"/>
          <w:sz w:val="18"/>
          <w:szCs w:val="18"/>
        </w:rPr>
        <w:t xml:space="preserve"> Venice Commission and OSCE/ODIHR, CDL-AD(2023)048, </w:t>
      </w:r>
      <w:r w:rsidRPr="00206A7F">
        <w:rPr>
          <w:rFonts w:ascii="Gill Sans MT" w:eastAsia="Merriweather" w:hAnsi="Gill Sans MT" w:cs="Merriweather"/>
          <w:i/>
          <w:iCs/>
          <w:sz w:val="18"/>
          <w:szCs w:val="18"/>
        </w:rPr>
        <w:t>Republic of Moldova - Joint Follow-up Opinion of the Venice Commission and ODIHR to the Joint Opinion on amendments to the Electoral Code and other related laws concerning ineligibility of persons connected to political parties declared unconstitutional</w:t>
      </w:r>
      <w:r w:rsidRPr="00206A7F">
        <w:rPr>
          <w:rFonts w:ascii="Gill Sans MT" w:eastAsia="Merriweather" w:hAnsi="Gill Sans MT" w:cs="Merriweather"/>
          <w:sz w:val="18"/>
          <w:szCs w:val="18"/>
        </w:rPr>
        <w:t xml:space="preserve">, 14 December 2023, para. 54. </w:t>
      </w:r>
      <w:hyperlink r:id="rId60">
        <w:r w:rsidRPr="00206A7F">
          <w:rPr>
            <w:rFonts w:ascii="Gill Sans MT" w:eastAsia="Merriweather" w:hAnsi="Gill Sans MT" w:cs="Merriweather"/>
            <w:color w:val="1155CC"/>
            <w:sz w:val="18"/>
            <w:szCs w:val="18"/>
            <w:u w:val="single"/>
          </w:rPr>
          <w:t>https://www.coe.int/en/web/venice-commission/-/cdl-ad-2023-048-e</w:t>
        </w:r>
      </w:hyperlink>
      <w:r w:rsidRPr="00206A7F">
        <w:rPr>
          <w:rFonts w:ascii="Gill Sans MT" w:eastAsia="Merriweather" w:hAnsi="Gill Sans MT" w:cs="Merriweather"/>
          <w:sz w:val="18"/>
          <w:szCs w:val="18"/>
        </w:rPr>
        <w:t xml:space="preserve"> (27.06.2026).</w:t>
      </w:r>
    </w:p>
  </w:footnote>
  <w:footnote w:id="65">
    <w:p w14:paraId="63ACC006" w14:textId="77777777" w:rsidR="0084193C" w:rsidRPr="00206A7F" w:rsidRDefault="0084193C" w:rsidP="0084193C">
      <w:pPr>
        <w:spacing w:line="240" w:lineRule="auto"/>
        <w:jc w:val="both"/>
        <w:rPr>
          <w:rFonts w:ascii="Gill Sans MT" w:eastAsia="Merriweather" w:hAnsi="Gill Sans MT" w:cs="Merriweather"/>
          <w:sz w:val="18"/>
          <w:szCs w:val="18"/>
        </w:rPr>
      </w:pPr>
      <w:r w:rsidRPr="00206A7F">
        <w:rPr>
          <w:rFonts w:ascii="Gill Sans MT" w:hAnsi="Gill Sans MT"/>
          <w:vertAlign w:val="superscript"/>
        </w:rPr>
        <w:footnoteRef/>
      </w:r>
      <w:r w:rsidRPr="00206A7F">
        <w:rPr>
          <w:rFonts w:ascii="Gill Sans MT" w:eastAsia="Merriweather" w:hAnsi="Gill Sans MT" w:cs="Merriweather"/>
          <w:sz w:val="18"/>
          <w:szCs w:val="18"/>
        </w:rPr>
        <w:t xml:space="preserve"> Commissioner for Human Rights - The Council of Europe, CommHR(2026)41, </w:t>
      </w:r>
      <w:r w:rsidRPr="00206A7F">
        <w:rPr>
          <w:rFonts w:ascii="Gill Sans MT" w:eastAsia="Merriweather" w:hAnsi="Gill Sans MT" w:cs="Merriweather"/>
          <w:i/>
          <w:iCs/>
          <w:sz w:val="18"/>
          <w:szCs w:val="18"/>
        </w:rPr>
        <w:t>Memorandum on accountability of law enforcement and freedoms of assembly, association and expression in Georgia,</w:t>
      </w:r>
      <w:r w:rsidRPr="00206A7F">
        <w:rPr>
          <w:rFonts w:ascii="Gill Sans MT" w:eastAsia="Merriweather" w:hAnsi="Gill Sans MT" w:cs="Merriweather"/>
          <w:sz w:val="18"/>
          <w:szCs w:val="18"/>
        </w:rPr>
        <w:t xml:space="preserve"> 3 June 2026, para. 44-45. </w:t>
      </w:r>
    </w:p>
    <w:p w14:paraId="754F9419" w14:textId="77777777" w:rsidR="0084193C" w:rsidRDefault="00433FEE" w:rsidP="0084193C">
      <w:pPr>
        <w:spacing w:line="240" w:lineRule="auto"/>
        <w:jc w:val="both"/>
        <w:rPr>
          <w:rFonts w:ascii="Merriweather" w:eastAsia="Merriweather" w:hAnsi="Merriweather" w:cs="Merriweather"/>
          <w:sz w:val="18"/>
          <w:szCs w:val="18"/>
        </w:rPr>
      </w:pPr>
      <w:hyperlink r:id="rId61">
        <w:r w:rsidR="0084193C" w:rsidRPr="00206A7F">
          <w:rPr>
            <w:rFonts w:ascii="Gill Sans MT" w:eastAsia="Merriweather" w:hAnsi="Gill Sans MT" w:cs="Merriweather"/>
            <w:color w:val="1155CC"/>
            <w:sz w:val="18"/>
            <w:szCs w:val="18"/>
            <w:u w:val="single"/>
          </w:rPr>
          <w:t>https://rm.coe.int/memorandum-on-georgia-on-accountability-of-law-enforcement-and-freedom/48802c0ac8</w:t>
        </w:r>
      </w:hyperlink>
      <w:r w:rsidR="0084193C" w:rsidRPr="00206A7F">
        <w:rPr>
          <w:rFonts w:ascii="Gill Sans MT" w:eastAsia="Merriweather" w:hAnsi="Gill Sans MT" w:cs="Merriweather"/>
          <w:sz w:val="18"/>
          <w:szCs w:val="18"/>
        </w:rPr>
        <w:t xml:space="preserve"> (27.06.2026).</w:t>
      </w:r>
    </w:p>
  </w:footnote>
  <w:footnote w:id="66">
    <w:p w14:paraId="08F16ED5" w14:textId="77777777" w:rsidR="0084193C" w:rsidRPr="00206A7F" w:rsidRDefault="0084193C" w:rsidP="0084193C">
      <w:pPr>
        <w:spacing w:line="240" w:lineRule="auto"/>
        <w:jc w:val="both"/>
        <w:rPr>
          <w:rFonts w:ascii="Gill Sans MT" w:eastAsia="Merriweather" w:hAnsi="Gill Sans MT" w:cs="Merriweather"/>
          <w:sz w:val="18"/>
          <w:szCs w:val="18"/>
        </w:rPr>
      </w:pPr>
      <w:r w:rsidRPr="00206A7F">
        <w:rPr>
          <w:rFonts w:ascii="Gill Sans MT" w:hAnsi="Gill Sans MT"/>
          <w:vertAlign w:val="superscript"/>
        </w:rPr>
        <w:footnoteRef/>
      </w:r>
      <w:r w:rsidRPr="00206A7F">
        <w:rPr>
          <w:rFonts w:ascii="Gill Sans MT" w:eastAsia="Merriweather" w:hAnsi="Gill Sans MT" w:cs="Merriweather"/>
          <w:sz w:val="18"/>
          <w:szCs w:val="18"/>
        </w:rPr>
        <w:t xml:space="preserve"> Venice Commission and OSCE/ODIHR, CDL-AD(2023)025, </w:t>
      </w:r>
      <w:r w:rsidRPr="00206A7F">
        <w:rPr>
          <w:rFonts w:ascii="Gill Sans MT" w:eastAsia="Merriweather" w:hAnsi="Gill Sans MT" w:cs="Merriweather"/>
          <w:i/>
          <w:iCs/>
          <w:sz w:val="18"/>
          <w:szCs w:val="18"/>
        </w:rPr>
        <w:t>Ukraine - Joint opinion of the Venice Commission and ODIHR on the draft law amending certain legislative acts of Ukraine which restrict the participation in the state power of persons associated with political parties whose activities are prohibited by law</w:t>
      </w:r>
      <w:r w:rsidRPr="00206A7F">
        <w:rPr>
          <w:rFonts w:ascii="Gill Sans MT" w:eastAsia="Merriweather" w:hAnsi="Gill Sans MT" w:cs="Merriweather"/>
          <w:sz w:val="18"/>
          <w:szCs w:val="18"/>
        </w:rPr>
        <w:t xml:space="preserve">, 5 October 2023, para. 57. </w:t>
      </w:r>
      <w:hyperlink r:id="rId62">
        <w:r w:rsidRPr="00206A7F">
          <w:rPr>
            <w:rFonts w:ascii="Gill Sans MT" w:eastAsia="Merriweather" w:hAnsi="Gill Sans MT" w:cs="Merriweather"/>
            <w:color w:val="1155CC"/>
            <w:sz w:val="18"/>
            <w:szCs w:val="18"/>
            <w:u w:val="single"/>
          </w:rPr>
          <w:t>https://www.coe.int/en/web/venice-commission/-/cdl-ad-2023-025-e</w:t>
        </w:r>
      </w:hyperlink>
      <w:r w:rsidRPr="00206A7F">
        <w:rPr>
          <w:rFonts w:ascii="Gill Sans MT" w:eastAsia="Merriweather" w:hAnsi="Gill Sans MT" w:cs="Merriweather"/>
          <w:sz w:val="18"/>
          <w:szCs w:val="18"/>
        </w:rPr>
        <w:t xml:space="preserve"> (27.06.2026).</w:t>
      </w:r>
    </w:p>
  </w:footnote>
  <w:footnote w:id="67">
    <w:p w14:paraId="31359CA6" w14:textId="77777777" w:rsidR="0084193C" w:rsidRPr="00206A7F" w:rsidRDefault="0084193C" w:rsidP="0084193C">
      <w:pPr>
        <w:spacing w:line="240" w:lineRule="auto"/>
        <w:jc w:val="both"/>
        <w:rPr>
          <w:rFonts w:ascii="Gill Sans MT" w:eastAsia="Merriweather" w:hAnsi="Gill Sans MT" w:cs="Merriweather"/>
          <w:sz w:val="18"/>
          <w:szCs w:val="18"/>
        </w:rPr>
      </w:pPr>
      <w:r w:rsidRPr="00206A7F">
        <w:rPr>
          <w:rFonts w:ascii="Gill Sans MT" w:hAnsi="Gill Sans MT"/>
          <w:vertAlign w:val="superscript"/>
        </w:rPr>
        <w:footnoteRef/>
      </w:r>
      <w:r w:rsidRPr="00206A7F">
        <w:rPr>
          <w:rFonts w:ascii="Gill Sans MT" w:eastAsia="Merriweather" w:hAnsi="Gill Sans MT" w:cs="Merriweather"/>
          <w:sz w:val="18"/>
          <w:szCs w:val="18"/>
        </w:rPr>
        <w:t xml:space="preserve"> Ibid. </w:t>
      </w:r>
    </w:p>
  </w:footnote>
  <w:footnote w:id="68">
    <w:p w14:paraId="70C759C7" w14:textId="77777777" w:rsidR="0084193C" w:rsidRPr="00206A7F" w:rsidRDefault="0084193C" w:rsidP="0084193C">
      <w:pPr>
        <w:spacing w:line="240" w:lineRule="auto"/>
        <w:jc w:val="both"/>
        <w:rPr>
          <w:rFonts w:ascii="Gill Sans MT" w:eastAsia="Merriweather" w:hAnsi="Gill Sans MT" w:cs="Merriweather"/>
          <w:sz w:val="18"/>
          <w:szCs w:val="18"/>
        </w:rPr>
      </w:pPr>
      <w:r w:rsidRPr="00206A7F">
        <w:rPr>
          <w:rFonts w:ascii="Gill Sans MT" w:hAnsi="Gill Sans MT"/>
          <w:vertAlign w:val="superscript"/>
        </w:rPr>
        <w:footnoteRef/>
      </w:r>
      <w:r w:rsidRPr="00206A7F">
        <w:rPr>
          <w:rFonts w:ascii="Gill Sans MT" w:hAnsi="Gill Sans MT"/>
          <w:sz w:val="20"/>
          <w:szCs w:val="20"/>
        </w:rPr>
        <w:t xml:space="preserve"> </w:t>
      </w:r>
      <w:r w:rsidRPr="00206A7F">
        <w:rPr>
          <w:rFonts w:ascii="Gill Sans MT" w:eastAsia="Merriweather" w:hAnsi="Gill Sans MT" w:cs="Merriweather"/>
          <w:sz w:val="18"/>
          <w:szCs w:val="18"/>
        </w:rPr>
        <w:t xml:space="preserve">Venice Commission and OSCE/ODIHR, CDL-AD(2023)048. para. 54. </w:t>
      </w:r>
      <w:hyperlink r:id="rId63">
        <w:r w:rsidRPr="00206A7F">
          <w:rPr>
            <w:rFonts w:ascii="Gill Sans MT" w:eastAsia="Merriweather" w:hAnsi="Gill Sans MT" w:cs="Merriweather"/>
            <w:color w:val="1155CC"/>
            <w:sz w:val="18"/>
            <w:szCs w:val="18"/>
            <w:u w:val="single"/>
          </w:rPr>
          <w:t>https://www.coe.int/en/web/venice-commission/-/cdl-ad-2023-048-e</w:t>
        </w:r>
      </w:hyperlink>
      <w:r w:rsidRPr="00206A7F">
        <w:rPr>
          <w:rFonts w:ascii="Gill Sans MT" w:eastAsia="Merriweather" w:hAnsi="Gill Sans MT" w:cs="Merriweather"/>
          <w:sz w:val="18"/>
          <w:szCs w:val="18"/>
        </w:rPr>
        <w:t xml:space="preserve"> (27.06.2026).</w:t>
      </w:r>
    </w:p>
  </w:footnote>
  <w:footnote w:id="69">
    <w:p w14:paraId="2ACC2074" w14:textId="77777777" w:rsidR="0084193C" w:rsidRPr="00206A7F" w:rsidRDefault="0084193C" w:rsidP="0084193C">
      <w:pPr>
        <w:spacing w:line="240" w:lineRule="auto"/>
        <w:jc w:val="both"/>
        <w:rPr>
          <w:rFonts w:ascii="Gill Sans MT" w:eastAsia="Merriweather" w:hAnsi="Gill Sans MT" w:cs="Merriweather"/>
          <w:sz w:val="18"/>
          <w:szCs w:val="18"/>
        </w:rPr>
      </w:pPr>
      <w:r w:rsidRPr="00206A7F">
        <w:rPr>
          <w:rFonts w:ascii="Gill Sans MT" w:hAnsi="Gill Sans MT"/>
          <w:vertAlign w:val="superscript"/>
        </w:rPr>
        <w:footnoteRef/>
      </w:r>
      <w:r w:rsidRPr="00206A7F">
        <w:rPr>
          <w:rFonts w:ascii="Gill Sans MT" w:eastAsia="Merriweather" w:hAnsi="Gill Sans MT" w:cs="Merriweather"/>
          <w:sz w:val="18"/>
          <w:szCs w:val="18"/>
        </w:rPr>
        <w:t xml:space="preserve"> A/HRC/59/44, para. 46. </w:t>
      </w:r>
      <w:hyperlink r:id="rId64">
        <w:r w:rsidRPr="00206A7F">
          <w:rPr>
            <w:rFonts w:ascii="Gill Sans MT" w:eastAsia="Merriweather" w:hAnsi="Gill Sans MT" w:cs="Merriweather"/>
            <w:color w:val="1155CC"/>
            <w:sz w:val="18"/>
            <w:szCs w:val="18"/>
            <w:u w:val="single"/>
          </w:rPr>
          <w:t>https://docs.un.org/en/A/HRC/59/44</w:t>
        </w:r>
      </w:hyperlink>
      <w:r w:rsidRPr="00206A7F">
        <w:rPr>
          <w:rFonts w:ascii="Gill Sans MT" w:eastAsia="Merriweather" w:hAnsi="Gill Sans MT" w:cs="Merriweather"/>
          <w:sz w:val="18"/>
          <w:szCs w:val="18"/>
        </w:rPr>
        <w:t xml:space="preserve"> (28.06.2026).</w:t>
      </w:r>
    </w:p>
  </w:footnote>
  <w:footnote w:id="70">
    <w:p w14:paraId="7405D10A" w14:textId="77777777" w:rsidR="0084193C" w:rsidRPr="00206A7F" w:rsidRDefault="0084193C" w:rsidP="0084193C">
      <w:pPr>
        <w:spacing w:line="240" w:lineRule="auto"/>
        <w:jc w:val="both"/>
        <w:rPr>
          <w:rFonts w:ascii="Gill Sans MT" w:eastAsia="Merriweather" w:hAnsi="Gill Sans MT" w:cs="Merriweather"/>
          <w:sz w:val="18"/>
          <w:szCs w:val="18"/>
        </w:rPr>
      </w:pPr>
      <w:r w:rsidRPr="00206A7F">
        <w:rPr>
          <w:rFonts w:ascii="Gill Sans MT" w:hAnsi="Gill Sans MT"/>
          <w:vertAlign w:val="superscript"/>
        </w:rPr>
        <w:footnoteRef/>
      </w:r>
      <w:r w:rsidRPr="00206A7F">
        <w:rPr>
          <w:rFonts w:ascii="Gill Sans MT" w:eastAsia="Merriweather" w:hAnsi="Gill Sans MT" w:cs="Merriweather"/>
          <w:sz w:val="18"/>
          <w:szCs w:val="18"/>
        </w:rPr>
        <w:t xml:space="preserve"> A/HRC/56/50, para. 25. </w:t>
      </w:r>
      <w:hyperlink r:id="rId65">
        <w:r w:rsidRPr="00206A7F">
          <w:rPr>
            <w:rFonts w:ascii="Gill Sans MT" w:eastAsia="Merriweather" w:hAnsi="Gill Sans MT" w:cs="Merriweather"/>
            <w:color w:val="1155CC"/>
            <w:sz w:val="18"/>
            <w:szCs w:val="18"/>
            <w:u w:val="single"/>
          </w:rPr>
          <w:t>https://docs.un.org/en/A/HRC/56/50</w:t>
        </w:r>
      </w:hyperlink>
      <w:r w:rsidRPr="00206A7F">
        <w:rPr>
          <w:rFonts w:ascii="Gill Sans MT" w:eastAsia="Merriweather" w:hAnsi="Gill Sans MT" w:cs="Merriweather"/>
          <w:sz w:val="18"/>
          <w:szCs w:val="18"/>
        </w:rPr>
        <w:t xml:space="preserve"> (28.06.2026).</w:t>
      </w:r>
    </w:p>
  </w:footnote>
  <w:footnote w:id="71">
    <w:p w14:paraId="1E3150BD" w14:textId="77777777" w:rsidR="0084193C" w:rsidRPr="00206A7F" w:rsidRDefault="0084193C" w:rsidP="0084193C">
      <w:pPr>
        <w:spacing w:line="240" w:lineRule="auto"/>
        <w:jc w:val="both"/>
        <w:rPr>
          <w:rFonts w:ascii="Gill Sans MT" w:eastAsia="Merriweather" w:hAnsi="Gill Sans MT" w:cs="Merriweather"/>
          <w:sz w:val="18"/>
          <w:szCs w:val="18"/>
        </w:rPr>
      </w:pPr>
      <w:r w:rsidRPr="00206A7F">
        <w:rPr>
          <w:rFonts w:ascii="Gill Sans MT" w:hAnsi="Gill Sans MT"/>
          <w:vertAlign w:val="superscript"/>
        </w:rPr>
        <w:footnoteRef/>
      </w:r>
      <w:r w:rsidRPr="00206A7F">
        <w:rPr>
          <w:rFonts w:ascii="Gill Sans MT" w:eastAsia="Merriweather" w:hAnsi="Gill Sans MT" w:cs="Merriweather"/>
          <w:sz w:val="18"/>
          <w:szCs w:val="18"/>
        </w:rPr>
        <w:t xml:space="preserve"> Ibid.</w:t>
      </w:r>
    </w:p>
  </w:footnote>
  <w:footnote w:id="72">
    <w:p w14:paraId="64F32FE9" w14:textId="77777777" w:rsidR="0084193C" w:rsidRPr="00206A7F" w:rsidRDefault="0084193C" w:rsidP="0084193C">
      <w:pPr>
        <w:spacing w:line="240" w:lineRule="auto"/>
        <w:jc w:val="both"/>
        <w:rPr>
          <w:rFonts w:ascii="Gill Sans MT" w:eastAsia="Merriweather" w:hAnsi="Gill Sans MT" w:cs="Merriweather"/>
          <w:sz w:val="18"/>
          <w:szCs w:val="18"/>
        </w:rPr>
      </w:pPr>
      <w:r w:rsidRPr="00206A7F">
        <w:rPr>
          <w:rFonts w:ascii="Gill Sans MT" w:hAnsi="Gill Sans MT"/>
          <w:vertAlign w:val="superscript"/>
        </w:rPr>
        <w:footnoteRef/>
      </w:r>
      <w:r w:rsidRPr="00206A7F">
        <w:rPr>
          <w:rFonts w:ascii="Gill Sans MT" w:hAnsi="Gill Sans MT"/>
          <w:sz w:val="20"/>
          <w:szCs w:val="20"/>
        </w:rPr>
        <w:t xml:space="preserve"> </w:t>
      </w:r>
      <w:r w:rsidRPr="00206A7F">
        <w:rPr>
          <w:rFonts w:ascii="Gill Sans MT" w:eastAsia="Merriweather" w:hAnsi="Gill Sans MT" w:cs="Merriweather"/>
          <w:sz w:val="18"/>
          <w:szCs w:val="18"/>
        </w:rPr>
        <w:t xml:space="preserve">Commissioner for Human Rights - The Council of Europe, CommHR(2026)41, </w:t>
      </w:r>
      <w:r w:rsidRPr="00206A7F">
        <w:rPr>
          <w:rFonts w:ascii="Gill Sans MT" w:eastAsia="Merriweather" w:hAnsi="Gill Sans MT" w:cs="Merriweather"/>
          <w:i/>
          <w:iCs/>
          <w:sz w:val="18"/>
          <w:szCs w:val="18"/>
        </w:rPr>
        <w:t>Memorandum on accountability of law enforcement and freedoms of assembly, association and expression in Georgia,</w:t>
      </w:r>
      <w:r w:rsidRPr="00206A7F">
        <w:rPr>
          <w:rFonts w:ascii="Gill Sans MT" w:eastAsia="Merriweather" w:hAnsi="Gill Sans MT" w:cs="Merriweather"/>
          <w:sz w:val="18"/>
          <w:szCs w:val="18"/>
        </w:rPr>
        <w:t xml:space="preserve"> 3 June 2026, para. 44. </w:t>
      </w:r>
    </w:p>
    <w:p w14:paraId="6081E1E6" w14:textId="77777777" w:rsidR="0084193C" w:rsidRDefault="00433FEE" w:rsidP="0084193C">
      <w:pPr>
        <w:spacing w:line="240" w:lineRule="auto"/>
        <w:jc w:val="both"/>
        <w:rPr>
          <w:sz w:val="20"/>
          <w:szCs w:val="20"/>
        </w:rPr>
      </w:pPr>
      <w:hyperlink r:id="rId66">
        <w:r w:rsidR="0084193C">
          <w:rPr>
            <w:rFonts w:ascii="Merriweather" w:eastAsia="Merriweather" w:hAnsi="Merriweather" w:cs="Merriweather"/>
            <w:color w:val="1155CC"/>
            <w:sz w:val="18"/>
            <w:szCs w:val="18"/>
            <w:u w:val="single"/>
          </w:rPr>
          <w:t>https://rm.coe.int/memorandum-on-georgia-on-accountability-of-law-enforcement-and-freedom/48802c0ac8</w:t>
        </w:r>
      </w:hyperlink>
      <w:r w:rsidR="0084193C">
        <w:rPr>
          <w:rFonts w:ascii="Merriweather" w:eastAsia="Merriweather" w:hAnsi="Merriweather" w:cs="Merriweather"/>
          <w:sz w:val="18"/>
          <w:szCs w:val="18"/>
        </w:rPr>
        <w:t xml:space="preserve"> (27.06.2026).</w:t>
      </w:r>
    </w:p>
  </w:footnote>
  <w:footnote w:id="73">
    <w:p w14:paraId="71C40FBD" w14:textId="77777777" w:rsidR="0084193C" w:rsidRDefault="0084193C" w:rsidP="0084193C">
      <w:pPr>
        <w:spacing w:line="240" w:lineRule="auto"/>
        <w:jc w:val="both"/>
        <w:rPr>
          <w:rFonts w:ascii="Merriweather" w:eastAsia="Merriweather" w:hAnsi="Merriweather" w:cs="Merriweather"/>
          <w:sz w:val="18"/>
          <w:szCs w:val="18"/>
        </w:rPr>
      </w:pPr>
      <w:r>
        <w:rPr>
          <w:vertAlign w:val="superscript"/>
        </w:rPr>
        <w:footnoteRef/>
      </w:r>
      <w:r>
        <w:rPr>
          <w:rFonts w:ascii="Merriweather" w:eastAsia="Merriweather" w:hAnsi="Merriweather" w:cs="Merriweather"/>
          <w:sz w:val="18"/>
          <w:szCs w:val="18"/>
        </w:rPr>
        <w:t xml:space="preserve"> A/HRC/20/27, para. 71. </w:t>
      </w:r>
      <w:hyperlink r:id="rId67">
        <w:r>
          <w:rPr>
            <w:rFonts w:ascii="Merriweather" w:eastAsia="Merriweather" w:hAnsi="Merriweather" w:cs="Merriweather"/>
            <w:color w:val="1155CC"/>
            <w:sz w:val="18"/>
            <w:szCs w:val="18"/>
            <w:u w:val="single"/>
          </w:rPr>
          <w:t>https://docs.un.org/en/A/HRC/20/27</w:t>
        </w:r>
      </w:hyperlink>
      <w:r>
        <w:rPr>
          <w:rFonts w:ascii="Merriweather" w:eastAsia="Merriweather" w:hAnsi="Merriweather" w:cs="Merriweather"/>
          <w:sz w:val="18"/>
          <w:szCs w:val="18"/>
        </w:rPr>
        <w:t xml:space="preserve"> (28.06.2026).</w:t>
      </w:r>
    </w:p>
  </w:footnote>
  <w:footnote w:id="74">
    <w:p w14:paraId="099CC80A" w14:textId="77777777" w:rsidR="0084193C" w:rsidRDefault="0084193C" w:rsidP="0084193C">
      <w:pPr>
        <w:spacing w:line="240" w:lineRule="auto"/>
        <w:jc w:val="both"/>
        <w:rPr>
          <w:rFonts w:ascii="Merriweather" w:eastAsia="Merriweather" w:hAnsi="Merriweather" w:cs="Merriweather"/>
          <w:sz w:val="18"/>
          <w:szCs w:val="18"/>
        </w:rPr>
      </w:pPr>
      <w:r>
        <w:rPr>
          <w:vertAlign w:val="superscript"/>
        </w:rPr>
        <w:footnoteRef/>
      </w:r>
      <w:r>
        <w:rPr>
          <w:rFonts w:ascii="Merriweather" w:eastAsia="Merriweather" w:hAnsi="Merriweather" w:cs="Merriweather"/>
          <w:sz w:val="18"/>
          <w:szCs w:val="18"/>
        </w:rPr>
        <w:t xml:space="preserve"> Venice Commission and OSCE/ODIHR, </w:t>
      </w:r>
      <w:r>
        <w:rPr>
          <w:rFonts w:ascii="Merriweather" w:eastAsia="Merriweather" w:hAnsi="Merriweather" w:cs="Merriweather"/>
          <w:color w:val="161616"/>
          <w:sz w:val="18"/>
          <w:szCs w:val="18"/>
          <w:highlight w:val="white"/>
        </w:rPr>
        <w:t>CDL-AD(2023)007</w:t>
      </w:r>
      <w:r>
        <w:rPr>
          <w:rFonts w:ascii="Merriweather" w:eastAsia="Merriweather" w:hAnsi="Merriweather" w:cs="Merriweather"/>
          <w:sz w:val="18"/>
          <w:szCs w:val="18"/>
        </w:rPr>
        <w:t xml:space="preserve">, </w:t>
      </w:r>
      <w:r>
        <w:rPr>
          <w:rFonts w:ascii="Merriweather" w:eastAsia="Merriweather" w:hAnsi="Merriweather" w:cs="Merriweather"/>
          <w:i/>
          <w:iCs/>
          <w:sz w:val="18"/>
          <w:szCs w:val="18"/>
        </w:rPr>
        <w:t>Azerbaijan-Joint opinion of the Venice Commission and the OSCE/ODIHR on the Law on political parties</w:t>
      </w:r>
      <w:r>
        <w:rPr>
          <w:rFonts w:ascii="Merriweather" w:eastAsia="Merriweather" w:hAnsi="Merriweather" w:cs="Merriweather"/>
          <w:sz w:val="18"/>
          <w:szCs w:val="18"/>
        </w:rPr>
        <w:t xml:space="preserve">, 9 March 2023, para. 102. </w:t>
      </w:r>
      <w:hyperlink r:id="rId68">
        <w:r>
          <w:rPr>
            <w:rFonts w:ascii="Merriweather" w:eastAsia="Merriweather" w:hAnsi="Merriweather" w:cs="Merriweather"/>
            <w:color w:val="1155CC"/>
            <w:sz w:val="18"/>
            <w:szCs w:val="18"/>
            <w:u w:val="single"/>
          </w:rPr>
          <w:t>https://www.coe.int/en/web/venice-commission/-/cdl-ad-2023-007-e</w:t>
        </w:r>
      </w:hyperlink>
      <w:r>
        <w:rPr>
          <w:rFonts w:ascii="Merriweather" w:eastAsia="Merriweather" w:hAnsi="Merriweather" w:cs="Merriweather"/>
          <w:sz w:val="18"/>
          <w:szCs w:val="18"/>
        </w:rPr>
        <w:t xml:space="preserve"> (27.06.2026).</w:t>
      </w:r>
    </w:p>
  </w:footnote>
  <w:footnote w:id="75">
    <w:p w14:paraId="40E0A3E1" w14:textId="22EAEEC7" w:rsidR="00984FB8" w:rsidRPr="00984FB8" w:rsidRDefault="00984FB8">
      <w:pPr>
        <w:pStyle w:val="FootnoteText"/>
        <w:rPr>
          <w:lang w:val="en-US"/>
        </w:rPr>
      </w:pPr>
      <w:r>
        <w:rPr>
          <w:rStyle w:val="FootnoteReference"/>
        </w:rPr>
        <w:footnoteRef/>
      </w:r>
      <w:r>
        <w:t xml:space="preserve"> </w:t>
      </w:r>
      <w:r w:rsidRPr="00984FB8">
        <w:rPr>
          <w:rFonts w:ascii="Gill Sans MT" w:hAnsi="Gill Sans MT"/>
          <w:color w:val="000000"/>
          <w:sz w:val="18"/>
          <w:szCs w:val="18"/>
        </w:rPr>
        <w:t xml:space="preserve">Mandates of the Special Rapporteur on the rights to freedom of peaceful assembly and of association; the Special Rapporteur on the promotion and protection of the right to freedom of opinion and expression; the Special Rapporteur on the situation of human rights defenders and the Special Rapporteur on torture and other cruel, inhuman or degrading treatment or Punishment, </w:t>
      </w:r>
      <w:r w:rsidRPr="00984FB8">
        <w:rPr>
          <w:rFonts w:ascii="Gill Sans MT" w:hAnsi="Gill Sans MT"/>
          <w:i/>
          <w:iCs/>
          <w:color w:val="000000"/>
          <w:sz w:val="18"/>
          <w:szCs w:val="18"/>
        </w:rPr>
        <w:t>Joint Allegation Letter GEO 1/2026</w:t>
      </w:r>
      <w:r w:rsidRPr="00984FB8">
        <w:rPr>
          <w:rFonts w:ascii="Gill Sans MT" w:hAnsi="Gill Sans MT"/>
          <w:color w:val="000000"/>
          <w:sz w:val="18"/>
          <w:szCs w:val="18"/>
        </w:rPr>
        <w:t xml:space="preserve">, pg. 7. </w:t>
      </w:r>
      <w:hyperlink r:id="rId69" w:history="1">
        <w:r w:rsidRPr="00984FB8">
          <w:rPr>
            <w:rStyle w:val="Hyperlink"/>
            <w:rFonts w:ascii="Gill Sans MT" w:hAnsi="Gill Sans MT"/>
            <w:color w:val="1155CC"/>
            <w:sz w:val="18"/>
            <w:szCs w:val="18"/>
          </w:rPr>
          <w:t>https://spcommreports.ohchr.org/TMResultsBase/DownLoadPublicCommunicationFile?gId=30883</w:t>
        </w:r>
      </w:hyperlink>
      <w:r w:rsidRPr="00984FB8">
        <w:rPr>
          <w:rFonts w:ascii="Gill Sans MT" w:hAnsi="Gill Sans MT"/>
          <w:color w:val="000000"/>
          <w:sz w:val="18"/>
          <w:szCs w:val="18"/>
        </w:rPr>
        <w:t xml:space="preserve"> (29.06.2026).</w:t>
      </w:r>
    </w:p>
  </w:footnote>
  <w:footnote w:id="76">
    <w:p w14:paraId="743E1272" w14:textId="77777777" w:rsidR="00984FB8" w:rsidRPr="00984FB8" w:rsidRDefault="00984FB8" w:rsidP="00984FB8">
      <w:pPr>
        <w:pStyle w:val="FootnoteText"/>
        <w:rPr>
          <w:rFonts w:ascii="Gill Sans MT" w:hAnsi="Gill Sans MT"/>
        </w:rPr>
      </w:pPr>
      <w:r>
        <w:rPr>
          <w:rStyle w:val="FootnoteReference"/>
        </w:rPr>
        <w:footnoteRef/>
      </w:r>
      <w:r>
        <w:t xml:space="preserve"> </w:t>
      </w:r>
      <w:r w:rsidRPr="00984FB8">
        <w:rPr>
          <w:rFonts w:ascii="Gill Sans MT" w:hAnsi="Gill Sans MT"/>
        </w:rPr>
        <w:t xml:space="preserve">Independent Trade Union of Public Servants - Article 78 of the Constitution, Announcement and press briefing, 14 June 2025. </w:t>
      </w:r>
    </w:p>
    <w:p w14:paraId="0C5690EF" w14:textId="77777777" w:rsidR="00984FB8" w:rsidRPr="00984FB8" w:rsidRDefault="00984FB8" w:rsidP="00984FB8">
      <w:pPr>
        <w:pStyle w:val="FootnoteText"/>
        <w:rPr>
          <w:rFonts w:ascii="Gill Sans MT" w:hAnsi="Gill Sans MT"/>
        </w:rPr>
      </w:pPr>
      <w:r w:rsidRPr="00984FB8">
        <w:rPr>
          <w:rFonts w:ascii="Gill Sans MT" w:hAnsi="Gill Sans MT"/>
        </w:rPr>
        <w:t xml:space="preserve">https://www.facebook.com/story.php?story_fbid=122111042612901547&amp;id=61577046433914&amp;rdid=t4Ww7Nqg3Gyaq4UF# ; </w:t>
      </w:r>
    </w:p>
    <w:p w14:paraId="7F0BC579" w14:textId="7002DB7E" w:rsidR="00984FB8" w:rsidRPr="00984FB8" w:rsidRDefault="00984FB8" w:rsidP="00984FB8">
      <w:pPr>
        <w:pStyle w:val="FootnoteText"/>
        <w:rPr>
          <w:rFonts w:ascii="Gill Sans MT" w:hAnsi="Gill Sans MT"/>
          <w:lang w:val="en-US"/>
        </w:rPr>
      </w:pPr>
      <w:r w:rsidRPr="00984FB8">
        <w:rPr>
          <w:rFonts w:ascii="Gill Sans MT" w:hAnsi="Gill Sans MT"/>
        </w:rPr>
        <w:t>https://www.facebook.com/article78/videos/1214999503683497 (29.06.2026).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96507E"/>
    <w:multiLevelType w:val="multilevel"/>
    <w:tmpl w:val="7D3CCB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7E04C29"/>
    <w:multiLevelType w:val="hybridMultilevel"/>
    <w:tmpl w:val="69F2F3B2"/>
    <w:lvl w:ilvl="0" w:tplc="D17286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9C0116"/>
    <w:multiLevelType w:val="hybridMultilevel"/>
    <w:tmpl w:val="62943E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D17AC3F2">
      <w:start w:val="14"/>
      <w:numFmt w:val="bullet"/>
      <w:lvlText w:val="-"/>
      <w:lvlJc w:val="left"/>
      <w:pPr>
        <w:ind w:left="2340" w:hanging="360"/>
      </w:pPr>
      <w:rPr>
        <w:rFonts w:ascii="Gill Sans MT" w:eastAsia="Arial" w:hAnsi="Gill Sans MT"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8727516">
    <w:abstractNumId w:val="0"/>
  </w:num>
  <w:num w:numId="2" w16cid:durableId="461386951">
    <w:abstractNumId w:val="2"/>
  </w:num>
  <w:num w:numId="3" w16cid:durableId="11103171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B1C"/>
    <w:rsid w:val="000371DD"/>
    <w:rsid w:val="00104238"/>
    <w:rsid w:val="00105B6F"/>
    <w:rsid w:val="001440BE"/>
    <w:rsid w:val="00171B1C"/>
    <w:rsid w:val="001D02A6"/>
    <w:rsid w:val="00206A7F"/>
    <w:rsid w:val="00270BC6"/>
    <w:rsid w:val="00433FEE"/>
    <w:rsid w:val="00485EE9"/>
    <w:rsid w:val="004902A7"/>
    <w:rsid w:val="006358C9"/>
    <w:rsid w:val="00794281"/>
    <w:rsid w:val="0084193C"/>
    <w:rsid w:val="0097424A"/>
    <w:rsid w:val="00984FB8"/>
    <w:rsid w:val="00BB19F1"/>
    <w:rsid w:val="00C74359"/>
    <w:rsid w:val="00CA390B"/>
    <w:rsid w:val="00CF4760"/>
    <w:rsid w:val="00CF5423"/>
    <w:rsid w:val="00E04E5E"/>
    <w:rsid w:val="00F27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4D2D2"/>
  <w15:chartTrackingRefBased/>
  <w15:docId w15:val="{D87A35D0-F66A-4F30-BE68-8784678B0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93C"/>
    <w:pPr>
      <w:spacing w:after="0" w:line="276" w:lineRule="auto"/>
    </w:pPr>
    <w:rPr>
      <w:rFonts w:ascii="Arial" w:eastAsia="Arial" w:hAnsi="Arial" w:cs="Arial"/>
      <w:lang w:val="ka"/>
    </w:rPr>
  </w:style>
  <w:style w:type="paragraph" w:styleId="Heading1">
    <w:name w:val="heading 1"/>
    <w:basedOn w:val="Normal"/>
    <w:next w:val="Normal"/>
    <w:link w:val="Heading1Char"/>
    <w:uiPriority w:val="9"/>
    <w:qFormat/>
    <w:rsid w:val="00E04E5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04E5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84193C"/>
    <w:pPr>
      <w:spacing w:after="0" w:line="240" w:lineRule="auto"/>
    </w:pPr>
    <w:rPr>
      <w:rFonts w:ascii="Arial" w:eastAsia="Arial" w:hAnsi="Arial" w:cs="Arial"/>
      <w:lang w:val="ka"/>
    </w:rPr>
  </w:style>
  <w:style w:type="paragraph" w:styleId="NoSpacing">
    <w:name w:val="No Spacing"/>
    <w:link w:val="NoSpacingChar"/>
    <w:uiPriority w:val="1"/>
    <w:qFormat/>
    <w:rsid w:val="001440BE"/>
    <w:pPr>
      <w:spacing w:after="0" w:line="240" w:lineRule="auto"/>
    </w:pPr>
    <w:rPr>
      <w:rFonts w:eastAsiaTheme="minorEastAsia"/>
    </w:rPr>
  </w:style>
  <w:style w:type="character" w:customStyle="1" w:styleId="NoSpacingChar">
    <w:name w:val="No Spacing Char"/>
    <w:basedOn w:val="DefaultParagraphFont"/>
    <w:link w:val="NoSpacing"/>
    <w:uiPriority w:val="1"/>
    <w:rsid w:val="001440BE"/>
    <w:rPr>
      <w:rFonts w:eastAsiaTheme="minorEastAsia"/>
    </w:rPr>
  </w:style>
  <w:style w:type="character" w:customStyle="1" w:styleId="Heading2Char">
    <w:name w:val="Heading 2 Char"/>
    <w:basedOn w:val="DefaultParagraphFont"/>
    <w:link w:val="Heading2"/>
    <w:uiPriority w:val="9"/>
    <w:rsid w:val="00E04E5E"/>
    <w:rPr>
      <w:rFonts w:asciiTheme="majorHAnsi" w:eastAsiaTheme="majorEastAsia" w:hAnsiTheme="majorHAnsi" w:cstheme="majorBidi"/>
      <w:color w:val="2F5496" w:themeColor="accent1" w:themeShade="BF"/>
      <w:sz w:val="26"/>
      <w:szCs w:val="26"/>
      <w:lang w:val="ka"/>
    </w:rPr>
  </w:style>
  <w:style w:type="character" w:customStyle="1" w:styleId="Heading1Char">
    <w:name w:val="Heading 1 Char"/>
    <w:basedOn w:val="DefaultParagraphFont"/>
    <w:link w:val="Heading1"/>
    <w:uiPriority w:val="9"/>
    <w:rsid w:val="00E04E5E"/>
    <w:rPr>
      <w:rFonts w:asciiTheme="majorHAnsi" w:eastAsiaTheme="majorEastAsia" w:hAnsiTheme="majorHAnsi" w:cstheme="majorBidi"/>
      <w:color w:val="2F5496" w:themeColor="accent1" w:themeShade="BF"/>
      <w:sz w:val="32"/>
      <w:szCs w:val="32"/>
      <w:lang w:val="ka"/>
    </w:rPr>
  </w:style>
  <w:style w:type="paragraph" w:styleId="TOCHeading">
    <w:name w:val="TOC Heading"/>
    <w:basedOn w:val="Heading1"/>
    <w:next w:val="Normal"/>
    <w:uiPriority w:val="39"/>
    <w:unhideWhenUsed/>
    <w:qFormat/>
    <w:rsid w:val="00BB19F1"/>
    <w:pPr>
      <w:spacing w:line="259" w:lineRule="auto"/>
      <w:outlineLvl w:val="9"/>
    </w:pPr>
    <w:rPr>
      <w:lang w:val="en-US"/>
    </w:rPr>
  </w:style>
  <w:style w:type="paragraph" w:styleId="TOC1">
    <w:name w:val="toc 1"/>
    <w:basedOn w:val="Normal"/>
    <w:next w:val="Normal"/>
    <w:autoRedefine/>
    <w:uiPriority w:val="39"/>
    <w:unhideWhenUsed/>
    <w:rsid w:val="00BB19F1"/>
    <w:pPr>
      <w:spacing w:after="100"/>
    </w:pPr>
  </w:style>
  <w:style w:type="paragraph" w:styleId="TOC2">
    <w:name w:val="toc 2"/>
    <w:basedOn w:val="Normal"/>
    <w:next w:val="Normal"/>
    <w:autoRedefine/>
    <w:uiPriority w:val="39"/>
    <w:unhideWhenUsed/>
    <w:rsid w:val="00BB19F1"/>
    <w:pPr>
      <w:spacing w:after="100"/>
      <w:ind w:left="220"/>
    </w:pPr>
  </w:style>
  <w:style w:type="character" w:styleId="Hyperlink">
    <w:name w:val="Hyperlink"/>
    <w:basedOn w:val="DefaultParagraphFont"/>
    <w:uiPriority w:val="99"/>
    <w:unhideWhenUsed/>
    <w:rsid w:val="00BB19F1"/>
    <w:rPr>
      <w:color w:val="0563C1" w:themeColor="hyperlink"/>
      <w:u w:val="single"/>
    </w:rPr>
  </w:style>
  <w:style w:type="paragraph" w:styleId="ListParagraph">
    <w:name w:val="List Paragraph"/>
    <w:basedOn w:val="Normal"/>
    <w:uiPriority w:val="34"/>
    <w:qFormat/>
    <w:rsid w:val="00BB19F1"/>
    <w:pPr>
      <w:ind w:left="720"/>
      <w:contextualSpacing/>
    </w:pPr>
  </w:style>
  <w:style w:type="paragraph" w:styleId="FootnoteText">
    <w:name w:val="footnote text"/>
    <w:basedOn w:val="Normal"/>
    <w:link w:val="FootnoteTextChar"/>
    <w:uiPriority w:val="99"/>
    <w:semiHidden/>
    <w:unhideWhenUsed/>
    <w:rsid w:val="00984FB8"/>
    <w:pPr>
      <w:spacing w:line="240" w:lineRule="auto"/>
    </w:pPr>
    <w:rPr>
      <w:sz w:val="20"/>
      <w:szCs w:val="20"/>
    </w:rPr>
  </w:style>
  <w:style w:type="character" w:customStyle="1" w:styleId="FootnoteTextChar">
    <w:name w:val="Footnote Text Char"/>
    <w:basedOn w:val="DefaultParagraphFont"/>
    <w:link w:val="FootnoteText"/>
    <w:uiPriority w:val="99"/>
    <w:semiHidden/>
    <w:rsid w:val="00984FB8"/>
    <w:rPr>
      <w:rFonts w:ascii="Arial" w:eastAsia="Arial" w:hAnsi="Arial" w:cs="Arial"/>
      <w:sz w:val="20"/>
      <w:szCs w:val="20"/>
      <w:lang w:val="ka"/>
    </w:rPr>
  </w:style>
  <w:style w:type="character" w:styleId="FootnoteReference">
    <w:name w:val="footnote reference"/>
    <w:basedOn w:val="DefaultParagraphFont"/>
    <w:uiPriority w:val="99"/>
    <w:semiHidden/>
    <w:unhideWhenUsed/>
    <w:rsid w:val="00984F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29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6" Type="http://schemas.openxmlformats.org/officeDocument/2006/relationships/hyperlink" Target="https://legislationline.org/taxonomy/term/25582" TargetMode="External"/><Relationship Id="rId21" Type="http://schemas.openxmlformats.org/officeDocument/2006/relationships/hyperlink" Target="https://pace.coe.int/en/files/35692/html" TargetMode="External"/><Relationship Id="rId42" Type="http://schemas.openxmlformats.org/officeDocument/2006/relationships/hyperlink" Target="https://www.gov.ge/index.php?lang_id=GEO&amp;sec_id=629&amp;info_id=94833" TargetMode="External"/><Relationship Id="rId47" Type="http://schemas.openxmlformats.org/officeDocument/2006/relationships/hyperlink" Target="https://www.ohchr.org/sites/default/files/Documents/Issues/Religion/RapporteursDigestFreedomReligionBelief.pdf" TargetMode="External"/><Relationship Id="rId63" Type="http://schemas.openxmlformats.org/officeDocument/2006/relationships/hyperlink" Target="https://www.coe.int/en/web/venice-commission/-/cdl-ad-2023-048-e" TargetMode="External"/><Relationship Id="rId68" Type="http://schemas.openxmlformats.org/officeDocument/2006/relationships/hyperlink" Target="https://www.coe.int/en/web/venice-commission/-/cdl-ad-2023-007-e" TargetMode="External"/><Relationship Id="rId7" Type="http://schemas.openxmlformats.org/officeDocument/2006/relationships/hyperlink" Target="https://docs.un.org/en/A/68/299" TargetMode="External"/><Relationship Id="rId2" Type="http://schemas.openxmlformats.org/officeDocument/2006/relationships/hyperlink" Target="https://www.venice.coe.int/webforms/documents/default.aspx?pdffile=CDL-PI(2024)013-e" TargetMode="External"/><Relationship Id="rId16" Type="http://schemas.openxmlformats.org/officeDocument/2006/relationships/hyperlink" Target="https://www.omct.org/en/resources/urgent-interventions/georgia-tbilisi-city-court-freezes-bank-accounts-of-seven-further-leading-civil-society-organisations-amid-unfounded-investigations-for-sabotage?fbclid=IwY2xjawSrWZRleHRuA2FlbQIxMQBzcnRjBmFwcF9pZBAyMjIwMzkxNzg4MjAwODkyAAEeQQVzX8QVzs3gU2IvlYX7tr40vB1aMxm_TpsQQA7vsp13KGkb9sGmBZVoBKw_aem_YWdncwAd3l0j9Dm0Ycu-b7f3PIzf&amp;brid=YWdncwGVayRfgVB6hff490IIFNOo" TargetMode="External"/><Relationship Id="rId29" Type="http://schemas.openxmlformats.org/officeDocument/2006/relationships/hyperlink" Target="https://www.venice.coe.int/webforms/documents/default.aspx?pdffile=CDL-PI(2024)013-e" TargetMode="External"/><Relationship Id="rId11" Type="http://schemas.openxmlformats.org/officeDocument/2006/relationships/hyperlink" Target="https://odihr.osce.org/sites/default/files/f/documents/3/b/132371.pdf" TargetMode="External"/><Relationship Id="rId24" Type="http://schemas.openxmlformats.org/officeDocument/2006/relationships/hyperlink" Target="https://www.refworld.org/legal/general/hrc/1994/10945" TargetMode="External"/><Relationship Id="rId32" Type="http://schemas.openxmlformats.org/officeDocument/2006/relationships/hyperlink" Target="https://www.politico.eu/article/czechia-prepares-kremlin-style-bill-crackdown-on-ngos-critics-say/" TargetMode="External"/><Relationship Id="rId37" Type="http://schemas.openxmlformats.org/officeDocument/2006/relationships/hyperlink" Target="https://bm.ge/news/ramdeni-organizatsiaa-registrirebuli-rusuli-kanonis-reestrshi-sia" TargetMode="External"/><Relationship Id="rId40" Type="http://schemas.openxmlformats.org/officeDocument/2006/relationships/hyperlink" Target="https://www.interpressnews.ge/en/article/146671-according-to-data-as-of-march-31-2026-the-number-of-grant-recipients-registered-in-the-foreign-grants-registry-stands-at-31" TargetMode="External"/><Relationship Id="rId45" Type="http://schemas.openxmlformats.org/officeDocument/2006/relationships/hyperlink" Target="https://docs.un.org/en/A/HRC/56/50" TargetMode="External"/><Relationship Id="rId53" Type="http://schemas.openxmlformats.org/officeDocument/2006/relationships/hyperlink" Target="https://odihr.osce.org/sites/default/files/f/documents/2/b/77812.pdf" TargetMode="External"/><Relationship Id="rId58" Type="http://schemas.openxmlformats.org/officeDocument/2006/relationships/hyperlink" Target="https://hudoc.echr.coe.int/eng?i=001-60936" TargetMode="External"/><Relationship Id="rId66" Type="http://schemas.openxmlformats.org/officeDocument/2006/relationships/hyperlink" Target="https://rm.coe.int/memorandum-on-georgia-on-accountability-of-law-enforcement-and-freedom/48802c0ac8" TargetMode="External"/><Relationship Id="rId5" Type="http://schemas.openxmlformats.org/officeDocument/2006/relationships/hyperlink" Target="https://www.venice.coe.int/webforms/documents/default.aspx?pdffile=CDL-AD(2025)034-e" TargetMode="External"/><Relationship Id="rId61" Type="http://schemas.openxmlformats.org/officeDocument/2006/relationships/hyperlink" Target="https://rm.coe.int/memorandum-on-georgia-on-accountability-of-law-enforcement-and-freedom/48802c0ac8" TargetMode="External"/><Relationship Id="rId19" Type="http://schemas.openxmlformats.org/officeDocument/2006/relationships/hyperlink" Target="https://palitranews.ge/video/265046-chexetis-sagareo-ucqeba-arasamtavrobo-organizaciebi-sheucvlel-rols-asruleben-qvela-kveqanashi-sakartvelos-mtavrobas-movucodebt-sheacheros-gamoziebebi-da-gaatavisuplos-gaqinuli-pinansuri-resursebi/" TargetMode="External"/><Relationship Id="rId14" Type="http://schemas.openxmlformats.org/officeDocument/2006/relationships/hyperlink" Target="https://www.isfed.ge/eng/gantskhadebebi/evropulma-sasamartlom-5-samoqalaqo-organizatsiisdakadaghebis-saqmeze-arsebiti-gankhilva-daitsko" TargetMode="External"/><Relationship Id="rId22" Type="http://schemas.openxmlformats.org/officeDocument/2006/relationships/hyperlink" Target="http://pace.coe.int/en/files/36232/html" TargetMode="External"/><Relationship Id="rId27" Type="http://schemas.openxmlformats.org/officeDocument/2006/relationships/hyperlink" Target="https://www.venice.coe.int/webforms/documents/?pdf=CDL-AD(2018)004-e" TargetMode="External"/><Relationship Id="rId30" Type="http://schemas.openxmlformats.org/officeDocument/2006/relationships/hyperlink" Target="https://www.venice.coe.int/webforms/documents/default.aspx?pdffile=CDL-AD(2025)034-e" TargetMode="External"/><Relationship Id="rId35" Type="http://schemas.openxmlformats.org/officeDocument/2006/relationships/hyperlink" Target="https://matsne.gov.ge/en/document/view/6461578?publication=1" TargetMode="External"/><Relationship Id="rId43" Type="http://schemas.openxmlformats.org/officeDocument/2006/relationships/hyperlink" Target="https://docs.un.org/en/A/HRC/56/50" TargetMode="External"/><Relationship Id="rId48" Type="http://schemas.openxmlformats.org/officeDocument/2006/relationships/hyperlink" Target="https://docs.un.org/en/A/HRC/20/27" TargetMode="External"/><Relationship Id="rId56" Type="http://schemas.openxmlformats.org/officeDocument/2006/relationships/hyperlink" Target="https://hudoc.echr.coe.int/eng?i=001-58128" TargetMode="External"/><Relationship Id="rId64" Type="http://schemas.openxmlformats.org/officeDocument/2006/relationships/hyperlink" Target="https://docs.un.org/en/A/HRC/59/44" TargetMode="External"/><Relationship Id="rId69" Type="http://schemas.openxmlformats.org/officeDocument/2006/relationships/hyperlink" Target="https://spcommreports.ohchr.org/TMResultsBase/DownLoadPublicCommunicationFile?gId=30883" TargetMode="External"/><Relationship Id="rId8" Type="http://schemas.openxmlformats.org/officeDocument/2006/relationships/hyperlink" Target="https://freeassembly.net/wp-content/uploads/2013/08/A-HRC-RES-24-5-ENG.pdf" TargetMode="External"/><Relationship Id="rId51" Type="http://schemas.openxmlformats.org/officeDocument/2006/relationships/hyperlink" Target="https://docs.un.org/en/A/HRC/59/44" TargetMode="External"/><Relationship Id="rId3" Type="http://schemas.openxmlformats.org/officeDocument/2006/relationships/hyperlink" Target="https://www.osce.org/files/f/documents/b/d/569922.pdf" TargetMode="External"/><Relationship Id="rId12" Type="http://schemas.openxmlformats.org/officeDocument/2006/relationships/hyperlink" Target="https://freeassembly.net/wp-content/uploads/2013/04/A.HRC_.23.39_EN-funding-report-April-2013.pdf" TargetMode="External"/><Relationship Id="rId17" Type="http://schemas.openxmlformats.org/officeDocument/2006/relationships/hyperlink" Target="https://www.amnesty.org/en/latest/news/2026/06/georgia-authorities-built-coordinated-system-to-crush-dissent-and-entrench-power/" TargetMode="External"/><Relationship Id="rId25" Type="http://schemas.openxmlformats.org/officeDocument/2006/relationships/hyperlink" Target="https://www.venice.coe.int/webforms/documents/default.aspx?pdffile=CDL-PI(2024)013-e" TargetMode="External"/><Relationship Id="rId33" Type="http://schemas.openxmlformats.org/officeDocument/2006/relationships/hyperlink" Target="https://matsne.gov.ge/en/document/view/31702?publication=138" TargetMode="External"/><Relationship Id="rId38" Type="http://schemas.openxmlformats.org/officeDocument/2006/relationships/hyperlink" Target="https://fitreg.napr.gov.ge/fitr/fitr-pub/" TargetMode="External"/><Relationship Id="rId46" Type="http://schemas.openxmlformats.org/officeDocument/2006/relationships/hyperlink" Target="https://hudoc.echr.coe.int/eng" TargetMode="External"/><Relationship Id="rId59" Type="http://schemas.openxmlformats.org/officeDocument/2006/relationships/hyperlink" Target="https://docs.un.org/en/A/HRC/23/39" TargetMode="External"/><Relationship Id="rId67" Type="http://schemas.openxmlformats.org/officeDocument/2006/relationships/hyperlink" Target="https://docs.un.org/en/A/HRC/20/27" TargetMode="External"/><Relationship Id="rId20" Type="http://schemas.openxmlformats.org/officeDocument/2006/relationships/hyperlink" Target="https://rm.coe.int/memorandum-on-georgia-on-accountability-of-law-enforcement-and-freedom/48802c0ac8" TargetMode="External"/><Relationship Id="rId41" Type="http://schemas.openxmlformats.org/officeDocument/2006/relationships/hyperlink" Target="https://www.gov.ge/index.php?lang_id=GEO&amp;sec_id=629&amp;info_id=96041" TargetMode="External"/><Relationship Id="rId54" Type="http://schemas.openxmlformats.org/officeDocument/2006/relationships/hyperlink" Target="https://odihr.osce.org/sites/default/files/f/documents/8/1/538473.pdf" TargetMode="External"/><Relationship Id="rId62" Type="http://schemas.openxmlformats.org/officeDocument/2006/relationships/hyperlink" Target="https://www.coe.int/en/web/venice-commission/-/cdl-ad-2023-025-e" TargetMode="External"/><Relationship Id="rId1" Type="http://schemas.openxmlformats.org/officeDocument/2006/relationships/hyperlink" Target="https://www.ombudsman.ge/res/docs/2025091211433999093.pdf" TargetMode="External"/><Relationship Id="rId6" Type="http://schemas.openxmlformats.org/officeDocument/2006/relationships/hyperlink" Target="https://socialjustice.org.ge/en/products/kartuli-otsneba-praktikulad-anadgurebs-politikur-tavisuflebebs-grantebis-shesakheb-kanonisa-da-skhva-sakanonmdeblo-aktebshi-dagegmili-tsvlilebebis-analizi" TargetMode="External"/><Relationship Id="rId15" Type="http://schemas.openxmlformats.org/officeDocument/2006/relationships/hyperlink" Target="https://www.isfed.ge/eng/gantskhadebebi/evropulma-sasamartlom-5-samoqalaqo-organizatsiisdakadaghebis-saqmeze-arsebiti-gankhilva-daitsko" TargetMode="External"/><Relationship Id="rId23" Type="http://schemas.openxmlformats.org/officeDocument/2006/relationships/hyperlink" Target="https://www.refworld.org/legal/general/hrc/1993/13375" TargetMode="External"/><Relationship Id="rId28" Type="http://schemas.openxmlformats.org/officeDocument/2006/relationships/hyperlink" Target="https://odihr.osce.org/odihr/569922" TargetMode="External"/><Relationship Id="rId36" Type="http://schemas.openxmlformats.org/officeDocument/2006/relationships/hyperlink" Target="https://www.matsne.gov.ge/en/document/view/31510?publication=38" TargetMode="External"/><Relationship Id="rId49" Type="http://schemas.openxmlformats.org/officeDocument/2006/relationships/hyperlink" Target="https://hudoc.echr.coe.int/eng?i=001-58128" TargetMode="External"/><Relationship Id="rId57" Type="http://schemas.openxmlformats.org/officeDocument/2006/relationships/hyperlink" Target="https://odihr.osce.org/sites/default/files/documents/official_documents/2026/03/odgal0009c1%20ODIHR%20NV%2082-2026%20report_Moscow%20Mechanism%20invoked%20in%20respect%20of%20Georgia_0.pdf" TargetMode="External"/><Relationship Id="rId10" Type="http://schemas.openxmlformats.org/officeDocument/2006/relationships/hyperlink" Target="https://rm.coe.int/recommendation-cmrec-2018-11-civic-space/168097e937" TargetMode="External"/><Relationship Id="rId31" Type="http://schemas.openxmlformats.org/officeDocument/2006/relationships/hyperlink" Target="https://www.coe.int/en/web/commissioner/-/bosnia-and-herzegovina-the-authorities-of-republika-srpska-should-repeal-the-foreign-agent-law" TargetMode="External"/><Relationship Id="rId44" Type="http://schemas.openxmlformats.org/officeDocument/2006/relationships/hyperlink" Target="https://docs.un.org/en/A/79/182" TargetMode="External"/><Relationship Id="rId52" Type="http://schemas.openxmlformats.org/officeDocument/2006/relationships/hyperlink" Target="https://hudoc.echr.coe.int/eng?i=001-104495" TargetMode="External"/><Relationship Id="rId60" Type="http://schemas.openxmlformats.org/officeDocument/2006/relationships/hyperlink" Target="https://www.coe.int/en/web/venice-commission/-/cdl-ad-2023-048-e" TargetMode="External"/><Relationship Id="rId65" Type="http://schemas.openxmlformats.org/officeDocument/2006/relationships/hyperlink" Target="https://docs.un.org/en/A/HRC/56/50" TargetMode="External"/><Relationship Id="rId4" Type="http://schemas.openxmlformats.org/officeDocument/2006/relationships/hyperlink" Target="https://socialjustice.org.ge/en/products/ratom-ar-vrtseldeba-fara-sinamdvileshi-samokalako-da-media-organizatsiebze-ashsh-shi" TargetMode="External"/><Relationship Id="rId9" Type="http://schemas.openxmlformats.org/officeDocument/2006/relationships/hyperlink" Target="https://www.coe.int/en/web/venice-commission/-/cdl-ad-2024-039-e" TargetMode="External"/><Relationship Id="rId13" Type="http://schemas.openxmlformats.org/officeDocument/2006/relationships/hyperlink" Target="https://www.refworld.org/reference/themreport/unchr/2004/36381" TargetMode="External"/><Relationship Id="rId18" Type="http://schemas.openxmlformats.org/officeDocument/2006/relationships/hyperlink" Target="https://www.eeas.europa.eu/eeas/georgia-statement-spokeperson-authorities%E2%80%99-decision-freeze-bank-accounts-seven-civil-society_en?brid=YWdncwFAovkBHvah1L9FUUkda0mX&amp;s=221" TargetMode="External"/><Relationship Id="rId39" Type="http://schemas.openxmlformats.org/officeDocument/2006/relationships/hyperlink" Target="https://fitreg.napr.gov.ge/fitr/fitr-pub/" TargetMode="External"/><Relationship Id="rId34" Type="http://schemas.openxmlformats.org/officeDocument/2006/relationships/hyperlink" Target="https://matsne.gov.ge/en/document/view/6171895?publication=1" TargetMode="External"/><Relationship Id="rId50" Type="http://schemas.openxmlformats.org/officeDocument/2006/relationships/hyperlink" Target="https://www.equalrightstrust.org/ertdocumentbank/general%20comment%2025.pdf" TargetMode="External"/><Relationship Id="rId55" Type="http://schemas.openxmlformats.org/officeDocument/2006/relationships/hyperlink" Target="https://hudoc.echr.coe.int/eng?i=001-609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This submission has been prepared by the Human Rights Clinic 
at Ilia State University School of Law Tamar Gurchiani, Khatia Tsetskhladze, Nato Mirzashvili, Manuchar Tsetskhladze with the participation of students engaged in clinical legal education.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CHICAGO.XSL" StyleName="Chicago" Version="16"/>
</file>

<file path=customXml/item3.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DFCC2C-D16B-4290-9A6C-0890D68D2EB2}">
  <ds:schemaRefs>
    <ds:schemaRef ds:uri="http://schemas.openxmlformats.org/officeDocument/2006/bibliography"/>
  </ds:schemaRefs>
</ds:datastoreItem>
</file>

<file path=customXml/itemProps3.xml><?xml version="1.0" encoding="utf-8"?>
<ds:datastoreItem xmlns:ds="http://schemas.openxmlformats.org/officeDocument/2006/customXml" ds:itemID="{8EA0876F-CC02-4055-8782-34C1BE8344DE}"/>
</file>

<file path=customXml/itemProps4.xml><?xml version="1.0" encoding="utf-8"?>
<ds:datastoreItem xmlns:ds="http://schemas.openxmlformats.org/officeDocument/2006/customXml" ds:itemID="{E9077618-54DB-408F-B88C-28EAA3315CBA}"/>
</file>

<file path=customXml/itemProps5.xml><?xml version="1.0" encoding="utf-8"?>
<ds:datastoreItem xmlns:ds="http://schemas.openxmlformats.org/officeDocument/2006/customXml" ds:itemID="{CFC853B4-86C2-485B-A8B1-1BFE19AF4BB1}"/>
</file>

<file path=docProps/app.xml><?xml version="1.0" encoding="utf-8"?>
<Properties xmlns="http://schemas.openxmlformats.org/officeDocument/2006/extended-properties" xmlns:vt="http://schemas.openxmlformats.org/officeDocument/2006/docPropsVTypes">
  <Template>Normal</Template>
  <TotalTime>123</TotalTime>
  <Pages>20</Pages>
  <Words>7025</Words>
  <Characters>40045</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Human Rights Clinic at Ilia State University School of Law</vt:lpstr>
    </vt:vector>
  </TitlesOfParts>
  <Company/>
  <LinksUpToDate>false</LinksUpToDate>
  <CharactersWithSpaces>46977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Rights Clinic at Ilia State University School of Law</dc:title>
  <dc:subject>Contribution to the Draft General Comment No. 38 on Article 22 of the ICCPR (Right to Freedom of Association)</dc:subject>
  <dc:creator>khatia tsetskhladze</dc:creator>
  <cp:keywords/>
  <dc:description/>
  <cp:lastModifiedBy>khatia tsetskhladze</cp:lastModifiedBy>
  <cp:revision>7</cp:revision>
  <dcterms:created xsi:type="dcterms:W3CDTF">2026-06-30T11:27:00Z</dcterms:created>
  <dcterms:modified xsi:type="dcterms:W3CDTF">2026-06-30T15:23:00Z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