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Comments to the Draft General Comment No. 38 on Article 22 of the International Covenant on Civil and Political Rights</w:t>
      </w:r>
    </w:p>
    <w:p w:rsidR="00000000" w:rsidDel="00000000" w:rsidP="00000000" w:rsidRDefault="00000000" w:rsidRPr="00000000" w14:paraId="00000002">
      <w:pPr>
        <w:spacing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3">
      <w:pPr>
        <w:spacing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Latitude Global</w:t>
      </w:r>
    </w:p>
    <w:p w:rsidR="00000000" w:rsidDel="00000000" w:rsidP="00000000" w:rsidRDefault="00000000" w:rsidRPr="00000000" w14:paraId="00000004">
      <w:pPr>
        <w:spacing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May 28, 2026</w:t>
      </w:r>
    </w:p>
    <w:p w:rsidR="00000000" w:rsidDel="00000000" w:rsidP="00000000" w:rsidRDefault="00000000" w:rsidRPr="00000000" w14:paraId="00000005">
      <w:pPr>
        <w:spacing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6">
      <w:pPr>
        <w:spacing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07">
      <w:pPr>
        <w:spacing w:line="240" w:lineRule="auto"/>
        <w:rPr>
          <w:rFonts w:ascii="Montserrat" w:cs="Montserrat" w:eastAsia="Montserrat" w:hAnsi="Montserrat"/>
        </w:rPr>
      </w:pPr>
      <w:hyperlink r:id="rId7">
        <w:r w:rsidDel="00000000" w:rsidR="00000000" w:rsidRPr="00000000">
          <w:rPr>
            <w:rFonts w:ascii="Montserrat" w:cs="Montserrat" w:eastAsia="Montserrat" w:hAnsi="Montserrat"/>
            <w:color w:val="1155cc"/>
            <w:u w:val="single"/>
            <w:rtl w:val="0"/>
          </w:rPr>
          <w:t xml:space="preserve">Latitude Global</w:t>
        </w:r>
      </w:hyperlink>
      <w:r w:rsidDel="00000000" w:rsidR="00000000" w:rsidRPr="00000000">
        <w:rPr>
          <w:rFonts w:ascii="Montserrat" w:cs="Montserrat" w:eastAsia="Montserrat" w:hAnsi="Montserrat"/>
          <w:rtl w:val="0"/>
        </w:rPr>
        <w:t xml:space="preserve"> is a U.S. public charity with global operations. Our mission is to drive more intentional risk management in philanthropy, creating healthier and more sustainable partnerships. We envision a world where resources flow freely and equitably in the philanthropic sector, enabling civil society to thrive. Our team consists of attorneys, researchers, and experts in risk management, philanthropy, and civil society. We pursue our mission through research, skills-building, and the direct practice of philanthropic due diligence in partnership with funders and civil society organizations. Of increasing importance to our stakeholders is clear and transparent guidance on how to move resources compliantly from a donor’s country to the country of the receiving civil society organization. </w:t>
      </w:r>
    </w:p>
    <w:p w:rsidR="00000000" w:rsidDel="00000000" w:rsidP="00000000" w:rsidRDefault="00000000" w:rsidRPr="00000000" w14:paraId="00000008">
      <w:pPr>
        <w:spacing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09">
      <w:pPr>
        <w:spacing w:line="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Purpose</w:t>
      </w:r>
    </w:p>
    <w:p w:rsidR="00000000" w:rsidDel="00000000" w:rsidP="00000000" w:rsidRDefault="00000000" w:rsidRPr="00000000" w14:paraId="0000000A">
      <w:pPr>
        <w:spacing w:line="240"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B">
      <w:pPr>
        <w:spacing w:line="240" w:lineRule="auto"/>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It is our privilege to submit these comments to the UN Human Rights Committee, with respect to </w:t>
      </w:r>
      <w:hyperlink r:id="rId8">
        <w:r w:rsidDel="00000000" w:rsidR="00000000" w:rsidRPr="00000000">
          <w:rPr>
            <w:rFonts w:ascii="Montserrat" w:cs="Montserrat" w:eastAsia="Montserrat" w:hAnsi="Montserrat"/>
            <w:color w:val="1155cc"/>
            <w:u w:val="single"/>
            <w:rtl w:val="0"/>
          </w:rPr>
          <w:t xml:space="preserve">Draft General Comment No. 38 on Article 22</w:t>
        </w:r>
      </w:hyperlink>
      <w:r w:rsidDel="00000000" w:rsidR="00000000" w:rsidRPr="00000000">
        <w:rPr>
          <w:rFonts w:ascii="Montserrat" w:cs="Montserrat" w:eastAsia="Montserrat" w:hAnsi="Montserrat"/>
          <w:rtl w:val="0"/>
        </w:rPr>
        <w:t xml:space="preserve"> of the International Covenant on Civil and Political Rights (the “Covenant”). We applaud the Committee for initiating and drafting this General Comment, and for providing civil society actors with an opportunity to contribute. We are also deeply grateful for the </w:t>
      </w:r>
      <w:hyperlink r:id="rId9">
        <w:r w:rsidDel="00000000" w:rsidR="00000000" w:rsidRPr="00000000">
          <w:rPr>
            <w:rFonts w:ascii="Montserrat" w:cs="Montserrat" w:eastAsia="Montserrat" w:hAnsi="Montserrat"/>
            <w:color w:val="1155cc"/>
            <w:u w:val="single"/>
            <w:rtl w:val="0"/>
          </w:rPr>
          <w:t xml:space="preserve">diverse comments submitted</w:t>
        </w:r>
      </w:hyperlink>
      <w:r w:rsidDel="00000000" w:rsidR="00000000" w:rsidRPr="00000000">
        <w:rPr>
          <w:rFonts w:ascii="Montserrat" w:cs="Montserrat" w:eastAsia="Montserrat" w:hAnsi="Montserrat"/>
          <w:rtl w:val="0"/>
        </w:rPr>
        <w:t xml:space="preserve"> in response to the initial call for input, some of which are cited below. </w:t>
      </w:r>
      <w:r w:rsidDel="00000000" w:rsidR="00000000" w:rsidRPr="00000000">
        <w:rPr>
          <w:rtl w:val="0"/>
        </w:rPr>
      </w:r>
    </w:p>
    <w:p w:rsidR="00000000" w:rsidDel="00000000" w:rsidP="00000000" w:rsidRDefault="00000000" w:rsidRPr="00000000" w14:paraId="0000000C">
      <w:pPr>
        <w:spacing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0D">
      <w:pPr>
        <w:spacing w:line="240" w:lineRule="auto"/>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The primary focus of these comments is on the associative right to the free flow of resources, reinforced by:</w:t>
      </w:r>
    </w:p>
    <w:p w:rsidR="00000000" w:rsidDel="00000000" w:rsidP="00000000" w:rsidRDefault="00000000" w:rsidRPr="00000000" w14:paraId="0000000E">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0F">
      <w:pPr>
        <w:numPr>
          <w:ilvl w:val="0"/>
          <w:numId w:val="4"/>
        </w:numPr>
        <w:spacing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Article 1 of the Covenant, regarding the right to self-determination and the right to f</w:t>
      </w:r>
      <w:r w:rsidDel="00000000" w:rsidR="00000000" w:rsidRPr="00000000">
        <w:rPr>
          <w:rFonts w:ascii="Montserrat" w:cs="Montserrat" w:eastAsia="Montserrat" w:hAnsi="Montserrat"/>
          <w:rtl w:val="0"/>
        </w:rPr>
        <w:t xml:space="preserve">reely dispose of natural wealth and resources.</w:t>
      </w:r>
      <w:r w:rsidDel="00000000" w:rsidR="00000000" w:rsidRPr="00000000">
        <w:rPr>
          <w:rFonts w:ascii="Montserrat" w:cs="Montserrat" w:eastAsia="Montserrat" w:hAnsi="Montserrat"/>
          <w:color w:val="4a4a4a"/>
          <w:rtl w:val="0"/>
        </w:rPr>
        <w:t xml:space="preserve"> </w:t>
      </w:r>
    </w:p>
    <w:p w:rsidR="00000000" w:rsidDel="00000000" w:rsidP="00000000" w:rsidRDefault="00000000" w:rsidRPr="00000000" w14:paraId="00000010">
      <w:pPr>
        <w:numPr>
          <w:ilvl w:val="0"/>
          <w:numId w:val="4"/>
        </w:numPr>
        <w:spacing w:line="240" w:lineRule="auto"/>
        <w:ind w:left="720" w:hanging="360"/>
        <w:rPr>
          <w:rFonts w:ascii="Montserrat" w:cs="Montserrat" w:eastAsia="Montserrat" w:hAnsi="Montserrat"/>
          <w:color w:val="4a4a4a"/>
          <w:u w:val="none"/>
        </w:rPr>
      </w:pPr>
      <w:r w:rsidDel="00000000" w:rsidR="00000000" w:rsidRPr="00000000">
        <w:rPr>
          <w:rFonts w:ascii="Montserrat" w:cs="Montserrat" w:eastAsia="Montserrat" w:hAnsi="Montserrat"/>
          <w:rtl w:val="0"/>
        </w:rPr>
        <w:t xml:space="preserve">Article 1 of the</w:t>
      </w:r>
      <w:r w:rsidDel="00000000" w:rsidR="00000000" w:rsidRPr="00000000">
        <w:rPr>
          <w:rFonts w:ascii="Montserrat" w:cs="Montserrat" w:eastAsia="Montserrat" w:hAnsi="Montserrat"/>
          <w:color w:val="4a4a4a"/>
          <w:rtl w:val="0"/>
        </w:rPr>
        <w:t xml:space="preserve"> </w:t>
      </w:r>
      <w:hyperlink r:id="rId10">
        <w:r w:rsidDel="00000000" w:rsidR="00000000" w:rsidRPr="00000000">
          <w:rPr>
            <w:rFonts w:ascii="Montserrat" w:cs="Montserrat" w:eastAsia="Montserrat" w:hAnsi="Montserrat"/>
            <w:color w:val="1155cc"/>
            <w:u w:val="single"/>
            <w:rtl w:val="0"/>
          </w:rPr>
          <w:t xml:space="preserve">International Covenant on Economic, Social and Cultural Rights</w:t>
        </w:r>
      </w:hyperlink>
      <w:r w:rsidDel="00000000" w:rsidR="00000000" w:rsidRPr="00000000">
        <w:rPr>
          <w:rFonts w:ascii="Montserrat" w:cs="Montserrat" w:eastAsia="Montserrat" w:hAnsi="Montserrat"/>
          <w:rtl w:val="0"/>
        </w:rPr>
        <w:t xml:space="preserve">, which states that </w:t>
      </w:r>
      <w:r w:rsidDel="00000000" w:rsidR="00000000" w:rsidRPr="00000000">
        <w:rPr>
          <w:rFonts w:ascii="Montserrat" w:cs="Montserrat" w:eastAsia="Montserrat" w:hAnsi="Montserrat"/>
          <w:rtl w:val="0"/>
        </w:rPr>
        <w:t xml:space="preserve">“[a]ll peoples have the right of self-determination. By virtue of that right they freely determine their political status and freely pursue their economic, social and cultural development.”</w:t>
      </w:r>
      <w:r w:rsidDel="00000000" w:rsidR="00000000" w:rsidRPr="00000000">
        <w:rPr>
          <w:rtl w:val="0"/>
        </w:rPr>
      </w:r>
    </w:p>
    <w:p w:rsidR="00000000" w:rsidDel="00000000" w:rsidP="00000000" w:rsidRDefault="00000000" w:rsidRPr="00000000" w14:paraId="00000011">
      <w:pPr>
        <w:numPr>
          <w:ilvl w:val="0"/>
          <w:numId w:val="4"/>
        </w:numPr>
        <w:spacing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Article 13 of the </w:t>
      </w:r>
      <w:hyperlink r:id="rId11">
        <w:r w:rsidDel="00000000" w:rsidR="00000000" w:rsidRPr="00000000">
          <w:rPr>
            <w:rFonts w:ascii="Montserrat" w:cs="Montserrat" w:eastAsia="Montserrat" w:hAnsi="Montserrat"/>
            <w:color w:val="1155cc"/>
            <w:u w:val="single"/>
            <w:rtl w:val="0"/>
          </w:rPr>
          <w:t xml:space="preserve">UN Declaration on the Right and Responsibility of Individuals, Groups and Organs of Society to Promote and Protect Universally Recognized Human Rights and Fundamental Freedoms</w:t>
        </w:r>
      </w:hyperlink>
      <w:r w:rsidDel="00000000" w:rsidR="00000000" w:rsidRPr="00000000">
        <w:rPr>
          <w:rFonts w:ascii="Montserrat" w:cs="Montserrat" w:eastAsia="Montserrat" w:hAnsi="Montserrat"/>
          <w:rtl w:val="0"/>
        </w:rPr>
        <w:t xml:space="preserve">, which states that “[e]veryone has the right, individually and in association with others, to solicit, receive and utilize resources for the express purpose of promoting and protecting human rights and fundamental freedoms through peaceful means ….”</w:t>
      </w:r>
    </w:p>
    <w:p w:rsidR="00000000" w:rsidDel="00000000" w:rsidP="00000000" w:rsidRDefault="00000000" w:rsidRPr="00000000" w14:paraId="00000012">
      <w:pPr>
        <w:numPr>
          <w:ilvl w:val="0"/>
          <w:numId w:val="4"/>
        </w:numPr>
        <w:spacing w:line="240" w:lineRule="auto"/>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Article 6(f) of the </w:t>
      </w:r>
      <w:hyperlink r:id="rId12">
        <w:r w:rsidDel="00000000" w:rsidR="00000000" w:rsidRPr="00000000">
          <w:rPr>
            <w:rFonts w:ascii="Montserrat" w:cs="Montserrat" w:eastAsia="Montserrat" w:hAnsi="Montserrat"/>
            <w:color w:val="1155cc"/>
            <w:u w:val="single"/>
            <w:rtl w:val="0"/>
          </w:rPr>
          <w:t xml:space="preserve">Declaration on the Elimination of All Forms of Intolerance and of Discrimination based on Religion or Belief</w:t>
        </w:r>
      </w:hyperlink>
      <w:r w:rsidDel="00000000" w:rsidR="00000000" w:rsidRPr="00000000">
        <w:rPr>
          <w:rFonts w:ascii="Montserrat" w:cs="Montserrat" w:eastAsia="Montserrat" w:hAnsi="Montserrat"/>
          <w:rtl w:val="0"/>
        </w:rPr>
        <w:t xml:space="preserve">, which specifies that </w:t>
      </w:r>
      <w:r w:rsidDel="00000000" w:rsidR="00000000" w:rsidRPr="00000000">
        <w:rPr>
          <w:rFonts w:ascii="Montserrat" w:cs="Montserrat" w:eastAsia="Montserrat" w:hAnsi="Montserrat"/>
          <w:rtl w:val="0"/>
        </w:rPr>
        <w:t xml:space="preserve">“the right to freedom of thought, conscience, religion or belief shall include … [t]o solicit and receive voluntary financial and other contributions from individuals and institutions ….” </w:t>
      </w:r>
      <w:r w:rsidDel="00000000" w:rsidR="00000000" w:rsidRPr="00000000">
        <w:rPr>
          <w:rtl w:val="0"/>
        </w:rPr>
      </w:r>
    </w:p>
    <w:p w:rsidR="00000000" w:rsidDel="00000000" w:rsidP="00000000" w:rsidRDefault="00000000" w:rsidRPr="00000000" w14:paraId="00000013">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spacing w:line="240" w:lineRule="auto"/>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As is firmly established in the Covenant and other instruments like those listed above, the right to give and receive resources must be f</w:t>
      </w:r>
      <w:r w:rsidDel="00000000" w:rsidR="00000000" w:rsidRPr="00000000">
        <w:rPr>
          <w:rFonts w:ascii="Montserrat" w:cs="Montserrat" w:eastAsia="Montserrat" w:hAnsi="Montserrat"/>
          <w:rtl w:val="0"/>
        </w:rPr>
        <w:t xml:space="preserve">ree from prior authorization or other undue impedimen</w:t>
      </w:r>
      <w:r w:rsidDel="00000000" w:rsidR="00000000" w:rsidRPr="00000000">
        <w:rPr>
          <w:rFonts w:ascii="Montserrat" w:cs="Montserrat" w:eastAsia="Montserrat" w:hAnsi="Montserrat"/>
          <w:rtl w:val="0"/>
        </w:rPr>
        <w:t xml:space="preserve">ts, other than those prescribed by law and which are necessary in a democratic society in the interests of legitimate national security or public safety. </w:t>
      </w:r>
    </w:p>
    <w:p w:rsidR="00000000" w:rsidDel="00000000" w:rsidP="00000000" w:rsidRDefault="00000000" w:rsidRPr="00000000" w14:paraId="00000015">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spacing w:line="240" w:lineRule="auto"/>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The Draft General Comment references, in Paragraphs 14, 19, and 49, “the right to seek, receive and expend funding and other material resources, including those coming from outside the State party.” We find these references relevant and encouraging. We feel that</w:t>
      </w:r>
      <w:r w:rsidDel="00000000" w:rsidR="00000000" w:rsidRPr="00000000">
        <w:rPr>
          <w:rFonts w:ascii="Montserrat" w:cs="Montserrat" w:eastAsia="Montserrat" w:hAnsi="Montserrat"/>
          <w:rtl w:val="0"/>
        </w:rPr>
        <w:t xml:space="preserve"> additional examples can shed light on the gravity of ongoing violations of this right, while providing clarity as to how the right may be exercised.</w:t>
      </w:r>
    </w:p>
    <w:p w:rsidR="00000000" w:rsidDel="00000000" w:rsidP="00000000" w:rsidRDefault="00000000" w:rsidRPr="00000000" w14:paraId="00000017">
      <w:pPr>
        <w:spacing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spacing w:line="240" w:lineRule="auto"/>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Background</w:t>
      </w:r>
      <w:r w:rsidDel="00000000" w:rsidR="00000000" w:rsidRPr="00000000">
        <w:rPr>
          <w:rtl w:val="0"/>
        </w:rPr>
      </w:r>
    </w:p>
    <w:p w:rsidR="00000000" w:rsidDel="00000000" w:rsidP="00000000" w:rsidRDefault="00000000" w:rsidRPr="00000000" w14:paraId="00000019">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spacing w:line="240" w:lineRule="auto"/>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The right to seek and access resources is an established right of association, as emphasized in a 2014 report by Community of Democracies and the UN Special Rapporteur, </w:t>
      </w:r>
      <w:hyperlink r:id="rId13">
        <w:r w:rsidDel="00000000" w:rsidR="00000000" w:rsidRPr="00000000">
          <w:rPr>
            <w:rFonts w:ascii="Montserrat" w:cs="Montserrat" w:eastAsia="Montserrat" w:hAnsi="Montserrat"/>
            <w:color w:val="1155cc"/>
            <w:u w:val="single"/>
            <w:rtl w:val="0"/>
          </w:rPr>
          <w:t xml:space="preserve">Protecting civic space and the right to access resources</w:t>
        </w:r>
      </w:hyperlink>
      <w:r w:rsidDel="00000000" w:rsidR="00000000" w:rsidRPr="00000000">
        <w:rPr>
          <w:rFonts w:ascii="Montserrat" w:cs="Montserrat" w:eastAsia="Montserrat" w:hAnsi="Montserrat"/>
          <w:rtl w:val="0"/>
        </w:rPr>
        <w:t xml:space="preserve">, which described the startling number of State violations of this right. Notably, “[t]he problem is not isolated but exists in all parts of the world, including the ‘global north’: it is used in many instances to silence the voices of dissent and critics.”</w:t>
      </w:r>
      <w:r w:rsidDel="00000000" w:rsidR="00000000" w:rsidRPr="00000000">
        <w:rPr>
          <w:rFonts w:ascii="Montserrat" w:cs="Montserrat" w:eastAsia="Montserrat" w:hAnsi="Montserrat"/>
          <w:vertAlign w:val="superscript"/>
        </w:rPr>
        <w:footnoteReference w:customMarkFollows="0" w:id="0"/>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rtl w:val="0"/>
        </w:rPr>
        <w:t xml:space="preserve">The report concluded that “[m]ost of the justifications put forward by States to restrict foreign funding do not comply with Art. 22 par. 2 of ICCPR.” As a result:</w:t>
      </w:r>
    </w:p>
    <w:p w:rsidR="00000000" w:rsidDel="00000000" w:rsidP="00000000" w:rsidRDefault="00000000" w:rsidRPr="00000000" w14:paraId="0000001B">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spacing w:line="240"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The exercise of the right to freedom of association is severely curtailed and rendered null if the access to resources is restricted as demonstrated by the decline in the number of associations, decrease of activities or extinction of other associations.</w:t>
      </w:r>
      <w:r w:rsidDel="00000000" w:rsidR="00000000" w:rsidRPr="00000000">
        <w:rPr>
          <w:rFonts w:ascii="Montserrat" w:cs="Montserrat" w:eastAsia="Montserrat" w:hAnsi="Montserrat"/>
          <w:vertAlign w:val="superscript"/>
        </w:rPr>
        <w:footnoteReference w:customMarkFollows="0" w:id="1"/>
      </w:r>
      <w:r w:rsidDel="00000000" w:rsidR="00000000" w:rsidRPr="00000000">
        <w:rPr>
          <w:rtl w:val="0"/>
        </w:rPr>
      </w:r>
    </w:p>
    <w:p w:rsidR="00000000" w:rsidDel="00000000" w:rsidP="00000000" w:rsidRDefault="00000000" w:rsidRPr="00000000" w14:paraId="0000001D">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spacing w:line="240" w:lineRule="auto"/>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UNICEF reported in 2026 that, as a result of decreasing aid and multiplying “political restrictions,” civil society organizations are being forced to shift operational models, merge, or shut down entirely.</w:t>
      </w:r>
      <w:r w:rsidDel="00000000" w:rsidR="00000000" w:rsidRPr="00000000">
        <w:rPr>
          <w:rFonts w:ascii="Montserrat" w:cs="Montserrat" w:eastAsia="Montserrat" w:hAnsi="Montserrat"/>
          <w:vertAlign w:val="superscript"/>
        </w:rPr>
        <w:footnoteReference w:customMarkFollows="0" w:id="2"/>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rtl w:val="0"/>
        </w:rPr>
        <w:t xml:space="preserve">Since foreign funding bans and restrictions are almost always used as a means to target dissent and free speech, such tools effectively shut off funding primarily to minority groups (including LGBTQ+, women’s health, and refugee organizations) and human rights defenders (including journalists). “Funding reductions have disproportionately affected civil society organizations working in sectors typically targeted by authoritarian regimes: gender equality, climate change, sexual reproductive health and rights, minority rights, migration and support to democracy.”</w:t>
      </w:r>
      <w:r w:rsidDel="00000000" w:rsidR="00000000" w:rsidRPr="00000000">
        <w:rPr>
          <w:rFonts w:ascii="Montserrat" w:cs="Montserrat" w:eastAsia="Montserrat" w:hAnsi="Montserrat"/>
          <w:vertAlign w:val="superscript"/>
        </w:rPr>
        <w:footnoteReference w:customMarkFollows="0" w:id="3"/>
      </w:r>
      <w:r w:rsidDel="00000000" w:rsidR="00000000" w:rsidRPr="00000000">
        <w:rPr>
          <w:rtl w:val="0"/>
        </w:rPr>
      </w:r>
    </w:p>
    <w:p w:rsidR="00000000" w:rsidDel="00000000" w:rsidP="00000000" w:rsidRDefault="00000000" w:rsidRPr="00000000" w14:paraId="0000001F">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spacing w:line="240" w:lineRule="auto"/>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GATE (Global Access for Trans Equality) spoke directly to this issue in its </w:t>
      </w:r>
      <w:hyperlink r:id="rId14">
        <w:r w:rsidDel="00000000" w:rsidR="00000000" w:rsidRPr="00000000">
          <w:rPr>
            <w:rFonts w:ascii="Montserrat" w:cs="Montserrat" w:eastAsia="Montserrat" w:hAnsi="Montserrat"/>
            <w:color w:val="1155cc"/>
            <w:u w:val="single"/>
            <w:rtl w:val="0"/>
          </w:rPr>
          <w:t xml:space="preserve">December 2025 submission to the Human Rights Committee</w:t>
        </w:r>
      </w:hyperlink>
      <w:r w:rsidDel="00000000" w:rsidR="00000000" w:rsidRPr="00000000">
        <w:rPr>
          <w:rFonts w:ascii="Montserrat" w:cs="Montserrat" w:eastAsia="Montserrat" w:hAnsi="Montserrat"/>
          <w:rtl w:val="0"/>
        </w:rPr>
        <w:t xml:space="preserve"> regarding input on Draft General Comment No. 38:</w:t>
        <w:br w:type="textWrapping"/>
      </w:r>
    </w:p>
    <w:p w:rsidR="00000000" w:rsidDel="00000000" w:rsidP="00000000" w:rsidRDefault="00000000" w:rsidRPr="00000000" w14:paraId="00000021">
      <w:pPr>
        <w:spacing w:line="240"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The defunding of trans and gender diverse human rights work represents a coordinated effort led by anti-gender opposition aimed at weakening trans and gender diverse movements' freedom of association. This strategic defunding particularly targets health and HIV services, which have historically been crucial funding streams for trans and gender diverse organizations.</w:t>
      </w:r>
    </w:p>
    <w:p w:rsidR="00000000" w:rsidDel="00000000" w:rsidP="00000000" w:rsidRDefault="00000000" w:rsidRPr="00000000" w14:paraId="00000022">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3">
      <w:pPr>
        <w:spacing w:line="240" w:lineRule="auto"/>
        <w:ind w:left="0" w:firstLine="0"/>
        <w:rPr>
          <w:rFonts w:ascii="Montserrat" w:cs="Montserrat" w:eastAsia="Montserrat" w:hAnsi="Montserrat"/>
        </w:rPr>
      </w:pPr>
      <w:r w:rsidDel="00000000" w:rsidR="00000000" w:rsidRPr="00000000">
        <w:rPr>
          <w:rFonts w:ascii="Montserrat" w:cs="Montserrat" w:eastAsia="Montserrat" w:hAnsi="Montserrat"/>
          <w:i w:val="1"/>
          <w:iCs w:val="1"/>
          <w:rtl w:val="0"/>
        </w:rPr>
        <w:t xml:space="preserve">See also</w:t>
      </w:r>
      <w:r w:rsidDel="00000000" w:rsidR="00000000" w:rsidRPr="00000000">
        <w:rPr>
          <w:rFonts w:ascii="Montserrat" w:cs="Montserrat" w:eastAsia="Montserrat" w:hAnsi="Montserrat"/>
          <w:rtl w:val="0"/>
        </w:rPr>
        <w:t xml:space="preserve"> </w:t>
      </w:r>
      <w:hyperlink r:id="rId15">
        <w:r w:rsidDel="00000000" w:rsidR="00000000" w:rsidRPr="00000000">
          <w:rPr>
            <w:rFonts w:ascii="Montserrat" w:cs="Montserrat" w:eastAsia="Montserrat" w:hAnsi="Montserrat"/>
            <w:color w:val="1155cc"/>
            <w:u w:val="single"/>
            <w:rtl w:val="0"/>
          </w:rPr>
          <w:t xml:space="preserve">The Impact of Anti-Gender Opposition: Global and Regional Reports, GATE</w:t>
        </w:r>
      </w:hyperlink>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24">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spacing w:line="240" w:lineRule="auto"/>
        <w:ind w:left="0" w:firstLine="0"/>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Numerous other examples demonstrate how </w:t>
      </w:r>
      <w:r w:rsidDel="00000000" w:rsidR="00000000" w:rsidRPr="00000000">
        <w:rPr>
          <w:rFonts w:ascii="Montserrat" w:cs="Montserrat" w:eastAsia="Montserrat" w:hAnsi="Montserrat"/>
          <w:rtl w:val="0"/>
        </w:rPr>
        <w:t xml:space="preserve">funding restrictions and “foreign agent” laws are systematically used to dismantle minority and human rights organizations by cutting off their access to resources and criminalizing their activities. Without any access to funds to operationalize their work, such organizations – and the vulnerable populations that they fight to protect – are silenced, shuttered, and in many cases, criminally charged.</w:t>
      </w:r>
      <w:r w:rsidDel="00000000" w:rsidR="00000000" w:rsidRPr="00000000">
        <w:rPr>
          <w:rFonts w:ascii="Montserrat" w:cs="Montserrat" w:eastAsia="Montserrat" w:hAnsi="Montserrat"/>
          <w:vertAlign w:val="superscript"/>
        </w:rPr>
        <w:footnoteReference w:customMarkFollows="0" w:id="4"/>
      </w:r>
      <w:r w:rsidDel="00000000" w:rsidR="00000000" w:rsidRPr="00000000">
        <w:rPr>
          <w:rFonts w:ascii="Montserrat" w:cs="Montserrat" w:eastAsia="Montserrat" w:hAnsi="Montserrat"/>
          <w:rtl w:val="0"/>
        </w:rPr>
        <w:t xml:space="preserve"> </w:t>
      </w:r>
      <w:r w:rsidDel="00000000" w:rsidR="00000000" w:rsidRPr="00000000">
        <w:rPr>
          <w:rtl w:val="0"/>
        </w:rPr>
      </w:r>
    </w:p>
    <w:p w:rsidR="00000000" w:rsidDel="00000000" w:rsidP="00000000" w:rsidRDefault="00000000" w:rsidRPr="00000000" w14:paraId="00000026">
      <w:pPr>
        <w:spacing w:line="240" w:lineRule="auto"/>
        <w:ind w:left="0" w:firstLine="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27">
      <w:pPr>
        <w:spacing w:line="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Specific Recommendations</w:t>
      </w:r>
    </w:p>
    <w:p w:rsidR="00000000" w:rsidDel="00000000" w:rsidP="00000000" w:rsidRDefault="00000000" w:rsidRPr="00000000" w14:paraId="00000028">
      <w:pPr>
        <w:spacing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29">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In light of ongoing and increasing State attacks on civil society organizations’ ability to seek and receive resources, we offer the following specific recommendations to draft General Comment No. 38.</w:t>
      </w:r>
    </w:p>
    <w:p w:rsidR="00000000" w:rsidDel="00000000" w:rsidP="00000000" w:rsidRDefault="00000000" w:rsidRPr="00000000" w14:paraId="0000002A">
      <w:pPr>
        <w:spacing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2B">
      <w:pPr>
        <w:numPr>
          <w:ilvl w:val="0"/>
          <w:numId w:val="3"/>
        </w:numPr>
        <w:spacing w:line="240" w:lineRule="auto"/>
        <w:ind w:left="720" w:hanging="360"/>
        <w:rPr>
          <w:rFonts w:ascii="Montserrat" w:cs="Montserrat" w:eastAsia="Montserrat" w:hAnsi="Montserrat"/>
          <w:u w:val="none"/>
        </w:rPr>
      </w:pPr>
      <w:r w:rsidDel="00000000" w:rsidR="00000000" w:rsidRPr="00000000">
        <w:rPr>
          <w:rFonts w:ascii="Montserrat" w:cs="Montserrat" w:eastAsia="Montserrat" w:hAnsi="Montserrat"/>
          <w:u w:val="single"/>
          <w:rtl w:val="0"/>
        </w:rPr>
        <w:t xml:space="preserve">Interdependent rights in Article 1.2 of the Covenant</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2C">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spacing w:line="240" w:lineRule="auto"/>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General Remark 2 of General Comment No. 38 references the interrelated and interdependent rights and freedoms of the Covenant that must be interpreted together with Article 22. We recommend that Article 1.2 of the Covenant be more explicitly referenced, as it reinforces two associative rights related to the licit transfer and receipt of resources:</w:t>
      </w:r>
    </w:p>
    <w:p w:rsidR="00000000" w:rsidDel="00000000" w:rsidP="00000000" w:rsidRDefault="00000000" w:rsidRPr="00000000" w14:paraId="0000002E">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F">
      <w:pPr>
        <w:numPr>
          <w:ilvl w:val="0"/>
          <w:numId w:val="1"/>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Article 1.2 states that: “</w:t>
      </w:r>
      <w:r w:rsidDel="00000000" w:rsidR="00000000" w:rsidRPr="00000000">
        <w:rPr>
          <w:rFonts w:ascii="Montserrat" w:cs="Montserrat" w:eastAsia="Montserrat" w:hAnsi="Montserrat"/>
          <w:rtl w:val="0"/>
        </w:rPr>
        <w:t xml:space="preserve">In no case may a people be deprived of its own means of subsistence.” If civil society organizations organize to provide food, aid, and other basic care to local populations – as they commonly do – then government intrusion on their ability to do so interferes with a people’s right of subsistence. </w:t>
      </w:r>
    </w:p>
    <w:p w:rsidR="00000000" w:rsidDel="00000000" w:rsidP="00000000" w:rsidRDefault="00000000" w:rsidRPr="00000000" w14:paraId="00000030">
      <w:pPr>
        <w:spacing w:line="240" w:lineRule="auto"/>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1">
      <w:pPr>
        <w:numPr>
          <w:ilvl w:val="0"/>
          <w:numId w:val="1"/>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Article 1.2 also states that: </w:t>
      </w:r>
      <w:r w:rsidDel="00000000" w:rsidR="00000000" w:rsidRPr="00000000">
        <w:rPr>
          <w:rFonts w:ascii="Montserrat" w:cs="Montserrat" w:eastAsia="Montserrat" w:hAnsi="Montserrat"/>
          <w:rtl w:val="0"/>
        </w:rPr>
        <w:t xml:space="preserve">“All peoples may, for their own ends, freely dispose of their natural wealth and resources”, which implies not only the right of self-determination and indigenous resource rights, but also philanthropic associative rights. Just as associations may freely organize to seek resources for their development, so may associations freely organize to distribute resources. This right of philanthropic association is further curtailed when States prohibit or severely restrict the flow of funds to and from civil society organizations. Moreover, when p</w:t>
      </w:r>
      <w:r w:rsidDel="00000000" w:rsidR="00000000" w:rsidRPr="00000000">
        <w:rPr>
          <w:rFonts w:ascii="Montserrat" w:cs="Montserrat" w:eastAsia="Montserrat" w:hAnsi="Montserrat"/>
          <w:rtl w:val="0"/>
        </w:rPr>
        <w:t xml:space="preserve">hilanthropy is organized collectively to develop local infrastructure and support community governance, restrictions on its ability to provide resources for such purposes interferes with local communities’ rights to dispose of their resources freely.</w:t>
      </w:r>
    </w:p>
    <w:p w:rsidR="00000000" w:rsidDel="00000000" w:rsidP="00000000" w:rsidRDefault="00000000" w:rsidRPr="00000000" w14:paraId="00000032">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3">
      <w:pPr>
        <w:spacing w:line="240" w:lineRule="auto"/>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This recommendation may be incorporated by adding the following language to the final sentence in General Remark 2:</w:t>
      </w:r>
    </w:p>
    <w:p w:rsidR="00000000" w:rsidDel="00000000" w:rsidP="00000000" w:rsidRDefault="00000000" w:rsidRPr="00000000" w14:paraId="00000034">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5">
      <w:pPr>
        <w:spacing w:after="120" w:line="240" w:lineRule="auto"/>
        <w:ind w:left="1140" w:right="1140" w:firstLine="0"/>
        <w:rPr>
          <w:rFonts w:ascii="Montserrat" w:cs="Montserrat" w:eastAsia="Montserrat" w:hAnsi="Montserrat"/>
        </w:rPr>
      </w:pPr>
      <w:r w:rsidDel="00000000" w:rsidR="00000000" w:rsidRPr="00000000">
        <w:rPr>
          <w:rFonts w:ascii="Montserrat" w:cs="Montserrat" w:eastAsia="Montserrat" w:hAnsi="Montserrat"/>
          <w:rtl w:val="0"/>
        </w:rPr>
        <w:t xml:space="preserve">The full realization of the right to freedom of association is equally instrumental for the enjoyment, exercise and operationalization of the right to self-determination, including land rights, effective participation in public affairs in general and the effective participation of Indigenous Peoples and minorities in public affairs and in particular in decisions that affect them, </w:t>
      </w:r>
      <w:r w:rsidDel="00000000" w:rsidR="00000000" w:rsidRPr="00000000">
        <w:rPr>
          <w:rFonts w:ascii="Montserrat" w:cs="Montserrat" w:eastAsia="Montserrat" w:hAnsi="Montserrat"/>
          <w:b w:val="1"/>
          <w:bCs w:val="1"/>
          <w:color w:val="ff0000"/>
          <w:rtl w:val="0"/>
        </w:rPr>
        <w:t xml:space="preserve">as well as the right of subsistence and the free flow of resources </w:t>
      </w:r>
      <w:r w:rsidDel="00000000" w:rsidR="00000000" w:rsidRPr="00000000">
        <w:rPr>
          <w:rFonts w:ascii="Montserrat" w:cs="Montserrat" w:eastAsia="Montserrat" w:hAnsi="Montserrat"/>
          <w:rtl w:val="0"/>
        </w:rPr>
        <w:t xml:space="preserve">(arts. 1, 25 and 27). [</w:t>
      </w:r>
      <w:r w:rsidDel="00000000" w:rsidR="00000000" w:rsidRPr="00000000">
        <w:rPr>
          <w:rFonts w:ascii="Montserrat" w:cs="Montserrat" w:eastAsia="Montserrat" w:hAnsi="Montserrat"/>
          <w:i w:val="1"/>
          <w:iCs w:val="1"/>
          <w:rtl w:val="0"/>
        </w:rPr>
        <w:t xml:space="preserve">internal notes omitted</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36">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7">
      <w:pPr>
        <w:numPr>
          <w:ilvl w:val="0"/>
          <w:numId w:val="3"/>
        </w:numPr>
        <w:spacing w:line="240" w:lineRule="auto"/>
        <w:ind w:left="720" w:hanging="360"/>
        <w:rPr>
          <w:rFonts w:ascii="Montserrat" w:cs="Montserrat" w:eastAsia="Montserrat" w:hAnsi="Montserrat"/>
          <w:u w:val="none"/>
        </w:rPr>
      </w:pPr>
      <w:r w:rsidDel="00000000" w:rsidR="00000000" w:rsidRPr="00000000">
        <w:rPr>
          <w:rFonts w:ascii="Montserrat" w:cs="Montserrat" w:eastAsia="Montserrat" w:hAnsi="Montserrat"/>
          <w:u w:val="single"/>
          <w:rtl w:val="0"/>
        </w:rPr>
        <w:t xml:space="preserve">The right to seek and receive foreign funds without prior approval</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38">
      <w:pPr>
        <w:spacing w:line="240" w:lineRule="auto"/>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9">
      <w:pPr>
        <w:spacing w:line="240" w:lineRule="auto"/>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Here we cite a recommendation already well stated in the </w:t>
      </w:r>
      <w:hyperlink r:id="rId16">
        <w:r w:rsidDel="00000000" w:rsidR="00000000" w:rsidRPr="00000000">
          <w:rPr>
            <w:rFonts w:ascii="Montserrat" w:cs="Montserrat" w:eastAsia="Montserrat" w:hAnsi="Montserrat"/>
            <w:color w:val="1155cc"/>
            <w:u w:val="single"/>
            <w:rtl w:val="0"/>
          </w:rPr>
          <w:t xml:space="preserve">December 2025 submission to the Human Rights Committee</w:t>
        </w:r>
      </w:hyperlink>
      <w:r w:rsidDel="00000000" w:rsidR="00000000" w:rsidRPr="00000000">
        <w:rPr>
          <w:rFonts w:ascii="Montserrat" w:cs="Montserrat" w:eastAsia="Montserrat" w:hAnsi="Montserrat"/>
          <w:rtl w:val="0"/>
        </w:rPr>
        <w:t xml:space="preserve"> by the </w:t>
      </w:r>
      <w:r w:rsidDel="00000000" w:rsidR="00000000" w:rsidRPr="00000000">
        <w:rPr>
          <w:rFonts w:ascii="Montserrat" w:cs="Montserrat" w:eastAsia="Montserrat" w:hAnsi="Montserrat"/>
          <w:rtl w:val="0"/>
        </w:rPr>
        <w:t xml:space="preserve">European Center for Not-for-Profit Law (ECNL) and the International Center for Not-for-Profit Law (ICNL), </w:t>
      </w:r>
      <w:r w:rsidDel="00000000" w:rsidR="00000000" w:rsidRPr="00000000">
        <w:rPr>
          <w:rFonts w:ascii="Montserrat" w:cs="Montserrat" w:eastAsia="Montserrat" w:hAnsi="Montserrat"/>
          <w:rtl w:val="0"/>
        </w:rPr>
        <w:t xml:space="preserve">regarding input on Draft General Comment No. 38:</w:t>
      </w:r>
    </w:p>
    <w:p w:rsidR="00000000" w:rsidDel="00000000" w:rsidP="00000000" w:rsidRDefault="00000000" w:rsidRPr="00000000" w14:paraId="0000003A">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B">
      <w:pPr>
        <w:spacing w:line="240" w:lineRule="auto"/>
        <w:ind w:left="720" w:firstLine="0"/>
        <w:rPr>
          <w:rFonts w:ascii="Montserrat" w:cs="Montserrat" w:eastAsia="Montserrat" w:hAnsi="Montserrat"/>
        </w:rPr>
      </w:pPr>
      <w:r w:rsidDel="00000000" w:rsidR="00000000" w:rsidRPr="00000000">
        <w:rPr>
          <w:rFonts w:ascii="Montserrat" w:cs="Montserrat" w:eastAsia="Montserrat" w:hAnsi="Montserrat"/>
          <w:i w:val="1"/>
          <w:iCs w:val="1"/>
          <w:rtl w:val="0"/>
        </w:rPr>
        <w:t xml:space="preserve">Restrictions on access to resources.</w:t>
      </w:r>
      <w:r w:rsidDel="00000000" w:rsidR="00000000" w:rsidRPr="00000000">
        <w:rPr>
          <w:rFonts w:ascii="Montserrat" w:cs="Montserrat" w:eastAsia="Montserrat" w:hAnsi="Montserrat"/>
          <w:rtl w:val="0"/>
        </w:rPr>
        <w:t xml:space="preserve"> The right to seek, receive, and use resources from domestic, foreign and international sources is inherent in the right of freedom of association and may be exercised by registered and unregistered associations without the need for prior approval. Legal provisions regulating access to both domestic and foreign funding should not put at risk the effective operation of associations and NGOs because of limited access to resources. [</w:t>
      </w:r>
      <w:r w:rsidDel="00000000" w:rsidR="00000000" w:rsidRPr="00000000">
        <w:rPr>
          <w:rFonts w:ascii="Montserrat" w:cs="Montserrat" w:eastAsia="Montserrat" w:hAnsi="Montserrat"/>
          <w:i w:val="1"/>
          <w:iCs w:val="1"/>
          <w:rtl w:val="0"/>
        </w:rPr>
        <w:t xml:space="preserve">internal notes omitted</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3C">
      <w:pPr>
        <w:spacing w:line="240" w:lineRule="auto"/>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D">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This recommendation may be incorporated by adding the following language to General Comment No. 13:</w:t>
      </w:r>
    </w:p>
    <w:p w:rsidR="00000000" w:rsidDel="00000000" w:rsidP="00000000" w:rsidRDefault="00000000" w:rsidRPr="00000000" w14:paraId="0000003E">
      <w:pPr>
        <w:spacing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3F">
      <w:pPr>
        <w:spacing w:after="120" w:line="240" w:lineRule="auto"/>
        <w:ind w:left="1140" w:right="1140" w:firstLine="0"/>
        <w:rPr>
          <w:rFonts w:ascii="Montserrat" w:cs="Montserrat" w:eastAsia="Montserrat" w:hAnsi="Montserrat"/>
        </w:rPr>
      </w:pPr>
      <w:r w:rsidDel="00000000" w:rsidR="00000000" w:rsidRPr="00000000">
        <w:rPr>
          <w:rFonts w:ascii="Montserrat" w:cs="Montserrat" w:eastAsia="Montserrat" w:hAnsi="Montserrat"/>
          <w:rtl w:val="0"/>
        </w:rPr>
        <w:t xml:space="preserve">As an essential right grounded in the equality and dignity of individuals, its protection applies equally to informal, unregistered </w:t>
      </w:r>
      <w:r w:rsidDel="00000000" w:rsidR="00000000" w:rsidRPr="00000000">
        <w:rPr>
          <w:rFonts w:ascii="Montserrat" w:cs="Montserrat" w:eastAsia="Montserrat" w:hAnsi="Montserrat"/>
          <w:i w:val="1"/>
          <w:iCs w:val="1"/>
          <w:rtl w:val="0"/>
        </w:rPr>
        <w:t xml:space="preserve">de facto </w:t>
      </w:r>
      <w:r w:rsidDel="00000000" w:rsidR="00000000" w:rsidRPr="00000000">
        <w:rPr>
          <w:rFonts w:ascii="Montserrat" w:cs="Montserrat" w:eastAsia="Montserrat" w:hAnsi="Montserrat"/>
          <w:rtl w:val="0"/>
        </w:rPr>
        <w:t xml:space="preserve">associations. Therefore, such associations do not need any domestic authorization or recognition in order to fall under the protection of the right to freedom of association. Should individuals request the authorization and registration of their association, States Parties have a positive obligation to create an enabling environment to facilitate the enjoyment and the exercise of the right (see sect. IV below). In this regard, legislation that </w:t>
      </w:r>
      <w:r w:rsidDel="00000000" w:rsidR="00000000" w:rsidRPr="00000000">
        <w:rPr>
          <w:rFonts w:ascii="Montserrat" w:cs="Montserrat" w:eastAsia="Montserrat" w:hAnsi="Montserrat"/>
          <w:rtl w:val="0"/>
        </w:rPr>
        <w:t xml:space="preserve">impose</w:t>
      </w:r>
      <w:r w:rsidDel="00000000" w:rsidR="00000000" w:rsidRPr="00000000">
        <w:rPr>
          <w:rFonts w:ascii="Montserrat" w:cs="Montserrat" w:eastAsia="Montserrat" w:hAnsi="Montserrat"/>
          <w:rtl w:val="0"/>
        </w:rPr>
        <w:t xml:space="preserve"> burdensome or onerous registration requirements, </w:t>
      </w:r>
      <w:r w:rsidDel="00000000" w:rsidR="00000000" w:rsidRPr="00000000">
        <w:rPr>
          <w:rFonts w:ascii="Montserrat" w:cs="Montserrat" w:eastAsia="Montserrat" w:hAnsi="Montserrat"/>
          <w:b w:val="1"/>
          <w:bCs w:val="1"/>
          <w:color w:val="ff0000"/>
          <w:rtl w:val="0"/>
        </w:rPr>
        <w:t xml:space="preserve">including material restrictions or prohibitions on such entities’ right to receive resources from within or outside the State Party, </w:t>
      </w:r>
      <w:r w:rsidDel="00000000" w:rsidR="00000000" w:rsidRPr="00000000">
        <w:rPr>
          <w:rFonts w:ascii="Montserrat" w:cs="Montserrat" w:eastAsia="Montserrat" w:hAnsi="Montserrat"/>
          <w:rtl w:val="0"/>
        </w:rPr>
        <w:t xml:space="preserve">do</w:t>
      </w:r>
      <w:r w:rsidDel="00000000" w:rsidR="00000000" w:rsidRPr="00000000">
        <w:rPr>
          <w:rFonts w:ascii="Montserrat" w:cs="Montserrat" w:eastAsia="Montserrat" w:hAnsi="Montserrat"/>
          <w:rtl w:val="0"/>
        </w:rPr>
        <w:t xml:space="preserve"> not meet the requirements of article 22. Therefore, access to registration and accompanying recognition of legal personality </w:t>
      </w:r>
      <w:r w:rsidDel="00000000" w:rsidR="00000000" w:rsidRPr="00000000">
        <w:rPr>
          <w:rFonts w:ascii="Montserrat" w:cs="Montserrat" w:eastAsia="Montserrat" w:hAnsi="Montserrat"/>
          <w:b w:val="1"/>
          <w:bCs w:val="1"/>
          <w:color w:val="ff0000"/>
          <w:rtl w:val="0"/>
        </w:rPr>
        <w:t xml:space="preserve">and ability to send and receive resources</w:t>
      </w:r>
      <w:r w:rsidDel="00000000" w:rsidR="00000000" w:rsidRPr="00000000">
        <w:rPr>
          <w:rFonts w:ascii="Montserrat" w:cs="Montserrat" w:eastAsia="Montserrat" w:hAnsi="Montserrat"/>
          <w:rtl w:val="0"/>
        </w:rPr>
        <w:t xml:space="preserve"> must be seen as a right protected by article 22. [</w:t>
      </w:r>
      <w:r w:rsidDel="00000000" w:rsidR="00000000" w:rsidRPr="00000000">
        <w:rPr>
          <w:rFonts w:ascii="Montserrat" w:cs="Montserrat" w:eastAsia="Montserrat" w:hAnsi="Montserrat"/>
          <w:i w:val="1"/>
          <w:iCs w:val="1"/>
          <w:rtl w:val="0"/>
        </w:rPr>
        <w:t xml:space="preserve">internal notes omitted</w:t>
      </w:r>
      <w:r w:rsidDel="00000000" w:rsidR="00000000" w:rsidRPr="00000000">
        <w:rPr>
          <w:rFonts w:ascii="Montserrat" w:cs="Montserrat" w:eastAsia="Montserrat" w:hAnsi="Montserrat"/>
          <w:rtl w:val="0"/>
        </w:rPr>
        <w:t xml:space="preserve">]</w:t>
      </w:r>
      <w:r w:rsidDel="00000000" w:rsidR="00000000" w:rsidRPr="00000000">
        <w:rPr>
          <w:rtl w:val="0"/>
        </w:rPr>
      </w:r>
    </w:p>
    <w:p w:rsidR="00000000" w:rsidDel="00000000" w:rsidP="00000000" w:rsidRDefault="00000000" w:rsidRPr="00000000" w14:paraId="00000040">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1">
      <w:pPr>
        <w:numPr>
          <w:ilvl w:val="0"/>
          <w:numId w:val="3"/>
        </w:numPr>
        <w:spacing w:line="240" w:lineRule="auto"/>
        <w:ind w:left="720" w:hanging="360"/>
        <w:rPr>
          <w:rFonts w:ascii="Montserrat" w:cs="Montserrat" w:eastAsia="Montserrat" w:hAnsi="Montserrat"/>
          <w:u w:val="none"/>
        </w:rPr>
      </w:pPr>
      <w:r w:rsidDel="00000000" w:rsidR="00000000" w:rsidRPr="00000000">
        <w:rPr>
          <w:rFonts w:ascii="Montserrat" w:cs="Montserrat" w:eastAsia="Montserrat" w:hAnsi="Montserrat"/>
          <w:u w:val="single"/>
          <w:rtl w:val="0"/>
        </w:rPr>
        <w:t xml:space="preserve">The right to receive funds without discrimination based on affiliation with, or geography of, funders</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42">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3">
      <w:pPr>
        <w:spacing w:line="240" w:lineRule="auto"/>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General remark 7 states that “[t]</w:t>
      </w:r>
      <w:r w:rsidDel="00000000" w:rsidR="00000000" w:rsidRPr="00000000">
        <w:rPr>
          <w:rFonts w:ascii="Montserrat" w:cs="Montserrat" w:eastAsia="Montserrat" w:hAnsi="Montserrat"/>
          <w:rtl w:val="0"/>
        </w:rPr>
        <w:t xml:space="preserve">he right to freedom of association is not conditioned by a formal State’s authorization or acknowledgement. This means that, while States may impose some restrictions on the exercise of the right under the strict conditions set forth in article 22 (2), the right applies to everyone without direct, indirect, multiple or intersectional discrimination.” Discrimination against the right to freedom of association includes government intrusion on this right based on an entity’s lawful receipt of funds or other resources from a legitimate entity whose opinions may differ from that of the State Party. </w:t>
      </w:r>
    </w:p>
    <w:p w:rsidR="00000000" w:rsidDel="00000000" w:rsidP="00000000" w:rsidRDefault="00000000" w:rsidRPr="00000000" w14:paraId="00000044">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5">
      <w:pPr>
        <w:spacing w:line="240" w:lineRule="auto"/>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Thus, prohibitions against the receipt of funds from specific entities based on their convictions, speech, or geographic location (e.g., disparate treatment of funds lawfully received from outside the State Party), are in violation of Article 22, as well as Article 26 of the Covenant, which provides that “</w:t>
      </w:r>
      <w:r w:rsidDel="00000000" w:rsidR="00000000" w:rsidRPr="00000000">
        <w:rPr>
          <w:rFonts w:ascii="Montserrat" w:cs="Montserrat" w:eastAsia="Montserrat" w:hAnsi="Montserrat"/>
          <w:rtl w:val="0"/>
        </w:rPr>
        <w:t xml:space="preserve">the law shall prohibit any discrimination and guarantee to all persons equal and effective protection against discrimination on any ground such as race, colour, sex, language, religion, political or other opinion, national or social origin, property, birth or other status.”</w:t>
      </w:r>
      <w:r w:rsidDel="00000000" w:rsidR="00000000" w:rsidRPr="00000000">
        <w:rPr>
          <w:rtl w:val="0"/>
        </w:rPr>
      </w:r>
    </w:p>
    <w:p w:rsidR="00000000" w:rsidDel="00000000" w:rsidP="00000000" w:rsidRDefault="00000000" w:rsidRPr="00000000" w14:paraId="00000046">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7">
      <w:pPr>
        <w:spacing w:line="240" w:lineRule="auto"/>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This right may be incorporated into the General Comments in the following paragraphs:</w:t>
      </w:r>
    </w:p>
    <w:p w:rsidR="00000000" w:rsidDel="00000000" w:rsidP="00000000" w:rsidRDefault="00000000" w:rsidRPr="00000000" w14:paraId="00000048">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9">
      <w:pPr>
        <w:numPr>
          <w:ilvl w:val="0"/>
          <w:numId w:val="2"/>
        </w:numPr>
        <w:spacing w:line="240" w:lineRule="auto"/>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General remark 2:</w:t>
      </w:r>
    </w:p>
    <w:p w:rsidR="00000000" w:rsidDel="00000000" w:rsidP="00000000" w:rsidRDefault="00000000" w:rsidRPr="00000000" w14:paraId="0000004A">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B">
      <w:pPr>
        <w:spacing w:line="240"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While these essential and instrumental dimensions of the right to freedom of association must be stressed, this right cannot be interpreted in isolation. It is closely interrelated and interdependent to other human rights. In particular, it facilitates and reinforces the right to freedom of conscience and religion (art. 18 of the Covenant), the right to freedom of expression (art. 19), </w:t>
      </w:r>
      <w:r w:rsidDel="00000000" w:rsidR="00000000" w:rsidRPr="00000000">
        <w:rPr>
          <w:rFonts w:ascii="Montserrat" w:cs="Montserrat" w:eastAsia="Montserrat" w:hAnsi="Montserrat"/>
          <w:b w:val="1"/>
          <w:bCs w:val="1"/>
          <w:color w:val="ff0000"/>
          <w:rtl w:val="0"/>
        </w:rPr>
        <w:t xml:space="preserve">the right to equal protection of the law without discrimination (art. 26), </w:t>
      </w:r>
      <w:r w:rsidDel="00000000" w:rsidR="00000000" w:rsidRPr="00000000">
        <w:rPr>
          <w:rFonts w:ascii="Montserrat" w:cs="Montserrat" w:eastAsia="Montserrat" w:hAnsi="Montserrat"/>
          <w:rtl w:val="0"/>
        </w:rPr>
        <w:t xml:space="preserve">the right of freedom of peaceful assembly (art. 21) and the right to take part in the conduct of public affairs (art. 25).</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1"/>
          <w:iCs w:val="1"/>
          <w:rtl w:val="0"/>
        </w:rPr>
        <w:t xml:space="preserve">internal notes omitted</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4C">
      <w:pPr>
        <w:spacing w:line="240" w:lineRule="auto"/>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D">
      <w:pPr>
        <w:numPr>
          <w:ilvl w:val="0"/>
          <w:numId w:val="2"/>
        </w:numPr>
        <w:spacing w:line="240" w:lineRule="auto"/>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General remark 14:</w:t>
      </w:r>
    </w:p>
    <w:p w:rsidR="00000000" w:rsidDel="00000000" w:rsidP="00000000" w:rsidRDefault="00000000" w:rsidRPr="00000000" w14:paraId="0000004E">
      <w:pPr>
        <w:spacing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4F">
      <w:pPr>
        <w:spacing w:line="240"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For example, it covers the right to seek, receive and expend funding and other material resources, including those coming from outside the State party, without the risk of being labelled a “foreign agent” or a threat to national security</w:t>
      </w:r>
      <w:r w:rsidDel="00000000" w:rsidR="00000000" w:rsidRPr="00000000">
        <w:rPr>
          <w:rFonts w:ascii="Montserrat" w:cs="Montserrat" w:eastAsia="Montserrat" w:hAnsi="Montserrat"/>
          <w:b w:val="1"/>
          <w:bCs w:val="1"/>
          <w:color w:val="ff0000"/>
          <w:rtl w:val="0"/>
        </w:rPr>
        <w:t xml:space="preserve">, or being subject to any other act of discrimination based on the mere receipt of resources.</w:t>
      </w:r>
      <w:r w:rsidDel="00000000" w:rsidR="00000000" w:rsidRPr="00000000">
        <w:rPr>
          <w:rtl w:val="0"/>
        </w:rPr>
      </w:r>
    </w:p>
    <w:p w:rsidR="00000000" w:rsidDel="00000000" w:rsidP="00000000" w:rsidRDefault="00000000" w:rsidRPr="00000000" w14:paraId="00000050">
      <w:pPr>
        <w:spacing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051">
      <w:pPr>
        <w:spacing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052">
      <w:pPr>
        <w:numPr>
          <w:ilvl w:val="0"/>
          <w:numId w:val="3"/>
        </w:numPr>
        <w:spacing w:line="240" w:lineRule="auto"/>
        <w:ind w:left="720" w:hanging="360"/>
        <w:rPr>
          <w:rFonts w:ascii="Montserrat" w:cs="Montserrat" w:eastAsia="Montserrat" w:hAnsi="Montserrat"/>
          <w:u w:val="none"/>
        </w:rPr>
      </w:pPr>
      <w:r w:rsidDel="00000000" w:rsidR="00000000" w:rsidRPr="00000000">
        <w:rPr>
          <w:rFonts w:ascii="Montserrat" w:cs="Montserrat" w:eastAsia="Montserrat" w:hAnsi="Montserrat"/>
          <w:u w:val="single"/>
          <w:rtl w:val="0"/>
        </w:rPr>
        <w:t xml:space="preserve">Examples of unduly burdensome registration requirements</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53">
      <w:pPr>
        <w:spacing w:line="240" w:lineRule="auto"/>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4">
      <w:pPr>
        <w:spacing w:line="240" w:lineRule="auto"/>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General remark 13 refers to “</w:t>
      </w:r>
      <w:r w:rsidDel="00000000" w:rsidR="00000000" w:rsidRPr="00000000">
        <w:rPr>
          <w:rFonts w:ascii="Montserrat" w:cs="Montserrat" w:eastAsia="Montserrat" w:hAnsi="Montserrat"/>
          <w:rtl w:val="0"/>
        </w:rPr>
        <w:t xml:space="preserve">legislation that </w:t>
      </w:r>
      <w:r w:rsidDel="00000000" w:rsidR="00000000" w:rsidRPr="00000000">
        <w:rPr>
          <w:rFonts w:ascii="Montserrat" w:cs="Montserrat" w:eastAsia="Montserrat" w:hAnsi="Montserrat"/>
          <w:rtl w:val="0"/>
        </w:rPr>
        <w:t xml:space="preserve">impose</w:t>
      </w:r>
      <w:r w:rsidDel="00000000" w:rsidR="00000000" w:rsidRPr="00000000">
        <w:rPr>
          <w:rFonts w:ascii="Montserrat" w:cs="Montserrat" w:eastAsia="Montserrat" w:hAnsi="Montserrat"/>
          <w:rtl w:val="0"/>
        </w:rPr>
        <w:t xml:space="preserve"> burdensome or onerous registration requirements.” General remark 30 similarly details the following examples of State Party actions that unduly restrict the de jure or de facto right of association:</w:t>
      </w:r>
    </w:p>
    <w:p w:rsidR="00000000" w:rsidDel="00000000" w:rsidP="00000000" w:rsidRDefault="00000000" w:rsidRPr="00000000" w14:paraId="00000055">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6">
      <w:pPr>
        <w:spacing w:after="0" w:line="240" w:lineRule="auto"/>
        <w:ind w:left="1140" w:right="1140" w:firstLine="0"/>
        <w:rPr>
          <w:rFonts w:ascii="Montserrat" w:cs="Montserrat" w:eastAsia="Montserrat" w:hAnsi="Montserrat"/>
        </w:rPr>
      </w:pPr>
      <w:r w:rsidDel="00000000" w:rsidR="00000000" w:rsidRPr="00000000">
        <w:rPr>
          <w:rFonts w:ascii="Montserrat" w:cs="Montserrat" w:eastAsia="Montserrat" w:hAnsi="Montserrat"/>
          <w:rtl w:val="0"/>
        </w:rPr>
        <w:t xml:space="preserve">measures that are prohibited include arbitrarily refusing to register an association, dissolving or banning an association, imposing a travel ban on association members or making it compulsory for them to request travel authorization, ban on the right to enter their own country, withdrawing association members’ nationality, cancelling their passports and identity documents, performing surveillance, including online, of the organization’s activities, infiltrating an association with covert police or intelligence services, carrying out police raids and search of private homes, reprisals, and harassment of association’s members, including through administrative proceedings and requirements, misuse of counter-terrorism and anti‑money-laundering measures, imposing restrictive and burdensome funding or tax regulations on associations, criminalizing association activities or membership or criminalizing legal aid associations, and instrumentalizing defamation proceedings and other means of “strategic litigation against public participation” (SLAPP lawsuits). Such measures impede the full realisation of the right and may have a chilling effect on its exercise.</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1"/>
          <w:iCs w:val="1"/>
          <w:rtl w:val="0"/>
        </w:rPr>
        <w:t xml:space="preserve">internal notes omitted</w:t>
      </w:r>
      <w:r w:rsidDel="00000000" w:rsidR="00000000" w:rsidRPr="00000000">
        <w:rPr>
          <w:rFonts w:ascii="Montserrat" w:cs="Montserrat" w:eastAsia="Montserrat" w:hAnsi="Montserrat"/>
          <w:rtl w:val="0"/>
        </w:rPr>
        <w:t xml:space="preserve">]</w:t>
      </w:r>
      <w:r w:rsidDel="00000000" w:rsidR="00000000" w:rsidRPr="00000000">
        <w:rPr>
          <w:rtl w:val="0"/>
        </w:rPr>
      </w:r>
    </w:p>
    <w:p w:rsidR="00000000" w:rsidDel="00000000" w:rsidP="00000000" w:rsidRDefault="00000000" w:rsidRPr="00000000" w14:paraId="00000057">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8">
      <w:pPr>
        <w:spacing w:line="240" w:lineRule="auto"/>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We feel it enormously helpful to specify direct violations of Article 22 in this way, particularly as the examples provided are regrettably commonplace in many State Parties. Given the increasing number of requirements and obstacles that are associated with entity registration, in particular, we find it essential to similarly provide examples of where freedom of association is violated in the course of States’ implementation of vague and onerous registration requirements.</w:t>
      </w:r>
      <w:r w:rsidDel="00000000" w:rsidR="00000000" w:rsidRPr="00000000">
        <w:rPr>
          <w:rFonts w:ascii="Montserrat" w:cs="Montserrat" w:eastAsia="Montserrat" w:hAnsi="Montserrat"/>
          <w:vertAlign w:val="superscript"/>
        </w:rPr>
        <w:footnoteReference w:customMarkFollows="0" w:id="5"/>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59">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A">
      <w:pPr>
        <w:spacing w:line="240" w:lineRule="auto"/>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General remark 15 states that “</w:t>
      </w:r>
      <w:r w:rsidDel="00000000" w:rsidR="00000000" w:rsidRPr="00000000">
        <w:rPr>
          <w:rFonts w:ascii="Montserrat" w:cs="Montserrat" w:eastAsia="Montserrat" w:hAnsi="Montserrat"/>
          <w:rtl w:val="0"/>
        </w:rPr>
        <w:t xml:space="preserve">the oversight powers of the authorities must be strictly defined.</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rtl w:val="0"/>
        </w:rPr>
        <w:t xml:space="preserve">A law granting the Government undue power or influence to decide on the registration or deregistration of an association and on authorization of public or foreign funding for an association would be at odds with article 22.</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1"/>
          <w:iCs w:val="1"/>
          <w:rtl w:val="0"/>
        </w:rPr>
        <w:t xml:space="preserve">notes omitted</w:t>
      </w:r>
      <w:r w:rsidDel="00000000" w:rsidR="00000000" w:rsidRPr="00000000">
        <w:rPr>
          <w:rFonts w:ascii="Montserrat" w:cs="Montserrat" w:eastAsia="Montserrat" w:hAnsi="Montserrat"/>
          <w:rtl w:val="0"/>
        </w:rPr>
        <w:t xml:space="preserve">]. We suggest that language reflecting the following examples be added to this General remark:</w:t>
      </w:r>
    </w:p>
    <w:p w:rsidR="00000000" w:rsidDel="00000000" w:rsidP="00000000" w:rsidRDefault="00000000" w:rsidRPr="00000000" w14:paraId="0000005B">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C">
      <w:pPr>
        <w:spacing w:line="240" w:lineRule="auto"/>
        <w:ind w:left="720" w:firstLine="0"/>
        <w:rPr>
          <w:rFonts w:ascii="Montserrat" w:cs="Montserrat" w:eastAsia="Montserrat" w:hAnsi="Montserrat"/>
          <w:b w:val="1"/>
          <w:bCs w:val="1"/>
          <w:color w:val="ff0000"/>
        </w:rPr>
      </w:pPr>
      <w:r w:rsidDel="00000000" w:rsidR="00000000" w:rsidRPr="00000000">
        <w:rPr>
          <w:rFonts w:ascii="Montserrat" w:cs="Montserrat" w:eastAsia="Montserrat" w:hAnsi="Montserrat"/>
          <w:b w:val="1"/>
          <w:bCs w:val="1"/>
          <w:color w:val="ff0000"/>
          <w:rtl w:val="0"/>
        </w:rPr>
        <w:t xml:space="preserve">Accordingly, measures that are </w:t>
      </w:r>
      <w:r w:rsidDel="00000000" w:rsidR="00000000" w:rsidRPr="00000000">
        <w:rPr>
          <w:rFonts w:ascii="Montserrat" w:cs="Montserrat" w:eastAsia="Montserrat" w:hAnsi="Montserrat"/>
          <w:b w:val="1"/>
          <w:bCs w:val="1"/>
          <w:color w:val="ff0000"/>
          <w:rtl w:val="0"/>
        </w:rPr>
        <w:t xml:space="preserve">prohibited</w:t>
      </w:r>
      <w:r w:rsidDel="00000000" w:rsidR="00000000" w:rsidRPr="00000000">
        <w:rPr>
          <w:rFonts w:ascii="Montserrat" w:cs="Montserrat" w:eastAsia="Montserrat" w:hAnsi="Montserrat"/>
          <w:b w:val="1"/>
          <w:bCs w:val="1"/>
          <w:color w:val="ff0000"/>
          <w:rtl w:val="0"/>
        </w:rPr>
        <w:t xml:space="preserve">, with respect to an organization’s registration to exist, operate, or receive public or foreign funding, include, without limitation: undue delays in approving registration (an undue delay may be one that exceeds 30 days in total); extensive or vague requirements regarding the information that must be presented for approval of registration; collection of sensitive data regarding an association’s affiliates, members, staff, governing body, or funders; mandatory pre-approval to engage in activities or to receive funds for activities; and extensive renewal registration requirements.</w:t>
      </w:r>
    </w:p>
    <w:p w:rsidR="00000000" w:rsidDel="00000000" w:rsidP="00000000" w:rsidRDefault="00000000" w:rsidRPr="00000000" w14:paraId="0000005D">
      <w:pPr>
        <w:spacing w:line="240"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E">
      <w:pPr>
        <w:spacing w:line="240" w:lineRule="auto"/>
        <w:ind w:left="0" w:firstLine="0"/>
        <w:rPr>
          <w:rFonts w:ascii="Montserrat" w:cs="Montserrat" w:eastAsia="Montserrat" w:hAnsi="Montserrat"/>
        </w:rPr>
      </w:pPr>
      <w:r w:rsidDel="00000000" w:rsidR="00000000" w:rsidRPr="00000000">
        <w:rPr>
          <w:rtl w:val="0"/>
        </w:rPr>
      </w:r>
    </w:p>
    <w:sectPr>
      <w:headerReference r:id="rId17" w:type="default"/>
      <w:footerReference r:id="rId1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jc w:val="right"/>
      <w:rPr>
        <w:rFonts w:ascii="Montserrat" w:cs="Montserrat" w:eastAsia="Montserrat" w:hAnsi="Montserrat"/>
      </w:rPr>
    </w:pPr>
    <w:r w:rsidDel="00000000" w:rsidR="00000000" w:rsidRPr="00000000">
      <w:rPr>
        <w:rFonts w:ascii="Montserrat" w:cs="Montserrat" w:eastAsia="Montserrat" w:hAnsi="Montserrat"/>
        <w:rtl w:val="0"/>
      </w:rPr>
      <w:t xml:space="preserve">Page </w:t>
    </w:r>
    <w:r w:rsidDel="00000000" w:rsidR="00000000" w:rsidRPr="00000000">
      <w:rPr>
        <w:rFonts w:ascii="Montserrat" w:cs="Montserrat" w:eastAsia="Montserrat" w:hAnsi="Montserrat"/>
      </w:rPr>
      <w:fldChar w:fldCharType="begin"/>
      <w:instrText xml:space="preserve">PAGE</w:instrText>
      <w:fldChar w:fldCharType="separate"/>
      <w:fldChar w:fldCharType="end"/>
    </w:r>
    <w:r w:rsidDel="00000000" w:rsidR="00000000" w:rsidRPr="00000000">
      <w:rPr>
        <w:rFonts w:ascii="Montserrat" w:cs="Montserrat" w:eastAsia="Montserrat" w:hAnsi="Montserrat"/>
        <w:rtl w:val="0"/>
      </w:rPr>
      <w:t xml:space="preserve"> of 7</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5">
    <w:p w:rsidR="00000000" w:rsidDel="00000000" w:rsidP="00000000" w:rsidRDefault="00000000" w:rsidRPr="00000000" w14:paraId="00000062">
      <w:pPr>
        <w:spacing w:line="240" w:lineRule="auto"/>
        <w:rPr>
          <w:rFonts w:ascii="Montserrat" w:cs="Montserrat" w:eastAsia="Montserrat" w:hAnsi="Montserrat"/>
          <w:sz w:val="20"/>
          <w:szCs w:val="20"/>
        </w:rPr>
      </w:pPr>
      <w:r w:rsidDel="00000000" w:rsidR="00000000" w:rsidRPr="00000000">
        <w:rPr>
          <w:rStyle w:val="FootnoteReference"/>
          <w:vertAlign w:val="superscript"/>
        </w:rPr>
        <w:footnoteRef/>
      </w:r>
      <w:r w:rsidDel="00000000" w:rsidR="00000000" w:rsidRPr="00000000">
        <w:rPr>
          <w:rFonts w:ascii="Montserrat" w:cs="Montserrat" w:eastAsia="Montserrat" w:hAnsi="Montserrat"/>
          <w:sz w:val="20"/>
          <w:szCs w:val="20"/>
          <w:rtl w:val="0"/>
        </w:rPr>
        <w:t xml:space="preserve"> A November 2023 report prepared by the European Center for Not-for-Profit Law (ECNL) and the International Center for Not-for-Profit Law (ICNL), </w:t>
      </w:r>
      <w:hyperlink r:id="rId1">
        <w:r w:rsidDel="00000000" w:rsidR="00000000" w:rsidRPr="00000000">
          <w:rPr>
            <w:rFonts w:ascii="Montserrat" w:cs="Montserrat" w:eastAsia="Montserrat" w:hAnsi="Montserrat"/>
            <w:color w:val="1155cc"/>
            <w:sz w:val="20"/>
            <w:szCs w:val="20"/>
            <w:u w:val="single"/>
            <w:rtl w:val="0"/>
          </w:rPr>
          <w:t xml:space="preserve">Relevant Sources of Law on Article 22 ICCPR: Right to Freedom of Association</w:t>
        </w:r>
      </w:hyperlink>
      <w:r w:rsidDel="00000000" w:rsidR="00000000" w:rsidRPr="00000000">
        <w:rPr>
          <w:rFonts w:ascii="Montserrat" w:cs="Montserrat" w:eastAsia="Montserrat" w:hAnsi="Montserrat"/>
          <w:sz w:val="20"/>
          <w:szCs w:val="20"/>
          <w:rtl w:val="0"/>
        </w:rPr>
        <w:t xml:space="preserve">, provides numerous examples and sources for this purpose. </w:t>
      </w:r>
    </w:p>
  </w:footnote>
  <w:footnote w:id="0">
    <w:p w:rsidR="00000000" w:rsidDel="00000000" w:rsidP="00000000" w:rsidRDefault="00000000" w:rsidRPr="00000000" w14:paraId="00000063">
      <w:pPr>
        <w:spacing w:after="120" w:line="240" w:lineRule="auto"/>
        <w:rPr>
          <w:rFonts w:ascii="Montserrat" w:cs="Montserrat" w:eastAsia="Montserrat" w:hAnsi="Montserrat"/>
          <w:sz w:val="20"/>
          <w:szCs w:val="20"/>
        </w:rPr>
      </w:pPr>
      <w:r w:rsidDel="00000000" w:rsidR="00000000" w:rsidRPr="00000000">
        <w:rPr>
          <w:rStyle w:val="FootnoteReference"/>
          <w:vertAlign w:val="superscript"/>
        </w:rPr>
        <w:footnoteRef/>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i w:val="1"/>
          <w:iCs w:val="1"/>
          <w:sz w:val="20"/>
          <w:szCs w:val="20"/>
          <w:rtl w:val="0"/>
        </w:rPr>
        <w:t xml:space="preserve">See also</w:t>
      </w:r>
      <w:r w:rsidDel="00000000" w:rsidR="00000000" w:rsidRPr="00000000">
        <w:rPr>
          <w:rFonts w:ascii="Montserrat" w:cs="Montserrat" w:eastAsia="Montserrat" w:hAnsi="Montserrat"/>
          <w:sz w:val="20"/>
          <w:szCs w:val="20"/>
          <w:rtl w:val="0"/>
        </w:rPr>
        <w:t xml:space="preserve"> </w:t>
      </w:r>
      <w:hyperlink r:id="rId2">
        <w:r w:rsidDel="00000000" w:rsidR="00000000" w:rsidRPr="00000000">
          <w:rPr>
            <w:rFonts w:ascii="Montserrat" w:cs="Montserrat" w:eastAsia="Montserrat" w:hAnsi="Montserrat"/>
            <w:color w:val="1155cc"/>
            <w:sz w:val="20"/>
            <w:szCs w:val="20"/>
            <w:u w:val="single"/>
            <w:rtl w:val="0"/>
          </w:rPr>
          <w:t xml:space="preserve">Best practices in promoting the rights to freedom of peaceful assembly and of association</w:t>
        </w:r>
      </w:hyperlink>
      <w:r w:rsidDel="00000000" w:rsidR="00000000" w:rsidRPr="00000000">
        <w:rPr>
          <w:rFonts w:ascii="Montserrat" w:cs="Montserrat" w:eastAsia="Montserrat" w:hAnsi="Montserrat"/>
          <w:sz w:val="20"/>
          <w:szCs w:val="20"/>
          <w:rtl w:val="0"/>
        </w:rPr>
        <w:t xml:space="preserve">, Human Rights Council Report (June 2012). </w:t>
      </w:r>
    </w:p>
  </w:footnote>
  <w:footnote w:id="1">
    <w:p w:rsidR="00000000" w:rsidDel="00000000" w:rsidP="00000000" w:rsidRDefault="00000000" w:rsidRPr="00000000" w14:paraId="00000064">
      <w:pPr>
        <w:spacing w:after="120" w:line="240" w:lineRule="auto"/>
        <w:rPr>
          <w:rFonts w:ascii="Montserrat" w:cs="Montserrat" w:eastAsia="Montserrat" w:hAnsi="Montserrat"/>
          <w:sz w:val="20"/>
          <w:szCs w:val="20"/>
        </w:rPr>
      </w:pPr>
      <w:r w:rsidDel="00000000" w:rsidR="00000000" w:rsidRPr="00000000">
        <w:rPr>
          <w:rStyle w:val="FootnoteReference"/>
          <w:vertAlign w:val="superscript"/>
        </w:rPr>
        <w:footnoteRef/>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i w:val="1"/>
          <w:iCs w:val="1"/>
          <w:sz w:val="20"/>
          <w:szCs w:val="20"/>
          <w:rtl w:val="0"/>
        </w:rPr>
        <w:t xml:space="preserve">See</w:t>
      </w:r>
      <w:r w:rsidDel="00000000" w:rsidR="00000000" w:rsidRPr="00000000">
        <w:rPr>
          <w:rFonts w:ascii="Montserrat" w:cs="Montserrat" w:eastAsia="Montserrat" w:hAnsi="Montserrat"/>
          <w:sz w:val="20"/>
          <w:szCs w:val="20"/>
          <w:rtl w:val="0"/>
        </w:rPr>
        <w:t xml:space="preserve"> </w:t>
      </w:r>
      <w:hyperlink r:id="rId3">
        <w:r w:rsidDel="00000000" w:rsidR="00000000" w:rsidRPr="00000000">
          <w:rPr>
            <w:rFonts w:ascii="Montserrat" w:cs="Montserrat" w:eastAsia="Montserrat" w:hAnsi="Montserrat"/>
            <w:color w:val="1155cc"/>
            <w:sz w:val="20"/>
            <w:szCs w:val="20"/>
            <w:u w:val="single"/>
            <w:rtl w:val="0"/>
          </w:rPr>
          <w:t xml:space="preserve">Protecting civic space and the right to access resources</w:t>
        </w:r>
      </w:hyperlink>
      <w:r w:rsidDel="00000000" w:rsidR="00000000" w:rsidRPr="00000000">
        <w:rPr>
          <w:rFonts w:ascii="Montserrat" w:cs="Montserrat" w:eastAsia="Montserrat" w:hAnsi="Montserrat"/>
          <w:sz w:val="20"/>
          <w:szCs w:val="20"/>
          <w:rtl w:val="0"/>
        </w:rPr>
        <w:t xml:space="preserve">. </w:t>
      </w:r>
    </w:p>
  </w:footnote>
  <w:footnote w:id="2">
    <w:p w:rsidR="00000000" w:rsidDel="00000000" w:rsidP="00000000" w:rsidRDefault="00000000" w:rsidRPr="00000000" w14:paraId="00000065">
      <w:pPr>
        <w:spacing w:after="120" w:line="240" w:lineRule="auto"/>
        <w:rPr>
          <w:rFonts w:ascii="Montserrat" w:cs="Montserrat" w:eastAsia="Montserrat" w:hAnsi="Montserrat"/>
          <w:sz w:val="20"/>
          <w:szCs w:val="20"/>
        </w:rPr>
      </w:pPr>
      <w:r w:rsidDel="00000000" w:rsidR="00000000" w:rsidRPr="00000000">
        <w:rPr>
          <w:rStyle w:val="FootnoteReference"/>
          <w:vertAlign w:val="superscript"/>
        </w:rPr>
        <w:footnoteRef/>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i w:val="1"/>
          <w:iCs w:val="1"/>
          <w:sz w:val="20"/>
          <w:szCs w:val="20"/>
          <w:rtl w:val="0"/>
        </w:rPr>
        <w:t xml:space="preserve">See</w:t>
      </w:r>
      <w:r w:rsidDel="00000000" w:rsidR="00000000" w:rsidRPr="00000000">
        <w:rPr>
          <w:rFonts w:ascii="Montserrat" w:cs="Montserrat" w:eastAsia="Montserrat" w:hAnsi="Montserrat"/>
          <w:sz w:val="20"/>
          <w:szCs w:val="20"/>
          <w:rtl w:val="0"/>
        </w:rPr>
        <w:t xml:space="preserve"> </w:t>
      </w:r>
      <w:hyperlink r:id="rId4">
        <w:r w:rsidDel="00000000" w:rsidR="00000000" w:rsidRPr="00000000">
          <w:rPr>
            <w:rFonts w:ascii="Montserrat" w:cs="Montserrat" w:eastAsia="Montserrat" w:hAnsi="Montserrat"/>
            <w:color w:val="1155cc"/>
            <w:sz w:val="20"/>
            <w:szCs w:val="20"/>
            <w:u w:val="single"/>
            <w:rtl w:val="0"/>
          </w:rPr>
          <w:t xml:space="preserve">New era for NGOs: Reimagining civil society’s role and possibilities, UNICEF (2026)</w:t>
        </w:r>
      </w:hyperlink>
      <w:r w:rsidDel="00000000" w:rsidR="00000000" w:rsidRPr="00000000">
        <w:rPr>
          <w:rFonts w:ascii="Montserrat" w:cs="Montserrat" w:eastAsia="Montserrat" w:hAnsi="Montserrat"/>
          <w:sz w:val="20"/>
          <w:szCs w:val="20"/>
          <w:rtl w:val="0"/>
        </w:rPr>
        <w:t xml:space="preserve">. </w:t>
      </w:r>
    </w:p>
  </w:footnote>
  <w:footnote w:id="3">
    <w:p w:rsidR="00000000" w:rsidDel="00000000" w:rsidP="00000000" w:rsidRDefault="00000000" w:rsidRPr="00000000" w14:paraId="00000066">
      <w:pPr>
        <w:spacing w:after="120" w:line="240" w:lineRule="auto"/>
        <w:rPr>
          <w:rFonts w:ascii="Montserrat" w:cs="Montserrat" w:eastAsia="Montserrat" w:hAnsi="Montserrat"/>
          <w:sz w:val="20"/>
          <w:szCs w:val="20"/>
        </w:rPr>
      </w:pPr>
      <w:r w:rsidDel="00000000" w:rsidR="00000000" w:rsidRPr="00000000">
        <w:rPr>
          <w:rStyle w:val="FootnoteReference"/>
          <w:vertAlign w:val="superscript"/>
        </w:rPr>
        <w:footnoteRef/>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i w:val="1"/>
          <w:iCs w:val="1"/>
          <w:sz w:val="20"/>
          <w:szCs w:val="20"/>
          <w:rtl w:val="0"/>
        </w:rPr>
        <w:t xml:space="preserve">See</w:t>
      </w:r>
      <w:r w:rsidDel="00000000" w:rsidR="00000000" w:rsidRPr="00000000">
        <w:rPr>
          <w:rFonts w:ascii="Montserrat" w:cs="Montserrat" w:eastAsia="Montserrat" w:hAnsi="Montserrat"/>
          <w:sz w:val="20"/>
          <w:szCs w:val="20"/>
          <w:rtl w:val="0"/>
        </w:rPr>
        <w:t xml:space="preserve"> </w:t>
      </w:r>
      <w:hyperlink r:id="rId5">
        <w:r w:rsidDel="00000000" w:rsidR="00000000" w:rsidRPr="00000000">
          <w:rPr>
            <w:rFonts w:ascii="Montserrat" w:cs="Montserrat" w:eastAsia="Montserrat" w:hAnsi="Montserrat"/>
            <w:color w:val="1155cc"/>
            <w:sz w:val="20"/>
            <w:szCs w:val="20"/>
            <w:u w:val="single"/>
            <w:rtl w:val="0"/>
          </w:rPr>
          <w:t xml:space="preserve">New era for NGOs: Reimagining civil society’s role and possibilities, UNICEF (2026)</w:t>
        </w:r>
      </w:hyperlink>
      <w:r w:rsidDel="00000000" w:rsidR="00000000" w:rsidRPr="00000000">
        <w:rPr>
          <w:rFonts w:ascii="Montserrat" w:cs="Montserrat" w:eastAsia="Montserrat" w:hAnsi="Montserrat"/>
          <w:sz w:val="20"/>
          <w:szCs w:val="20"/>
          <w:rtl w:val="0"/>
        </w:rPr>
        <w:t xml:space="preserve">. </w:t>
      </w:r>
    </w:p>
  </w:footnote>
  <w:footnote w:id="4">
    <w:p w:rsidR="00000000" w:rsidDel="00000000" w:rsidP="00000000" w:rsidRDefault="00000000" w:rsidRPr="00000000" w14:paraId="00000067">
      <w:pPr>
        <w:spacing w:after="120" w:line="240" w:lineRule="auto"/>
        <w:rPr>
          <w:rFonts w:ascii="Montserrat" w:cs="Montserrat" w:eastAsia="Montserrat" w:hAnsi="Montserrat"/>
          <w:sz w:val="20"/>
          <w:szCs w:val="20"/>
        </w:rPr>
      </w:pPr>
      <w:r w:rsidDel="00000000" w:rsidR="00000000" w:rsidRPr="00000000">
        <w:rPr>
          <w:rStyle w:val="FootnoteReference"/>
          <w:vertAlign w:val="superscript"/>
        </w:rPr>
        <w:footnoteRef/>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i w:val="1"/>
          <w:iCs w:val="1"/>
          <w:sz w:val="20"/>
          <w:szCs w:val="20"/>
          <w:rtl w:val="0"/>
        </w:rPr>
        <w:t xml:space="preserve">See</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i w:val="1"/>
          <w:iCs w:val="1"/>
          <w:sz w:val="20"/>
          <w:szCs w:val="20"/>
          <w:rtl w:val="0"/>
        </w:rPr>
        <w:t xml:space="preserve">e.g.</w:t>
      </w:r>
      <w:r w:rsidDel="00000000" w:rsidR="00000000" w:rsidRPr="00000000">
        <w:rPr>
          <w:rFonts w:ascii="Montserrat" w:cs="Montserrat" w:eastAsia="Montserrat" w:hAnsi="Montserrat"/>
          <w:sz w:val="20"/>
          <w:szCs w:val="20"/>
          <w:rtl w:val="0"/>
        </w:rPr>
        <w:t xml:space="preserve">, </w:t>
      </w:r>
      <w:hyperlink r:id="rId6">
        <w:r w:rsidDel="00000000" w:rsidR="00000000" w:rsidRPr="00000000">
          <w:rPr>
            <w:rFonts w:ascii="Montserrat" w:cs="Montserrat" w:eastAsia="Montserrat" w:hAnsi="Montserrat"/>
            <w:color w:val="1155cc"/>
            <w:sz w:val="20"/>
            <w:szCs w:val="20"/>
            <w:u w:val="single"/>
            <w:rtl w:val="0"/>
          </w:rPr>
          <w:t xml:space="preserve">2025 State of Civil Society Report, Civicus</w:t>
        </w:r>
      </w:hyperlink>
      <w:r w:rsidDel="00000000" w:rsidR="00000000" w:rsidRPr="00000000">
        <w:rPr>
          <w:rFonts w:ascii="Montserrat" w:cs="Montserrat" w:eastAsia="Montserrat" w:hAnsi="Montserrat"/>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jc w:val="center"/>
      <w:rPr/>
    </w:pPr>
    <w:r w:rsidDel="00000000" w:rsidR="00000000" w:rsidRPr="00000000">
      <w:rPr/>
      <w:drawing>
        <wp:inline distB="114300" distT="114300" distL="114300" distR="114300">
          <wp:extent cx="890588" cy="79845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90588" cy="798458"/>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3" Type="http://schemas.openxmlformats.org/officeDocument/2006/relationships/hyperlink" Target="https://www.ohchr.org/sites/default/files/GeneralPrinciplesProtectingCivicSpace.pdf" TargetMode="External"/><Relationship Id="rId18" Type="http://schemas.openxmlformats.org/officeDocument/2006/relationships/footer" Target="footer1.xml"/><Relationship Id="rId8" Type="http://schemas.openxmlformats.org/officeDocument/2006/relationships/hyperlink" Target="https://www.ohchr.org/en/calls-for-input/2026/call-comments-draft-general-comment-no-38-article-22-right-freedom-association" TargetMode="External"/><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yperlink" Target="https://www.ohchr.org/en/instruments-mechanisms/instruments/declaration-elimination-all-forms-intolerance-and-discrimination" TargetMode="External"/><Relationship Id="rId17" Type="http://schemas.openxmlformats.org/officeDocument/2006/relationships/header" Target="header1.xml"/><Relationship Id="rId7" Type="http://schemas.openxmlformats.org/officeDocument/2006/relationships/hyperlink" Target="https://www.latitudeglobal.org/" TargetMode="External"/><Relationship Id="rId2" Type="http://schemas.openxmlformats.org/officeDocument/2006/relationships/settings" Target="settings.xml"/><Relationship Id="rId16" Type="http://schemas.openxmlformats.org/officeDocument/2006/relationships/hyperlink" Target="https://www.ohchr.org/sites/default/files/documents/hrbodies/ccpr/cfis/gc38-22/subm-general-comment-cso-82-europe-ecnl-icnl.docx" TargetMode="External"/><Relationship Id="rId20" Type="http://schemas.openxmlformats.org/officeDocument/2006/relationships/customXml" Target="../customXml/item2.xml"/><Relationship Id="rId11" Type="http://schemas.openxmlformats.org/officeDocument/2006/relationships/hyperlink" Target="https://docs.un.org/en/A/RES/53/144" TargetMode="External"/><Relationship Id="rId1" Type="http://schemas.openxmlformats.org/officeDocument/2006/relationships/theme" Target="theme/theme1.xml"/><Relationship Id="rId6" Type="http://schemas.openxmlformats.org/officeDocument/2006/relationships/styles" Target="styles.xml"/><Relationship Id="rId15" Type="http://schemas.openxmlformats.org/officeDocument/2006/relationships/hyperlink" Target="https://gate.ngo/knowledge-portal/news/anti-gender-opposition-impact-global-regional-reports/" TargetMode="External"/><Relationship Id="rId5" Type="http://schemas.openxmlformats.org/officeDocument/2006/relationships/numbering" Target="numbering.xml"/><Relationship Id="rId10" Type="http://schemas.openxmlformats.org/officeDocument/2006/relationships/hyperlink" Target="https://www.ohchr.org/en/instruments-mechanisms/instruments/international-covenant-economic-social-and-cultural-rights" TargetMode="External"/><Relationship Id="rId19"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hyperlink" Target="https://www.ohchr.org/en/calls-for-input/2025/call-input-draft-general-comment-no-38-article-22-freedom-association" TargetMode="External"/><Relationship Id="rId14" Type="http://schemas.openxmlformats.org/officeDocument/2006/relationships/hyperlink" Target="https://www.ohchr.org/sites/default/files/documents/hrbodies/ccpr/cfis/gc38-22/subm-general-comment-cso-16-gate-global-action-trans-equali-ality.doc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www.icnl.org/wp-content/uploads/ECNL-ICNL-Relevant-Sources-of-Law-on-Article-22-ICCPR-report.pdf" TargetMode="External"/><Relationship Id="rId2" Type="http://schemas.openxmlformats.org/officeDocument/2006/relationships/hyperlink" Target="https://freeassembly.net/reports/best-practices/" TargetMode="External"/><Relationship Id="rId3" Type="http://schemas.openxmlformats.org/officeDocument/2006/relationships/hyperlink" Target="https://www.ohchr.org/sites/default/files/GeneralPrinciplesProtectingCivicSpace.pdf" TargetMode="External"/><Relationship Id="rId4" Type="http://schemas.openxmlformats.org/officeDocument/2006/relationships/hyperlink" Target="https://www.unicef.org/innocenti/stories/2026-global-outlook-new-era-ngos" TargetMode="External"/><Relationship Id="rId5" Type="http://schemas.openxmlformats.org/officeDocument/2006/relationships/hyperlink" Target="https://www.unicef.org/innocenti/stories/2026-global-outlook-new-era-ngos" TargetMode="External"/><Relationship Id="rId6" Type="http://schemas.openxmlformats.org/officeDocument/2006/relationships/hyperlink" Target="https://www.civicus.org/documents/reports-and-publications/SOCS/2025/state-of-civil-society-report-2025_e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6584B4DD-2A69-4BB5-9828-F14A0D852055}"/>
</file>

<file path=customXml/itemProps2.xml><?xml version="1.0" encoding="utf-8"?>
<ds:datastoreItem xmlns:ds="http://schemas.openxmlformats.org/officeDocument/2006/customXml" ds:itemID="{13B2978A-E5B2-4E7A-AFBB-F0EE7826C461}"/>
</file>

<file path=customXml/itemProps3.xml><?xml version="1.0" encoding="utf-8"?>
<ds:datastoreItem xmlns:ds="http://schemas.openxmlformats.org/officeDocument/2006/customXml" ds:itemID="{2D1833BB-165F-4398-B50D-2BB8A5A19297}"/>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