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451AE" w14:textId="2C5A179F" w:rsidR="00F64877" w:rsidRPr="00AD585A" w:rsidRDefault="00F64877" w:rsidP="00444792">
      <w:pPr>
        <w:rPr>
          <w:lang w:val="en-US"/>
        </w:rPr>
      </w:pPr>
      <w:r>
        <w:rPr>
          <w:b/>
          <w:bCs/>
          <w:lang w:val="en-GB"/>
        </w:rPr>
        <w:t xml:space="preserve">SAK </w:t>
      </w:r>
      <w:r w:rsidRPr="00EB596C">
        <w:rPr>
          <w:b/>
          <w:bCs/>
          <w:lang w:val="en-GB"/>
        </w:rPr>
        <w:t xml:space="preserve">Submission </w:t>
      </w:r>
      <w:r>
        <w:rPr>
          <w:b/>
          <w:bCs/>
          <w:lang w:val="en-GB"/>
        </w:rPr>
        <w:t xml:space="preserve">on </w:t>
      </w:r>
      <w:r w:rsidRPr="00EB596C">
        <w:rPr>
          <w:b/>
          <w:bCs/>
          <w:lang w:val="en-GB"/>
        </w:rPr>
        <w:t>Draft General Comment No. 38 on Article 22 of the ICCPR</w:t>
      </w:r>
      <w:r w:rsidRPr="00EB596C">
        <w:rPr>
          <w:lang w:val="en-GB"/>
        </w:rPr>
        <w:br/>
      </w:r>
      <w:r>
        <w:rPr>
          <w:b/>
          <w:bCs/>
          <w:lang w:val="en-GB"/>
        </w:rPr>
        <w:t>The right</w:t>
      </w:r>
      <w:r>
        <w:rPr>
          <w:b/>
          <w:lang w:val="en-GB"/>
        </w:rPr>
        <w:t xml:space="preserve"> to freedom of association</w:t>
      </w:r>
      <w:r w:rsidRPr="00EB596C">
        <w:rPr>
          <w:lang w:val="en-GB"/>
        </w:rPr>
        <w:br/>
        <w:t>Comments on trade union freedom, collective bargaining and the right to strike</w:t>
      </w:r>
      <w:r w:rsidRPr="00EB596C">
        <w:rPr>
          <w:lang w:val="en-GB"/>
        </w:rPr>
        <w:br/>
      </w:r>
      <w:r w:rsidRPr="00EB596C">
        <w:rPr>
          <w:b/>
          <w:bCs/>
          <w:lang w:val="en-GB"/>
        </w:rPr>
        <w:t xml:space="preserve">Submitted by: </w:t>
      </w:r>
      <w:r w:rsidRPr="00EB596C">
        <w:rPr>
          <w:lang w:val="en-GB"/>
        </w:rPr>
        <w:t>The Central Organisation of Finnish Trade Unions (SAK)</w:t>
      </w:r>
      <w:r w:rsidRPr="00EB596C">
        <w:rPr>
          <w:lang w:val="en-GB"/>
        </w:rPr>
        <w:br/>
      </w:r>
      <w:r w:rsidRPr="00EB596C">
        <w:rPr>
          <w:b/>
          <w:bCs/>
          <w:lang w:val="en-GB"/>
        </w:rPr>
        <w:t xml:space="preserve">Date: </w:t>
      </w:r>
      <w:r w:rsidR="00AD585A" w:rsidRPr="00AD585A">
        <w:rPr>
          <w:lang w:val="en-GB"/>
        </w:rPr>
        <w:t>23</w:t>
      </w:r>
      <w:r w:rsidR="00AD585A" w:rsidRPr="00AD585A">
        <w:rPr>
          <w:vertAlign w:val="superscript"/>
          <w:lang w:val="en-GB"/>
        </w:rPr>
        <w:t>rd</w:t>
      </w:r>
      <w:r w:rsidRPr="00AD585A">
        <w:rPr>
          <w:lang w:val="en-GB"/>
        </w:rPr>
        <w:t xml:space="preserve"> </w:t>
      </w:r>
      <w:r w:rsidRPr="00EB596C">
        <w:rPr>
          <w:lang w:val="en-GB"/>
        </w:rPr>
        <w:t>June 2026</w:t>
      </w:r>
    </w:p>
    <w:p w14:paraId="3E539DF2"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1. Scope of the submission and paragraphs addressed</w:t>
      </w:r>
    </w:p>
    <w:p w14:paraId="6E43519A" w14:textId="77777777" w:rsidR="00D13F8E" w:rsidRPr="00EB596C" w:rsidRDefault="00D13F8E" w:rsidP="00A35112">
      <w:pPr>
        <w:rPr>
          <w:lang w:val="en-GB"/>
        </w:rPr>
      </w:pPr>
      <w:r w:rsidRPr="00EB596C">
        <w:rPr>
          <w:lang w:val="en-GB"/>
        </w:rPr>
        <w:t>This submission provides comments on Draft General Comment No. 38 on article 22 of the International Covenant on Civil and Political Rights. It focuses on the parts of the draft dealing with trade unions, collective bargaining, the right to strike, the positive and negative obligations of States Parties, and permissible restrictions on the right to freedom of association.</w:t>
      </w:r>
    </w:p>
    <w:p w14:paraId="67E62C97" w14:textId="77777777" w:rsidR="00D13F8E" w:rsidRPr="00EB596C" w:rsidRDefault="00D13F8E" w:rsidP="00D40C54">
      <w:pPr>
        <w:rPr>
          <w:lang w:val="en-GB"/>
        </w:rPr>
      </w:pPr>
      <w:r w:rsidRPr="00EB596C">
        <w:rPr>
          <w:lang w:val="en-GB"/>
        </w:rPr>
        <w:t xml:space="preserve">The comments refer </w:t>
      </w:r>
      <w:proofErr w:type="gramStart"/>
      <w:r w:rsidRPr="00EB596C">
        <w:rPr>
          <w:lang w:val="en-GB"/>
        </w:rPr>
        <w:t>in particular to</w:t>
      </w:r>
      <w:proofErr w:type="gramEnd"/>
      <w:r w:rsidRPr="00EB596C">
        <w:rPr>
          <w:lang w:val="en-GB"/>
        </w:rPr>
        <w:t xml:space="preserve"> paragraphs 20–25, 30, 33–34, 39–43 and 59–60 of the draft. They are informed by recent legislative developments in Finland, which illustrate how trade union freedom may be weakened not by formally banning trade unions, but through cumulative reforms that reduce their practical capacity to represent workers, engage in collective bargaining, take collective action and maintain a sustainable membership base.</w:t>
      </w:r>
    </w:p>
    <w:p w14:paraId="2EB5E049" w14:textId="77777777" w:rsidR="00D13F8E" w:rsidRPr="00EB596C" w:rsidRDefault="00D13F8E" w:rsidP="00921255">
      <w:pPr>
        <w:rPr>
          <w:lang w:val="en-GB"/>
        </w:rPr>
      </w:pPr>
      <w:r w:rsidRPr="00EB596C">
        <w:rPr>
          <w:lang w:val="en-GB"/>
        </w:rPr>
        <w:t>We welcome the draft’s recognition that trade union rights are protected under article 22, that collective bargaining is a vehicle for workers to defend their interests, and that the right to strike is protected against undue restrictions. We also welcome the statement in paragraph 34 that cumulative and indirect measures may breach the right to freedom of association even where a single action or omission, taken in isolation, does not appear decisive.</w:t>
      </w:r>
    </w:p>
    <w:p w14:paraId="7B1CBE8F" w14:textId="77777777" w:rsidR="00D13F8E" w:rsidRPr="00EB596C" w:rsidRDefault="00D13F8E" w:rsidP="00D93993">
      <w:pPr>
        <w:rPr>
          <w:lang w:val="en-GB"/>
        </w:rPr>
      </w:pPr>
      <w:r w:rsidRPr="00EB596C">
        <w:rPr>
          <w:lang w:val="en-GB"/>
        </w:rPr>
        <w:t>We respectfully submit that these points should be further developed. The General Comment should make clear that article 22 protects trade unions as effective institutions of collective representation. The right is not fully respected if unions are allowed to exist formally, but the legal and institutional framework substantially weakens their bargaining power, financial basis, ability to mobilise members or capacity to influence legislation affecting workers.</w:t>
      </w:r>
    </w:p>
    <w:p w14:paraId="1BCD0773"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2. Paragraphs 20–25: Effective trade union freedom, collective bargaining and the institutional capacity of trade unions</w:t>
      </w:r>
    </w:p>
    <w:p w14:paraId="03C27A4A" w14:textId="77777777" w:rsidR="00D13F8E" w:rsidRPr="00EB596C" w:rsidRDefault="00D13F8E" w:rsidP="0033399D">
      <w:pPr>
        <w:rPr>
          <w:lang w:val="en-GB"/>
        </w:rPr>
      </w:pPr>
      <w:r w:rsidRPr="00EB596C">
        <w:rPr>
          <w:lang w:val="en-GB"/>
        </w:rPr>
        <w:t>Paragraphs 20–25 should be strengthened by clarifying that article 22 protects not only the right to form and join trade unions, but also the effective ability of trade unions to carry out their activities and exercise their mandate on behalf of workers. This includes the ability to engage in collective bargaining at a level where workers have real collective power and where representation is genuinely independent of the employer.</w:t>
      </w:r>
    </w:p>
    <w:p w14:paraId="4962BC38" w14:textId="77777777" w:rsidR="00D13F8E" w:rsidRPr="00EB596C" w:rsidRDefault="00D13F8E" w:rsidP="007438B6">
      <w:pPr>
        <w:rPr>
          <w:lang w:val="en-GB"/>
        </w:rPr>
      </w:pPr>
      <w:r w:rsidRPr="00EB596C">
        <w:rPr>
          <w:lang w:val="en-GB"/>
        </w:rPr>
        <w:t xml:space="preserve">In Finland, recent reforms have expanded local collective bargaining and made local bargaining possible more broadly across companies, including irrespective of employer </w:t>
      </w:r>
      <w:r w:rsidRPr="00EB596C">
        <w:rPr>
          <w:lang w:val="en-GB"/>
        </w:rPr>
        <w:lastRenderedPageBreak/>
        <w:t>organisation and the form of employee representation. Local bargaining may be compatible with article 22 where workers are represented by a trade union shop steward or another representative who enjoys independence, protection against retaliation, access to information, sufficient time and resources, and support from a trade union. However, where local bargaining is expanded to workplaces with weak representation, low union density or no trade union representative, the bargaining position may become structurally unequal.</w:t>
      </w:r>
    </w:p>
    <w:p w14:paraId="2070BD15" w14:textId="77777777" w:rsidR="00D13F8E" w:rsidRPr="00EB596C" w:rsidRDefault="00D13F8E" w:rsidP="00D7562E">
      <w:pPr>
        <w:rPr>
          <w:lang w:val="en-GB"/>
        </w:rPr>
      </w:pPr>
      <w:r w:rsidRPr="00EB596C">
        <w:rPr>
          <w:lang w:val="en-GB"/>
        </w:rPr>
        <w:t>The General Comment should therefore make clear that decentralisation of bargaining must not be used to weaken sectoral collective bargaining, trade union representation or workers’ collective protection. States Parties should be required to assess whether reforms shifting bargaining to the enterprise or workplace level alter the balance of power between workers and employers.</w:t>
      </w:r>
    </w:p>
    <w:p w14:paraId="7CE80B9D"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after paragraph 25</w:t>
      </w:r>
    </w:p>
    <w:p w14:paraId="37EC2EA3" w14:textId="77777777" w:rsidR="00D13F8E" w:rsidRPr="00EB596C" w:rsidRDefault="00D13F8E" w:rsidP="008B6574">
      <w:pPr>
        <w:rPr>
          <w:lang w:val="en-GB"/>
        </w:rPr>
      </w:pPr>
      <w:r w:rsidRPr="00EB596C">
        <w:rPr>
          <w:lang w:val="en-GB"/>
        </w:rPr>
        <w:t xml:space="preserve">States Parties must ensure that reforms of collective bargaining systems, including decentralisation of bargaining to the enterprise or workplace level, do not undermine the effective ability of trade unions to represent workers and defend their interests. Local or enterprise-level bargaining is compatible with article 22 only where workers’ representatives enjoy genuine independence, adequate protection against retaliation, access to relevant information, sufficient time and resources, and the possibility of support from trade unions. States Parties must not use decentralisation of bargaining </w:t>
      </w:r>
      <w:proofErr w:type="gramStart"/>
      <w:r w:rsidRPr="00EB596C">
        <w:rPr>
          <w:lang w:val="en-GB"/>
        </w:rPr>
        <w:t>as a means to</w:t>
      </w:r>
      <w:proofErr w:type="gramEnd"/>
      <w:r w:rsidRPr="00EB596C">
        <w:rPr>
          <w:lang w:val="en-GB"/>
        </w:rPr>
        <w:t xml:space="preserve"> weaken sectoral collective bargaining, trade union representation or workers’ collective protection.</w:t>
      </w:r>
    </w:p>
    <w:p w14:paraId="7018323C"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3. Paragraphs 23–25: Political industrial action, solidarity action and the right to strike</w:t>
      </w:r>
    </w:p>
    <w:p w14:paraId="63BE4EF9" w14:textId="77777777" w:rsidR="00D13F8E" w:rsidRPr="00EB596C" w:rsidRDefault="00D13F8E" w:rsidP="00CA61EF">
      <w:pPr>
        <w:rPr>
          <w:lang w:val="en-GB"/>
        </w:rPr>
      </w:pPr>
      <w:r w:rsidRPr="00EB596C">
        <w:rPr>
          <w:lang w:val="en-GB"/>
        </w:rPr>
        <w:t>The draft correctly recognises the right to strike as protected under article 22. It should, however, expressly address political industrial action and solidarity action. Trade unions must be able to defend workers’ interests not only against individual employers, but also against State measures that directly affect working conditions, dismissal protection, social security, collective bargaining structures, industrial action or the institutional position of trade unions.</w:t>
      </w:r>
    </w:p>
    <w:p w14:paraId="6E94CA64" w14:textId="77777777" w:rsidR="00D13F8E" w:rsidRPr="00EB596C" w:rsidRDefault="00D13F8E" w:rsidP="007723E9">
      <w:pPr>
        <w:rPr>
          <w:lang w:val="en-GB"/>
        </w:rPr>
      </w:pPr>
      <w:r w:rsidRPr="00EB596C">
        <w:rPr>
          <w:lang w:val="en-GB"/>
        </w:rPr>
        <w:t xml:space="preserve">Where a government introduces labour market or social policy reforms that directly weaken workers’ rights, trade unions should be able to express collective opposition through peaceful industrial action, subject only to restrictions that meet the strict requirements of article 22(2). In Finland, political work stoppages have been limited to a maximum duration of 24 </w:t>
      </w:r>
      <w:proofErr w:type="gramStart"/>
      <w:r w:rsidRPr="00EB596C">
        <w:rPr>
          <w:lang w:val="en-GB"/>
        </w:rPr>
        <w:t>hours</w:t>
      </w:r>
      <w:proofErr w:type="gramEnd"/>
      <w:r w:rsidRPr="00EB596C">
        <w:rPr>
          <w:lang w:val="en-GB"/>
        </w:rPr>
        <w:t xml:space="preserve"> and their repetition has been restricted. Such a rigid time limit may render collective opposition ineffective in practice, particularly where unions seek to respond to legislative measures that substantially affect their members’ economic and social interests.</w:t>
      </w:r>
    </w:p>
    <w:p w14:paraId="2FD54FDC" w14:textId="77777777" w:rsidR="00326145" w:rsidRPr="00EB596C" w:rsidRDefault="00326145">
      <w:pPr>
        <w:rPr>
          <w:lang w:val="en-GB" w:eastAsia="fi-FI"/>
        </w:rPr>
      </w:pPr>
      <w:r w:rsidRPr="00EB596C">
        <w:rPr>
          <w:lang w:val="en-GB"/>
        </w:rPr>
        <w:t xml:space="preserve">Solidarity action is also an essential expression of trade union solidarity. It enables workers to support other workers whose bargaining position may be weaker. Restrictions on solidarity </w:t>
      </w:r>
      <w:r w:rsidRPr="00EB596C">
        <w:rPr>
          <w:lang w:val="en-GB"/>
        </w:rPr>
        <w:lastRenderedPageBreak/>
        <w:t>action should be narrow, foreseeable and proportionate. Vague proportionality tests or uncertain standards may deter unions from lawful action and create a chilling effect.</w:t>
      </w:r>
    </w:p>
    <w:p w14:paraId="0F1B3816"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after paragraph 25</w:t>
      </w:r>
    </w:p>
    <w:p w14:paraId="6FBDBBDC" w14:textId="77777777" w:rsidR="00D13F8E" w:rsidRPr="00EB596C" w:rsidRDefault="00D13F8E" w:rsidP="00B94194">
      <w:pPr>
        <w:rPr>
          <w:lang w:val="en-GB"/>
        </w:rPr>
      </w:pPr>
      <w:r w:rsidRPr="00EB596C">
        <w:rPr>
          <w:lang w:val="en-GB"/>
        </w:rPr>
        <w:t>The right to strike under article 22 includes, subject to the strict requirements of article 22(2), the right of trade unions to take collective action in response to State policies or legislative measures that directly affect workers’ rights, working conditions, social security, collective bargaining or trade union freedom. Political industrial action and solidarity action are protected forms of collective action where they are connected to the defence of workers’ interests. Restrictions on such action must be provided by law, pursue a legitimate aim under article 22(2), and be necessary and proportionate in a democratic society. General, rigid or excessively short time limits, or vague proportionality tests that create legal uncertainty, may render the right ineffective and have a chilling effect on its exercise.</w:t>
      </w:r>
    </w:p>
    <w:p w14:paraId="2BBFF003"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4. Paragraph 24: State interference with conciliation, wage-setting frameworks and bargaining autonomy</w:t>
      </w:r>
    </w:p>
    <w:p w14:paraId="7F7DD988" w14:textId="77777777" w:rsidR="00D13F8E" w:rsidRPr="00EB596C" w:rsidRDefault="00D13F8E" w:rsidP="00316565">
      <w:pPr>
        <w:rPr>
          <w:lang w:val="en-GB"/>
        </w:rPr>
      </w:pPr>
      <w:r w:rsidRPr="00EB596C">
        <w:rPr>
          <w:lang w:val="en-GB"/>
        </w:rPr>
        <w:t>Paragraph 24 should also address State interference with mediation and conciliation systems. Conciliation can support collective bargaining, but it should not become a mechanism through which the State predetermines or narrows the permissible outcomes of collective bargaining.</w:t>
      </w:r>
    </w:p>
    <w:p w14:paraId="758FCF19" w14:textId="77777777" w:rsidR="00326145" w:rsidRPr="00EB596C" w:rsidRDefault="00326145">
      <w:pPr>
        <w:rPr>
          <w:lang w:val="en-GB" w:eastAsia="fi-FI"/>
        </w:rPr>
      </w:pPr>
      <w:r w:rsidRPr="00EB596C">
        <w:rPr>
          <w:lang w:val="en-GB"/>
        </w:rPr>
        <w:t>In Finland, amendments to the conciliation system have affected the work of the National Conciliator, conciliators and conciliation boards by strengthening statutory consideration of the overall benefit of the national economy and the functioning of wage formation. From the perspective of trade union freedom, the concern is that such rules may limit the range of settlement proposals and constrain unions’ ability to pursue legitimate bargaining aims, including wage equality, sector-specific needs and improvements for lower-paid sectors.</w:t>
      </w:r>
    </w:p>
    <w:p w14:paraId="46215BB3"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to paragraph 24</w:t>
      </w:r>
    </w:p>
    <w:p w14:paraId="1B01D859" w14:textId="77777777" w:rsidR="00D13F8E" w:rsidRPr="00EB596C" w:rsidRDefault="00D13F8E" w:rsidP="005F4988">
      <w:pPr>
        <w:rPr>
          <w:lang w:val="en-GB"/>
        </w:rPr>
      </w:pPr>
      <w:r w:rsidRPr="00EB596C">
        <w:rPr>
          <w:lang w:val="en-GB"/>
        </w:rPr>
        <w:t>State regulation of mediation, conciliation or wage-setting frameworks must not deprive trade unions of their autonomy or predetermine the substantive outcomes of collective bargaining. Where the State restricts the mandate of conciliators or otherwise limits the range of permissible settlement proposals, it must demonstrate that such interference meets the requirements of article 22(2), including necessity and proportionality. Such measures must not structurally favour employers or prevent trade unions from pursuing legitimate objectives, including wage equality, sector-specific needs and the protection of low-paid workers.</w:t>
      </w:r>
    </w:p>
    <w:p w14:paraId="17B1CDE1"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lastRenderedPageBreak/>
        <w:t>5. Paragraphs 30 and 33–34: Cumulative and indirect restrictions on trade union freedom</w:t>
      </w:r>
    </w:p>
    <w:p w14:paraId="702B5A94" w14:textId="77777777" w:rsidR="00D13F8E" w:rsidRPr="00EB596C" w:rsidRDefault="00D13F8E" w:rsidP="00A5568E">
      <w:pPr>
        <w:rPr>
          <w:lang w:val="en-GB"/>
        </w:rPr>
      </w:pPr>
      <w:r w:rsidRPr="00EB596C">
        <w:rPr>
          <w:lang w:val="en-GB"/>
        </w:rPr>
        <w:t>Paragraph 34 is particularly important and should be developed further in relation to trade unions. In practice, trade union freedom can be weakened through the cumulative effect of several measures, none of which abolishes trade unions as such. These may include restrictions on political industrial action and solidarity action, increased fines, individual sanctions for workers, expansion of local bargaining without sufficient safeguards, limits on conciliation, weakened participation in legislative processes and tax measures affecting union membership.</w:t>
      </w:r>
    </w:p>
    <w:p w14:paraId="3DF5987A" w14:textId="77777777" w:rsidR="00326145" w:rsidRPr="00EB596C" w:rsidRDefault="00326145">
      <w:pPr>
        <w:rPr>
          <w:lang w:val="en-GB" w:eastAsia="fi-FI"/>
        </w:rPr>
      </w:pPr>
      <w:r w:rsidRPr="00EB596C">
        <w:rPr>
          <w:lang w:val="en-GB"/>
        </w:rPr>
        <w:t>The General Comment should state expressly that the cumulative impact of such measures must be assessed. A measure that appears limited when viewed separately may contribute to a broader pattern of weakening the institutional and practical capacity of trade unions.</w:t>
      </w:r>
    </w:p>
    <w:p w14:paraId="3F049784"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to paragraph 34</w:t>
      </w:r>
    </w:p>
    <w:p w14:paraId="3387C64E" w14:textId="77777777" w:rsidR="00D13F8E" w:rsidRPr="00EB596C" w:rsidRDefault="00D13F8E" w:rsidP="00F2157D">
      <w:pPr>
        <w:rPr>
          <w:lang w:val="en-GB"/>
        </w:rPr>
      </w:pPr>
      <w:r w:rsidRPr="00EB596C">
        <w:rPr>
          <w:lang w:val="en-GB"/>
        </w:rPr>
        <w:t>In the field of trade union freedom, cumulative and indirect measures may include legislative changes that, taken together, weaken trade unions’ bargaining power, restrict collective action, increase exposure to sanctions, reduce access to effective representation, undermine membership incentives, or alter the institutional balance between workers and employers. States Parties must assess the combined impact of such measures on the effective enjoyment of article 22 rights. A measure that may appear limited in isolation may nevertheless contribute to a violation of article 22 when it forms part of a broader pattern of weakening trade union freedom.</w:t>
      </w:r>
    </w:p>
    <w:p w14:paraId="48EE9128"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6. Paragraph 33: Tax measures, trade union membership fees and the enabling environment</w:t>
      </w:r>
    </w:p>
    <w:p w14:paraId="187E1509" w14:textId="77777777" w:rsidR="00D13F8E" w:rsidRPr="00EB596C" w:rsidRDefault="00D13F8E" w:rsidP="00AC1BB1">
      <w:pPr>
        <w:rPr>
          <w:lang w:val="en-GB"/>
        </w:rPr>
      </w:pPr>
      <w:r w:rsidRPr="00EB596C">
        <w:rPr>
          <w:lang w:val="en-GB"/>
        </w:rPr>
        <w:t>Paragraph 33 rightly recognises that an enabling environment may include policies on tax incentives and tax exemption for associations. This point should be developed in relation to trade unions and membership fees. The ability of trade unions to function depends on members’ contributions. Measures that increase the effective cost of membership may reduce union density, weaken the financial basis of trade unions and diminish their ability to represent workers.</w:t>
      </w:r>
    </w:p>
    <w:p w14:paraId="37113B2E" w14:textId="77777777" w:rsidR="00D13F8E" w:rsidRPr="00EB596C" w:rsidRDefault="00D13F8E" w:rsidP="008404FE">
      <w:pPr>
        <w:rPr>
          <w:lang w:val="en-GB"/>
        </w:rPr>
      </w:pPr>
      <w:r w:rsidRPr="00EB596C">
        <w:rPr>
          <w:lang w:val="en-GB"/>
        </w:rPr>
        <w:t xml:space="preserve">Finland has abolished the tax deductibility of labour market organisation membership fees from the 2026 tax year. Tax policy is, of course, generally within the discretion of States Parties. However, where tax measures specifically affect trade union membership or the financial basis of trade unions, they should be assessed under article 22, especially </w:t>
      </w:r>
      <w:proofErr w:type="gramStart"/>
      <w:r w:rsidRPr="00EB596C">
        <w:rPr>
          <w:lang w:val="en-GB"/>
        </w:rPr>
        <w:t>where</w:t>
      </w:r>
      <w:proofErr w:type="gramEnd"/>
      <w:r w:rsidRPr="00EB596C">
        <w:rPr>
          <w:lang w:val="en-GB"/>
        </w:rPr>
        <w:t xml:space="preserve"> adopted together with other measures restricting trade union activity. Such measures should not have the purpose or effect of weakening trade unions, </w:t>
      </w:r>
      <w:proofErr w:type="gramStart"/>
      <w:r w:rsidRPr="00EB596C">
        <w:rPr>
          <w:lang w:val="en-GB"/>
        </w:rPr>
        <w:t>reducing</w:t>
      </w:r>
      <w:proofErr w:type="gramEnd"/>
      <w:r w:rsidRPr="00EB596C">
        <w:rPr>
          <w:lang w:val="en-GB"/>
        </w:rPr>
        <w:t xml:space="preserve"> membership or impairing collective representation.</w:t>
      </w:r>
    </w:p>
    <w:p w14:paraId="5B8DB144"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lastRenderedPageBreak/>
        <w:t>Suggested addition to paragraph 33</w:t>
      </w:r>
    </w:p>
    <w:p w14:paraId="34229AE5" w14:textId="77777777" w:rsidR="00D13F8E" w:rsidRPr="00EB596C" w:rsidRDefault="00D13F8E" w:rsidP="00D76ECA">
      <w:pPr>
        <w:rPr>
          <w:lang w:val="en-GB"/>
        </w:rPr>
      </w:pPr>
      <w:r w:rsidRPr="00EB596C">
        <w:rPr>
          <w:lang w:val="en-GB"/>
        </w:rPr>
        <w:t>In relation to trade unions, the enabling environment protected by article 22 includes the ability of trade unions to maintain a sustainable membership base and to finance their activities through members’ contributions. Tax measures affecting trade union membership fees, including the withdrawal of tax deductibility or other fiscal treatment that increases the effective cost of membership, may have an indirect impact on the exercise of the right to freedom of association. States Parties should ensure that such measures are not adopted with the purpose or effect of weakening trade unions, reducing union membership or impairing collective representation. Where such measures are introduced, their cumulative impact on trade union freedom must be assessed.</w:t>
      </w:r>
    </w:p>
    <w:p w14:paraId="5A592EF9"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7. Paragraphs 41–43: Legality, foreseeability and chilling effects in the regulation of industrial action</w:t>
      </w:r>
    </w:p>
    <w:p w14:paraId="32F517ED" w14:textId="77777777" w:rsidR="00D13F8E" w:rsidRPr="00EB596C" w:rsidRDefault="00D13F8E" w:rsidP="007A1DC6">
      <w:pPr>
        <w:rPr>
          <w:lang w:val="en-GB"/>
        </w:rPr>
      </w:pPr>
      <w:r w:rsidRPr="00EB596C">
        <w:rPr>
          <w:lang w:val="en-GB"/>
        </w:rPr>
        <w:t>Paragraphs 41–43 should be strengthened by addressing legal uncertainty in the regulation of industrial action. Restrictions on collective action must be sufficiently clear, precise and foreseeable. If trade unions and workers cannot reasonably predict whether action will later be considered unlawful, the risk of sanctions may deter the exercise of article 22 rights.</w:t>
      </w:r>
    </w:p>
    <w:p w14:paraId="34260A07" w14:textId="77777777" w:rsidR="00326145" w:rsidRPr="00EB596C" w:rsidRDefault="00326145">
      <w:pPr>
        <w:rPr>
          <w:lang w:val="en-GB" w:eastAsia="fi-FI"/>
        </w:rPr>
      </w:pPr>
      <w:r w:rsidRPr="00EB596C">
        <w:rPr>
          <w:lang w:val="en-GB"/>
        </w:rPr>
        <w:t>This is particularly important where the law introduces concepts such as disproportionate solidarity action, strict time limits on political industrial action, broader notification obligations, or personal sanctions for workers. Legal uncertainty is not merely a technical issue; it may itself operate as an indirect restriction by creating a chilling effect.</w:t>
      </w:r>
    </w:p>
    <w:p w14:paraId="70645DEE"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to paragraph 43</w:t>
      </w:r>
    </w:p>
    <w:p w14:paraId="3EA1ED2C" w14:textId="77777777" w:rsidR="00D13F8E" w:rsidRPr="00EB596C" w:rsidRDefault="00D13F8E" w:rsidP="00E7235A">
      <w:pPr>
        <w:rPr>
          <w:lang w:val="en-GB"/>
        </w:rPr>
      </w:pPr>
      <w:r w:rsidRPr="00EB596C">
        <w:rPr>
          <w:lang w:val="en-GB"/>
        </w:rPr>
        <w:t>In the context of trade union activity and industrial action, the requirement of legality means that restrictions must be sufficiently clear, precise, accessible and foreseeable for trade unions and workers to regulate their conduct. Vague concepts, uncertain proportionality tests or unclear rules on sanctions may have a chilling effect on the exercise of the right to freedom of association. States Parties must ensure that trade unions and workers can reasonably foresee when collective action is lawful and what consequences may follow from participation in such action.</w:t>
      </w:r>
    </w:p>
    <w:p w14:paraId="7BC68AE4"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8. Paragraphs 39–40 and Section V: Sanctions, remedies and judicial safeguards</w:t>
      </w:r>
    </w:p>
    <w:p w14:paraId="46CE8FB9" w14:textId="77777777" w:rsidR="00D13F8E" w:rsidRPr="00EB596C" w:rsidRDefault="00D13F8E" w:rsidP="00836666">
      <w:pPr>
        <w:rPr>
          <w:lang w:val="en-GB"/>
        </w:rPr>
      </w:pPr>
      <w:r w:rsidRPr="00EB596C">
        <w:rPr>
          <w:lang w:val="en-GB"/>
        </w:rPr>
        <w:t xml:space="preserve">The draft should also address the chilling effect of disproportionate or asymmetric sanctions. Sanctions connected to industrial action must be proportionate and must not undermine the essence of the right protected by article 22. </w:t>
      </w:r>
      <w:proofErr w:type="gramStart"/>
      <w:r w:rsidRPr="00EB596C">
        <w:rPr>
          <w:lang w:val="en-GB"/>
        </w:rPr>
        <w:t>Particular concern</w:t>
      </w:r>
      <w:proofErr w:type="gramEnd"/>
      <w:r w:rsidRPr="00EB596C">
        <w:rPr>
          <w:lang w:val="en-GB"/>
        </w:rPr>
        <w:t xml:space="preserve"> arises where sanctions on trade unions are increased substantially while sanctions for employer violations remain </w:t>
      </w:r>
      <w:r w:rsidRPr="00EB596C">
        <w:rPr>
          <w:lang w:val="en-GB"/>
        </w:rPr>
        <w:lastRenderedPageBreak/>
        <w:t>comparatively low, or where individual workers face personal financial penalties for participation in collective action whose legality may later be contested.</w:t>
      </w:r>
    </w:p>
    <w:p w14:paraId="48321D6E"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after paragraph 40 or in Section V</w:t>
      </w:r>
    </w:p>
    <w:p w14:paraId="20D9D706" w14:textId="77777777" w:rsidR="00D13F8E" w:rsidRPr="00EB596C" w:rsidRDefault="00D13F8E" w:rsidP="00976514">
      <w:pPr>
        <w:rPr>
          <w:lang w:val="en-GB"/>
        </w:rPr>
      </w:pPr>
      <w:r w:rsidRPr="00EB596C">
        <w:rPr>
          <w:lang w:val="en-GB"/>
        </w:rPr>
        <w:t>Sanctions imposed on trade unions or workers in connection with collective action must be proportionate and must not undermine the essence of the right protected by article 22. Excessive fines, personal penalties imposed on individual workers, criminal sanctions, or asymmetric sanction systems that impose heavier consequences on workers’ collective action than on employer violations may create a chilling effect incompatible with article 22. States Parties must ensure access to effective remedies and independent judicial review before sanctions are imposed or enforced.</w:t>
      </w:r>
    </w:p>
    <w:p w14:paraId="7A2E56B0" w14:textId="77777777" w:rsidR="00A62553" w:rsidRPr="00EB596C" w:rsidRDefault="00A62553" w:rsidP="00A62553">
      <w:pPr>
        <w:pStyle w:val="Otsikko1"/>
        <w:rPr>
          <w:rFonts w:cstheme="minorBidi"/>
          <w:color w:val="auto"/>
          <w:sz w:val="32"/>
          <w:szCs w:val="32"/>
          <w:lang w:val="en-GB"/>
        </w:rPr>
      </w:pPr>
      <w:r w:rsidRPr="00EB596C">
        <w:rPr>
          <w:rFonts w:cstheme="minorBidi"/>
          <w:color w:val="auto"/>
          <w:sz w:val="32"/>
          <w:szCs w:val="32"/>
          <w:lang w:val="en-GB"/>
        </w:rPr>
        <w:t>9. Section IV, in particular paragraphs 28–34: Effective participation of trade unions in legislative processes</w:t>
      </w:r>
    </w:p>
    <w:p w14:paraId="56A1F99E" w14:textId="77777777" w:rsidR="00D13F8E" w:rsidRPr="00EB596C" w:rsidRDefault="00D13F8E" w:rsidP="00C35DAA">
      <w:pPr>
        <w:rPr>
          <w:lang w:val="en-GB"/>
        </w:rPr>
      </w:pPr>
      <w:r w:rsidRPr="00EB596C">
        <w:rPr>
          <w:lang w:val="en-GB"/>
        </w:rPr>
        <w:t>The positive obligations under article 22 should be understood to include meaningful participation of trade unions in the preparation of legislation affecting workers’ rights. Formal consultation is insufficient if the content of the reform has already been predetermined and social partners have no genuine possibility to influence the outcome.</w:t>
      </w:r>
    </w:p>
    <w:p w14:paraId="40303BBA" w14:textId="77777777" w:rsidR="00D13F8E" w:rsidRPr="00EB596C" w:rsidRDefault="00D13F8E" w:rsidP="00FB4A4B">
      <w:pPr>
        <w:rPr>
          <w:lang w:val="en-GB"/>
        </w:rPr>
      </w:pPr>
      <w:r w:rsidRPr="00EB596C">
        <w:rPr>
          <w:lang w:val="en-GB"/>
        </w:rPr>
        <w:t>Tripartite preparation has traditionally played an important role in Finnish labour law. Recent reforms have raised concerns that wage-earner organisations have been involved formally, but without genuine negotiating space where the reforms implement predetermined government programme entries. The General Comment should make clear that effective participation requires more than formal presence in consultation processes.</w:t>
      </w:r>
    </w:p>
    <w:p w14:paraId="76E295E8"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in Section IV</w:t>
      </w:r>
    </w:p>
    <w:p w14:paraId="3BD0DF3C" w14:textId="77777777" w:rsidR="00D13F8E" w:rsidRPr="00EB596C" w:rsidRDefault="00D13F8E" w:rsidP="009B33CA">
      <w:pPr>
        <w:rPr>
          <w:lang w:val="en-GB"/>
        </w:rPr>
      </w:pPr>
      <w:r w:rsidRPr="00EB596C">
        <w:rPr>
          <w:lang w:val="en-GB"/>
        </w:rPr>
        <w:t>The positive obligations of States Parties under article 22 include ensuring that trade unions can participate effectively and meaningfully in the preparation of legislation and policies that directly affect workers’ rights, working conditions, collective bargaining, industrial action or trade union freedom. Consultation must be timely, transparent and capable of influencing the outcome. Purely formal consultation, or processes in which the substance of the reform is predetermined without genuine possibility for social partners to negotiate, may be incompatible with the enabling environment required by article 22.</w:t>
      </w:r>
    </w:p>
    <w:p w14:paraId="4FBDBE15"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10. Paragraphs 59–60: Safeguards, non-retrogression and trade union freedom</w:t>
      </w:r>
    </w:p>
    <w:p w14:paraId="3CDDF5D0" w14:textId="77777777" w:rsidR="00D13F8E" w:rsidRPr="00EB596C" w:rsidRDefault="00D13F8E" w:rsidP="006874D8">
      <w:pPr>
        <w:rPr>
          <w:lang w:val="en-GB"/>
        </w:rPr>
      </w:pPr>
      <w:r w:rsidRPr="00EB596C">
        <w:rPr>
          <w:lang w:val="en-GB"/>
        </w:rPr>
        <w:t xml:space="preserve">We welcome the draft’s reference to safeguards and the prohibition of retrogression. Paragraph 60 should expressly mention trade union freedom. States Parties should refrain from introducing de jure or de facto obstacles that weaken the level of protection previously enjoyed by workers and trade unions unless the measure is carefully justified and satisfies the </w:t>
      </w:r>
      <w:r w:rsidRPr="00EB596C">
        <w:rPr>
          <w:lang w:val="en-GB"/>
        </w:rPr>
        <w:lastRenderedPageBreak/>
        <w:t>strict requirements of legality, legitimate aim, necessity, proportionality and judicial guarantees.</w:t>
      </w:r>
    </w:p>
    <w:p w14:paraId="1D4A5DA7" w14:textId="77777777" w:rsidR="00326145" w:rsidRPr="00EB596C" w:rsidRDefault="00326145">
      <w:pPr>
        <w:pStyle w:val="Otsikko2"/>
        <w:rPr>
          <w:rFonts w:asciiTheme="minorHAnsi" w:hAnsiTheme="minorHAnsi" w:cstheme="minorBidi"/>
          <w:color w:val="auto"/>
          <w:sz w:val="28"/>
          <w:szCs w:val="28"/>
          <w:lang w:val="en-GB"/>
        </w:rPr>
      </w:pPr>
      <w:r w:rsidRPr="00EB596C">
        <w:rPr>
          <w:rFonts w:asciiTheme="minorHAnsi" w:hAnsiTheme="minorHAnsi" w:cstheme="minorBidi"/>
          <w:color w:val="auto"/>
          <w:sz w:val="28"/>
          <w:szCs w:val="28"/>
          <w:lang w:val="en-GB"/>
        </w:rPr>
        <w:t>Suggested addition to paragraph 60</w:t>
      </w:r>
    </w:p>
    <w:p w14:paraId="6DA92263" w14:textId="77777777" w:rsidR="00D13F8E" w:rsidRPr="00EB596C" w:rsidRDefault="00D13F8E" w:rsidP="0074595A">
      <w:pPr>
        <w:rPr>
          <w:lang w:val="en-GB"/>
        </w:rPr>
      </w:pPr>
      <w:r w:rsidRPr="00EB596C">
        <w:rPr>
          <w:lang w:val="en-GB"/>
        </w:rPr>
        <w:t>In the field of trade union freedom, retrogressive measures may include restrictions on collective bargaining or industrial action, measures weakening trade union representation or membership incentives, or institutional reforms that reduce the effectiveness of trade unions as collective representatives of workers. States Parties must justify such measures with particular care and assess their cumulative impact on the enjoyment of article 22 rights.</w:t>
      </w:r>
    </w:p>
    <w:p w14:paraId="2C9A980A" w14:textId="77777777" w:rsidR="00326145" w:rsidRPr="00EB596C" w:rsidRDefault="00326145">
      <w:pPr>
        <w:pStyle w:val="Otsikko1"/>
        <w:rPr>
          <w:rFonts w:asciiTheme="minorHAnsi" w:hAnsiTheme="minorHAnsi" w:cstheme="minorBidi"/>
          <w:color w:val="auto"/>
          <w:sz w:val="32"/>
          <w:szCs w:val="32"/>
          <w:lang w:val="en-GB" w:eastAsia="fi-FI"/>
        </w:rPr>
      </w:pPr>
      <w:r w:rsidRPr="00EB596C">
        <w:rPr>
          <w:rFonts w:asciiTheme="minorHAnsi" w:hAnsiTheme="minorHAnsi" w:cstheme="minorBidi"/>
          <w:color w:val="auto"/>
          <w:sz w:val="32"/>
          <w:szCs w:val="32"/>
          <w:lang w:val="en-GB"/>
        </w:rPr>
        <w:t>11. Conclusion</w:t>
      </w:r>
    </w:p>
    <w:p w14:paraId="5E5E2204" w14:textId="77777777" w:rsidR="00D13F8E" w:rsidRPr="00EB596C" w:rsidRDefault="00D13F8E" w:rsidP="002A55E7">
      <w:pPr>
        <w:rPr>
          <w:lang w:val="en-GB"/>
        </w:rPr>
      </w:pPr>
      <w:r w:rsidRPr="00EB596C">
        <w:rPr>
          <w:lang w:val="en-GB"/>
        </w:rPr>
        <w:t>Draft General Comment No. 38 provides an important foundation for the protection of the right to freedom of association under article 22. We respectfully submit that it should be strengthened to address modern and indirect forms of interference with trade union freedom. The Finnish example demonstrates that trade union rights may be weakened through cumulative reforms that do not abolish unions formally, but reduce their practical ability to represent workers, engage in collective bargaining, take collective action, participate in legislative processes and maintain a sustainable membership base.</w:t>
      </w:r>
    </w:p>
    <w:p w14:paraId="7FA8E73C" w14:textId="77777777" w:rsidR="00D13F8E" w:rsidRPr="00EB596C" w:rsidRDefault="00D13F8E" w:rsidP="00B9457F">
      <w:pPr>
        <w:rPr>
          <w:lang w:val="en-GB"/>
        </w:rPr>
      </w:pPr>
      <w:r w:rsidRPr="00EB596C">
        <w:rPr>
          <w:lang w:val="en-GB"/>
        </w:rPr>
        <w:t xml:space="preserve">Article 22 should be interpreted </w:t>
      </w:r>
      <w:proofErr w:type="gramStart"/>
      <w:r w:rsidRPr="00EB596C">
        <w:rPr>
          <w:lang w:val="en-GB"/>
        </w:rPr>
        <w:t>so as to</w:t>
      </w:r>
      <w:proofErr w:type="gramEnd"/>
      <w:r w:rsidRPr="00EB596C">
        <w:rPr>
          <w:lang w:val="en-GB"/>
        </w:rPr>
        <w:t xml:space="preserve"> protect trade unions as effective institutions of democratic participation and collective representation. States Parties must not, through direct, indirect or cumulative measures, undermine the effective exercise of trade union freedom, collective bargaining or the right to strike.</w:t>
      </w:r>
    </w:p>
    <w:p w14:paraId="63F09AC0" w14:textId="0C3864C3" w:rsidR="00AD585A" w:rsidRDefault="00AD585A">
      <w:pPr>
        <w:rPr>
          <w:lang w:val="en-GB"/>
        </w:rPr>
      </w:pPr>
      <w:proofErr w:type="spellStart"/>
      <w:r>
        <w:rPr>
          <w:lang w:val="en-GB"/>
        </w:rPr>
        <w:t>Suomen</w:t>
      </w:r>
      <w:proofErr w:type="spellEnd"/>
      <w:r>
        <w:rPr>
          <w:lang w:val="en-GB"/>
        </w:rPr>
        <w:t xml:space="preserve"> </w:t>
      </w:r>
      <w:proofErr w:type="spellStart"/>
      <w:r>
        <w:rPr>
          <w:lang w:val="en-GB"/>
        </w:rPr>
        <w:t>Ammattiliittojen</w:t>
      </w:r>
      <w:proofErr w:type="spellEnd"/>
      <w:r>
        <w:rPr>
          <w:lang w:val="en-GB"/>
        </w:rPr>
        <w:t xml:space="preserve"> </w:t>
      </w:r>
      <w:proofErr w:type="spellStart"/>
      <w:r>
        <w:rPr>
          <w:lang w:val="en-GB"/>
        </w:rPr>
        <w:t>Keskusjärjestö</w:t>
      </w:r>
      <w:proofErr w:type="spellEnd"/>
      <w:r>
        <w:rPr>
          <w:lang w:val="en-GB"/>
        </w:rPr>
        <w:t xml:space="preserve"> SAK</w:t>
      </w:r>
    </w:p>
    <w:p w14:paraId="319C2A50" w14:textId="1748EE74" w:rsidR="00326145" w:rsidRPr="00EB596C" w:rsidRDefault="00326145">
      <w:pPr>
        <w:rPr>
          <w:lang w:val="en-GB" w:eastAsia="fi-FI"/>
        </w:rPr>
      </w:pPr>
      <w:r w:rsidRPr="00EB596C">
        <w:rPr>
          <w:lang w:val="en-GB"/>
        </w:rPr>
        <w:t>The Central Organisation of Finnish Trade Unions (SAK)</w:t>
      </w:r>
    </w:p>
    <w:p w14:paraId="67AD5703" w14:textId="77777777" w:rsidR="00191EE6" w:rsidRPr="00326145" w:rsidRDefault="00191EE6">
      <w:pPr>
        <w:rPr>
          <w:lang w:val="en-US"/>
        </w:rPr>
      </w:pPr>
    </w:p>
    <w:sectPr w:rsidR="00191EE6" w:rsidRPr="00326145" w:rsidSect="00326145">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CE81" w14:textId="77777777" w:rsidR="00160298" w:rsidRDefault="00160298" w:rsidP="00AD585A">
      <w:pPr>
        <w:spacing w:after="0" w:line="240" w:lineRule="auto"/>
      </w:pPr>
      <w:r>
        <w:separator/>
      </w:r>
    </w:p>
  </w:endnote>
  <w:endnote w:type="continuationSeparator" w:id="0">
    <w:p w14:paraId="0FCFC4A5" w14:textId="77777777" w:rsidR="00160298" w:rsidRDefault="00160298" w:rsidP="00AD5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EC5D" w14:textId="77777777" w:rsidR="00160298" w:rsidRDefault="00160298" w:rsidP="00AD585A">
      <w:pPr>
        <w:spacing w:after="0" w:line="240" w:lineRule="auto"/>
      </w:pPr>
      <w:r>
        <w:separator/>
      </w:r>
    </w:p>
  </w:footnote>
  <w:footnote w:type="continuationSeparator" w:id="0">
    <w:p w14:paraId="2A6ACD35" w14:textId="77777777" w:rsidR="00160298" w:rsidRDefault="00160298" w:rsidP="00AD58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45"/>
    <w:rsid w:val="00073457"/>
    <w:rsid w:val="00160298"/>
    <w:rsid w:val="00191EE6"/>
    <w:rsid w:val="001D276B"/>
    <w:rsid w:val="001F6AB7"/>
    <w:rsid w:val="00326145"/>
    <w:rsid w:val="00A62553"/>
    <w:rsid w:val="00AD585A"/>
    <w:rsid w:val="00D13F8E"/>
    <w:rsid w:val="00EB596C"/>
    <w:rsid w:val="00F6487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FFC35"/>
  <w15:chartTrackingRefBased/>
  <w15:docId w15:val="{CD92CA17-58A3-4569-8983-9DD0FE847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26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26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26145"/>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26145"/>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26145"/>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26145"/>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26145"/>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26145"/>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26145"/>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26145"/>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26145"/>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26145"/>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26145"/>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26145"/>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26145"/>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26145"/>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26145"/>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26145"/>
    <w:rPr>
      <w:rFonts w:eastAsiaTheme="majorEastAsia" w:cstheme="majorBidi"/>
      <w:color w:val="272727" w:themeColor="text1" w:themeTint="D8"/>
    </w:rPr>
  </w:style>
  <w:style w:type="paragraph" w:styleId="Otsikko">
    <w:name w:val="Title"/>
    <w:basedOn w:val="Normaali"/>
    <w:next w:val="Normaali"/>
    <w:link w:val="OtsikkoChar"/>
    <w:uiPriority w:val="10"/>
    <w:qFormat/>
    <w:rsid w:val="00326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26145"/>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26145"/>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26145"/>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26145"/>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26145"/>
    <w:rPr>
      <w:i/>
      <w:iCs/>
      <w:color w:val="404040" w:themeColor="text1" w:themeTint="BF"/>
    </w:rPr>
  </w:style>
  <w:style w:type="paragraph" w:styleId="Luettelokappale">
    <w:name w:val="List Paragraph"/>
    <w:basedOn w:val="Normaali"/>
    <w:uiPriority w:val="34"/>
    <w:qFormat/>
    <w:rsid w:val="00326145"/>
    <w:pPr>
      <w:ind w:left="720"/>
      <w:contextualSpacing/>
    </w:pPr>
  </w:style>
  <w:style w:type="character" w:styleId="Voimakaskorostus">
    <w:name w:val="Intense Emphasis"/>
    <w:basedOn w:val="Kappaleenoletusfontti"/>
    <w:uiPriority w:val="21"/>
    <w:qFormat/>
    <w:rsid w:val="00326145"/>
    <w:rPr>
      <w:i/>
      <w:iCs/>
      <w:color w:val="0F4761" w:themeColor="accent1" w:themeShade="BF"/>
    </w:rPr>
  </w:style>
  <w:style w:type="paragraph" w:styleId="Erottuvalainaus">
    <w:name w:val="Intense Quote"/>
    <w:basedOn w:val="Normaali"/>
    <w:next w:val="Normaali"/>
    <w:link w:val="ErottuvalainausChar"/>
    <w:uiPriority w:val="30"/>
    <w:qFormat/>
    <w:rsid w:val="00326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26145"/>
    <w:rPr>
      <w:i/>
      <w:iCs/>
      <w:color w:val="0F4761" w:themeColor="accent1" w:themeShade="BF"/>
    </w:rPr>
  </w:style>
  <w:style w:type="character" w:styleId="Erottuvaviittaus">
    <w:name w:val="Intense Reference"/>
    <w:basedOn w:val="Kappaleenoletusfontti"/>
    <w:uiPriority w:val="32"/>
    <w:qFormat/>
    <w:rsid w:val="00326145"/>
    <w:rPr>
      <w:b/>
      <w:bCs/>
      <w:smallCaps/>
      <w:color w:val="0F4761" w:themeColor="accent1" w:themeShade="BF"/>
      <w:spacing w:val="5"/>
    </w:rPr>
  </w:style>
  <w:style w:type="paragraph" w:styleId="Yltunniste">
    <w:name w:val="header"/>
    <w:basedOn w:val="Normaali"/>
    <w:link w:val="YltunnisteChar"/>
    <w:uiPriority w:val="99"/>
    <w:unhideWhenUsed/>
    <w:rsid w:val="00AD585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D585A"/>
  </w:style>
  <w:style w:type="paragraph" w:styleId="Alatunniste">
    <w:name w:val="footer"/>
    <w:basedOn w:val="Normaali"/>
    <w:link w:val="AlatunnisteChar"/>
    <w:uiPriority w:val="99"/>
    <w:unhideWhenUsed/>
    <w:rsid w:val="00AD585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D5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5FBE4960-AF27-403E-89AB-213510AD19F7}"/>
</file>

<file path=customXml/itemProps2.xml><?xml version="1.0" encoding="utf-8"?>
<ds:datastoreItem xmlns:ds="http://schemas.openxmlformats.org/officeDocument/2006/customXml" ds:itemID="{751778DB-4048-44C9-A7E3-922CD6CAD4A8}"/>
</file>

<file path=customXml/itemProps3.xml><?xml version="1.0" encoding="utf-8"?>
<ds:datastoreItem xmlns:ds="http://schemas.openxmlformats.org/officeDocument/2006/customXml" ds:itemID="{B144BF8E-3685-47C9-AEB1-9305BD0B8243}"/>
</file>

<file path=docMetadata/LabelInfo.xml><?xml version="1.0" encoding="utf-8"?>
<clbl:labelList xmlns:clbl="http://schemas.microsoft.com/office/2020/mipLabelMetadata">
  <clbl:label id="{1fdea8b1-836e-4458-92e9-579ed67e5f54}" enabled="1" method="Standard" siteId="{d9950c13-d891-4c64-995b-e44c0b790888}" contentBits="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7</Pages>
  <Words>2609</Words>
  <Characters>15687</Characters>
  <Application>Microsoft Office Word</Application>
  <DocSecurity>0</DocSecurity>
  <Lines>230</Lines>
  <Paragraphs>64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Ilveskivi Paula</dc:creator>
  <cp:keywords/>
  <dc:description/>
  <cp:lastModifiedBy>Latvatalo Eveliina</cp:lastModifiedBy>
  <cp:revision>2</cp:revision>
  <dcterms:created xsi:type="dcterms:W3CDTF">2026-06-22T08:23:00Z</dcterms:created>
  <dcterms:modified xsi:type="dcterms:W3CDTF">2026-06-23T09:17:00Z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