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59269" w14:textId="77777777" w:rsidR="005322A0" w:rsidRDefault="00000000">
      <w:pPr>
        <w:spacing w:after="0" w:line="259" w:lineRule="auto"/>
        <w:ind w:left="79" w:firstLine="0"/>
        <w:jc w:val="center"/>
      </w:pPr>
      <w:r>
        <w:rPr>
          <w:noProof/>
        </w:rPr>
        <w:drawing>
          <wp:inline distT="0" distB="0" distL="0" distR="0" wp14:anchorId="065D7590" wp14:editId="4A73DA8C">
            <wp:extent cx="1097204" cy="1541780"/>
            <wp:effectExtent l="0" t="0" r="0" b="0"/>
            <wp:docPr id="108" name="Pictu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4"/>
                    <a:stretch>
                      <a:fillRect/>
                    </a:stretch>
                  </pic:blipFill>
                  <pic:spPr>
                    <a:xfrm>
                      <a:off x="0" y="0"/>
                      <a:ext cx="1097204" cy="1541780"/>
                    </a:xfrm>
                    <a:prstGeom prst="rect">
                      <a:avLst/>
                    </a:prstGeom>
                  </pic:spPr>
                </pic:pic>
              </a:graphicData>
            </a:graphic>
          </wp:inline>
        </w:drawing>
      </w:r>
      <w:r>
        <w:rPr>
          <w:sz w:val="32"/>
        </w:rPr>
        <w:t xml:space="preserve"> </w:t>
      </w:r>
    </w:p>
    <w:p w14:paraId="1B5E726E" w14:textId="77777777" w:rsidR="005322A0" w:rsidRDefault="00000000">
      <w:pPr>
        <w:spacing w:after="0" w:line="259" w:lineRule="auto"/>
        <w:ind w:left="0" w:right="1" w:firstLine="0"/>
        <w:jc w:val="center"/>
      </w:pPr>
      <w:r>
        <w:rPr>
          <w:b/>
          <w:sz w:val="32"/>
        </w:rPr>
        <w:t>GEMTIGRAY</w:t>
      </w:r>
      <w:r>
        <w:rPr>
          <w:sz w:val="32"/>
        </w:rPr>
        <w:t xml:space="preserve"> </w:t>
      </w:r>
    </w:p>
    <w:p w14:paraId="1158A6DA" w14:textId="77777777" w:rsidR="005322A0" w:rsidRDefault="00000000">
      <w:pPr>
        <w:pStyle w:val="Heading1"/>
      </w:pPr>
      <w:r>
        <w:t xml:space="preserve">Empowering Women, Transforming Tigray </w:t>
      </w:r>
    </w:p>
    <w:p w14:paraId="1105B837" w14:textId="77777777" w:rsidR="005322A0" w:rsidRDefault="00000000">
      <w:pPr>
        <w:spacing w:after="0" w:line="259" w:lineRule="auto"/>
        <w:ind w:left="0" w:firstLine="0"/>
        <w:jc w:val="left"/>
      </w:pPr>
      <w:r>
        <w:rPr>
          <w:sz w:val="28"/>
        </w:rPr>
        <w:t xml:space="preserve"> </w:t>
      </w:r>
    </w:p>
    <w:p w14:paraId="75687CC6"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COMMENTS ON DRAFT GENERAL COMMENT NO. 38 ON ARTICLE 22 OF THE INTERNATIONAL COVENANT ON CIVIL AND POLITICAL RIGHTS: THE RIGHT TO FREEDOM OF ASSOCIATION</w:t>
      </w:r>
    </w:p>
    <w:p w14:paraId="4487ADCB"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Submitted by: Gender Empowerment Movement Tigray (GEM Tigray)</w:t>
      </w:r>
    </w:p>
    <w:p w14:paraId="242313F3"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June 22, 2026</w:t>
      </w:r>
    </w:p>
    <w:p w14:paraId="70C10487"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I. Introduction</w:t>
      </w:r>
    </w:p>
    <w:p w14:paraId="37D7922D"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Gender Empowerment Movement Tigray (GEM Tigray) welcomes the opportunity to provide comments on the Human Rights Committee's Draft General Comment No. 38 on Article 22 of the International Covenant on Civil and Political Rights concerning the right to freedom of association.</w:t>
      </w:r>
    </w:p>
    <w:p w14:paraId="640F87CF"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GEM Tigray is a movement for the social, economic, and political empowerment of women and girls in Tigray, Ethiopia.</w:t>
      </w:r>
    </w:p>
    <w:p w14:paraId="42DA0AA2"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The experiences of civil society organizations operating during and after the war in Tigray demonstrate the fundamental importance of robust protection of freedom of association in situations of war, humanitarian emergencies, and fragile transitions. Throughout the war and in fragile peace in Tigray, local civil society organizations, women's organizations and movements, humanitarian actors, victims' groups, journalists, and human rights defenders have faced numerous challenges, including insecurity, communications blackouts, blockade, intimidation, and reprisals. Such challenges have undermined efforts to document violations, provide humanitarian assistance, support survivors, and contribute to peacebuilding and accountability processes.</w:t>
      </w:r>
    </w:p>
    <w:p w14:paraId="41D6BB0C"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GEM Tigray welcomes the comprehensive nature of the draft General Comment and respectfully offers the following recommendations.</w:t>
      </w:r>
    </w:p>
    <w:p w14:paraId="65D29F29"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Comments on Specific Paragraphs</w:t>
      </w:r>
    </w:p>
    <w:p w14:paraId="5C30E5FF"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Paragraphs 9–10: Protection of Marginalized Groups and Dissenting Voices</w:t>
      </w:r>
    </w:p>
    <w:p w14:paraId="5AF45C60"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GEM Tigray welcomes the explicit recognition of marginalized groups.</w:t>
      </w:r>
    </w:p>
    <w:p w14:paraId="6B88A890"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However, the draft could further recognize the particular vulnerabilities faced by groups operating in war and post-war settings.</w:t>
      </w:r>
    </w:p>
    <w:p w14:paraId="74B78668"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GEM Tigray recommends adding the following sentence after paragraph 9:</w:t>
      </w:r>
    </w:p>
    <w:p w14:paraId="3FAC4BC7"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"Particular attention should be given to organizations and movements operating in war-affected and post-war settings, including women-led organizations and movements, victims' associations, associations of internally displaced persons, survivors' groups, as well as organizations and movements documenting human rights violations."</w:t>
      </w:r>
    </w:p>
    <w:p w14:paraId="4FE3DED8"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Organizations and movements representing war survivors, internally displaced persons (IDPs), and victims of gross human rights violations often operate under heightened security risks and political pressure. In Tigray, women-led organizations, movements, and survivor networks have played a crucial role in documenting conflict-related sexual violence, supporting survivors, and advocating for justice and accountability despite insecurity and fear of reprisals.</w:t>
      </w:r>
    </w:p>
    <w:p w14:paraId="73E8DE3B"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Paragraph 11: Digital Civic Space and Communications Shutdowns</w:t>
      </w:r>
    </w:p>
    <w:p w14:paraId="47A26E80"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GEM Tigray strongly welcomes the recognition that internet shutdowns, digital surveillance, and restrictions on digital tools negatively affect freedom of association.</w:t>
      </w:r>
    </w:p>
    <w:p w14:paraId="3D760216"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The Committee should explicitly address prolonged telecommunications and internet shutdowns, particularly during wars.</w:t>
      </w:r>
    </w:p>
    <w:p w14:paraId="733ADACF"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GEM Tigray recommends adding the following sentence to paragraph 11:</w:t>
      </w:r>
    </w:p>
    <w:p w14:paraId="33E928B7"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"Prolonged or widespread internet and telecommunications shutdowns, particularly during wars or states of emergency, severely impair the exercise of freedom of association and should be presumed incompatible with article 22 unless strictly justified under articles 4 and 22(2) of the Covenant."</w:t>
      </w:r>
    </w:p>
    <w:p w14:paraId="12CBD584"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During the war in Tigray, prolonged communications blackouts severely restricted the ability of civil society organizations and movements as well as human rights defenders to communicate with affected populations, coordinate humanitarian assistance, document violations, engage with international mechanisms, and advocate for the protection of civilians.</w:t>
      </w:r>
    </w:p>
    <w:p w14:paraId="30CAE50C"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Paragraphs 14–15: Access to Funding</w:t>
      </w:r>
    </w:p>
    <w:p w14:paraId="72C1CAC2"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GEM Tigray welcomes the strong protection afforded to the right of associations to seek, receive, and use resources, including foreign funding.</w:t>
      </w:r>
    </w:p>
    <w:p w14:paraId="0F8C66AC"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The Committee should further clarify that humanitarian, human rights, peacebuilding, and women's rights organizations and movements operating in war settings should not face arbitrary funding restrictions.</w:t>
      </w:r>
    </w:p>
    <w:p w14:paraId="184B8112"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GEM Tigray recommends adding the following language:</w:t>
      </w:r>
    </w:p>
    <w:p w14:paraId="23A345F0"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"States Parties should not arbitrarily impede humanitarian, human rights, women's rights, peacebuilding, or survivor-led organizations and movements from accessing domestic or international funding, particularly in war and post-war settings where such funding may be indispensable for their existence and operations."</w:t>
      </w:r>
    </w:p>
    <w:p w14:paraId="49BEDD15"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In Tigray, local organizations and movements  rely upon international funding to deliver humanitarian assistance, psychosocial support, protection services, and peacebuilding initiatives.</w:t>
      </w:r>
    </w:p>
    <w:p w14:paraId="3A3440C0"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Paragraphs 29–32: Extraterritorial Obligations, Reprisals and Conflict Settings</w:t>
      </w:r>
    </w:p>
    <w:p w14:paraId="01A4E297"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GEM Tigray welcomes the recognition of extraterritorial obligations and the prohibition of transnational repression.</w:t>
      </w:r>
    </w:p>
    <w:p w14:paraId="2D95705B"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The Committee should further clarify that all parties exercising effective control over territory must respect and facilitate freedom of association.</w:t>
      </w:r>
    </w:p>
    <w:p w14:paraId="5904210F"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GEM Tigray recommends inserting the following sentence after paragraph 29:</w:t>
      </w:r>
    </w:p>
    <w:p w14:paraId="0E75252A"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"States and all actors exercising effective control over territory during war remain obligated to respect and facilitate the activities of humanitarian organizations, human rights organizations, and community-based associations."</w:t>
      </w:r>
    </w:p>
    <w:p w14:paraId="3F1F7CEC"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GEM Tigray further recommends strengthening paragraph 30 by adding:</w:t>
      </w:r>
    </w:p>
    <w:p w14:paraId="36083A35"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"States Parties must prevent and investigate intimidation, threats, arbitrary detention, enforced disappearance, conflict related sexual violence, and reprisals against members of associations, particularly women human rights defenders, journalists, humanitarian workers, and those documenting serious human rights violations."</w:t>
      </w:r>
    </w:p>
    <w:p w14:paraId="74ADE03D"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The situation in Tigray illustrates the importance of such protections. Human rights defenders, journalists, humanitarian workers, and civil society actors have operated in an environment characterized by insecurity, intimidation, fear of reprisals, and shrinking civic space. These conditions have hindered the ability of groups and movements to function freely and independently.</w:t>
      </w:r>
    </w:p>
    <w:p w14:paraId="4D806DF5"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Paragraphs 33–40: Positive Obligations and Enabling Environment</w:t>
      </w:r>
    </w:p>
    <w:p w14:paraId="53073C20"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GEM Tigray strongly welcomes the draft's emphasis on States Parties' positive obligations to create an enabling environment for associations.</w:t>
      </w:r>
    </w:p>
    <w:p w14:paraId="579A7595"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The Committee should expressly recognize the indispensable role of local civil society organizations and movements in conflict and post-conflict settings.</w:t>
      </w:r>
    </w:p>
    <w:p w14:paraId="5B9DCCCA"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GEM Tigray recommends adding the following language to paragraph 33:</w:t>
      </w:r>
    </w:p>
    <w:p w14:paraId="4FC63E4B"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"In conflict and post-conflict settings, States Parties should facilitate rather than obstruct the work of humanitarian organizations, victims' associations, survivor networks, women's organizations, movements, and local community-based organizations."</w:t>
      </w:r>
    </w:p>
    <w:p w14:paraId="0350A615"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Local organizations and movements in Tigray have provided critical humanitarian assistance, psychosocial support, services for survivors of conflict-related sexual violence, and documentation of human rights violations despite significant operational challenges.</w:t>
      </w:r>
    </w:p>
    <w:p w14:paraId="48001725"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The Committee should also recognize that cumulative restrictions imposed by both state and non-state actors may undermine civic space. In Tigray, local organizations and movements have reported operating under difficult conditions due to insecurity, political polarization, and pressure exerted by all actors.</w:t>
      </w:r>
    </w:p>
    <w:p w14:paraId="4684C407"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Paragraphs 52–56: Freedom of Association in Situations of Armed Conflict and Humanitarian Emergencies</w:t>
      </w:r>
    </w:p>
    <w:p w14:paraId="6E612C5D"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GEM Tigray strongly welcomes the inclusion of a dedicated section addressing situations of armed conflict, occupation, and humanitarian emergencies.</w:t>
      </w:r>
    </w:p>
    <w:p w14:paraId="20EFD43D"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The experiences of Tigray demonstrate that war frequently creates conditions in which freedom of association is severely curtailed. Humanitarian organizations, women's organizations, victims' groups, journalists, and community-based associations may face insecurity, restrictions on access, intimidation, reprisals, and interference by national and local actors alike.</w:t>
      </w:r>
    </w:p>
    <w:p w14:paraId="2BADE394"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GEM Tigray recommends adding the following sentence to paragraph 53:</w:t>
      </w:r>
    </w:p>
    <w:p w14:paraId="4900802E"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"Local civil society organizations, community-based organizations, and movements are indispensable actors in delivering humanitarian assistance, documenting violations, promoting social cohesion, and supporting peacebuilding during armed conflict."</w:t>
      </w:r>
    </w:p>
    <w:p w14:paraId="33422F44"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GEM Tigray further recommends adding the following sentence to paragraph 56:</w:t>
      </w:r>
    </w:p>
    <w:p w14:paraId="0D1C1348"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"State Parties and local authorities must ensure that humanitarian and human rights organizations and movements as well as humanitarians and human rights defenders are able to operate safely, independently, and without undue interference in conflict-affected areas."</w:t>
      </w:r>
    </w:p>
    <w:p w14:paraId="091C60E4"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The war in Tigray demonstrated that restrictions on humanitarian access, insecurity, and constraints on civic actors significantly affected civilian protection and access to assistance.</w:t>
      </w:r>
    </w:p>
    <w:p w14:paraId="20BDB2FE"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Proposed New Paragraph after Paragraph 56</w:t>
      </w:r>
    </w:p>
    <w:p w14:paraId="28887B8A"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GEM Tigray respectfully recommends the inclusion of a new paragraph after paragraph 56:</w:t>
      </w:r>
    </w:p>
    <w:p w14:paraId="16F818A1"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"In situations of armed conflict and post-conflict transition, States Parties and all actors exercising effective control over territory should ensure that associations, including victims' groups, women's organizations, humanitarian organizations, journalists' associations, and human rights organizations, are able to operate freely and safely. Any intimidation, reprisals, arbitrary detention, threats, violence, or interference directed at such organizations contravenes with article 22."</w:t>
      </w:r>
    </w:p>
    <w:p w14:paraId="46D59481"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The Committee should also recognize that conflict-affected populations, including internally displaced persons, survivors of sexual and gender-based violence, and victims of gross human rights violations, must be able to establish and participate in associations dedicated to truth-seeking, reparations, memorialization, advocacy, and participation in peace and justice processes without fear of retaliation.</w:t>
      </w:r>
    </w:p>
    <w:p w14:paraId="0AAF05AA" w14:textId="77777777" w:rsidR="00352D2F" w:rsidRDefault="00352D2F">
      <w:pPr>
        <w:pStyle w:val="NormalWeb"/>
        <w:spacing w:before="240" w:beforeAutospacing="0" w:after="240" w:afterAutospacing="0"/>
        <w:jc w:val="both"/>
        <w:divId w:val="534544096"/>
      </w:pPr>
      <w:r>
        <w:rPr>
          <w:rFonts w:ascii="Arial" w:hAnsi="Arial" w:cs="Arial"/>
          <w:b/>
          <w:bCs/>
          <w:color w:val="000000"/>
          <w:sz w:val="22"/>
          <w:szCs w:val="22"/>
        </w:rPr>
        <w:t>Conclusion</w:t>
      </w:r>
    </w:p>
    <w:p w14:paraId="7778F457"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GEM Tigray respectfully urges the Human Rights Committee to strengthen the Draft General Comment by:</w:t>
      </w:r>
    </w:p>
    <w:p w14:paraId="7642A689"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 Explicitly recognizing the indispensable role of civil society organizations and movements as well as humanitarians and human rights defenders in conflict and post-conflict settings;</w:t>
      </w:r>
    </w:p>
    <w:p w14:paraId="75FBDC6A"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 Strengthening protections for women human rights defenders, humanitarian workers, victims' associations, and survivor-led organizations and defenders;</w:t>
      </w:r>
    </w:p>
    <w:p w14:paraId="5A43B815"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 Clarifying that communications shutdowns and arbitrary restrictions on humanitarian and human rights organizations and movements contravene Article 22;</w:t>
      </w:r>
    </w:p>
    <w:p w14:paraId="72F9D4EB"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 Reinforcing States Parties' obligations to ensure an enabling environment for local organizations and movements operating during armed conflicts and humanitarian emergencies; and</w:t>
      </w:r>
    </w:p>
    <w:p w14:paraId="756A2CA9"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 Recognizing the right of conflict-affected populations to organize for purposes of truth-seeking, accountability, reparations, and peacebuilding.</w:t>
      </w:r>
    </w:p>
    <w:p w14:paraId="054041D0" w14:textId="77777777" w:rsidR="00352D2F" w:rsidRDefault="00352D2F">
      <w:pPr>
        <w:pStyle w:val="NormalWeb"/>
        <w:spacing w:before="240" w:beforeAutospacing="0" w:after="240" w:afterAutospacing="0"/>
        <w:jc w:val="both"/>
        <w:divId w:val="534544096"/>
      </w:pPr>
      <w:r>
        <w:rPr>
          <w:rFonts w:ascii="Arial" w:hAnsi="Arial" w:cs="Arial"/>
          <w:color w:val="000000"/>
          <w:sz w:val="22"/>
          <w:szCs w:val="22"/>
        </w:rPr>
        <w:t>Such additions would significantly strengthen the General Comment and ensure that it responds to contemporary challenges faced by associations operating in situations of war, humanitarian crises, and democratic transition.</w:t>
      </w:r>
    </w:p>
    <w:p w14:paraId="59537CFA" w14:textId="7B61E3AE" w:rsidR="00A15242" w:rsidRDefault="00A15242" w:rsidP="00352D2F">
      <w:pPr>
        <w:pStyle w:val="NormalWeb"/>
        <w:spacing w:before="240" w:beforeAutospacing="0" w:after="240" w:afterAutospacing="0"/>
        <w:divId w:val="738674719"/>
      </w:pPr>
    </w:p>
    <w:sectPr w:rsidR="00A15242">
      <w:pgSz w:w="12240" w:h="15840"/>
      <w:pgMar w:top="1440" w:right="1801" w:bottom="1440" w:left="18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2A0"/>
    <w:rsid w:val="001C13D9"/>
    <w:rsid w:val="003125F1"/>
    <w:rsid w:val="00352D2F"/>
    <w:rsid w:val="005322A0"/>
    <w:rsid w:val="00911A1D"/>
    <w:rsid w:val="00A15242"/>
    <w:rsid w:val="00D53A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E912C0"/>
  <w15:docId w15:val="{16AD9699-0BAA-BD43-9866-9965C235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38" w:lineRule="auto"/>
      <w:ind w:left="10" w:hanging="10"/>
      <w:jc w:val="both"/>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0" w:line="259" w:lineRule="auto"/>
      <w:ind w:left="2"/>
      <w:jc w:val="center"/>
      <w:outlineLvl w:val="0"/>
    </w:pPr>
    <w:rPr>
      <w:rFonts w:ascii="Times New Roman" w:eastAsia="Times New Roman" w:hAnsi="Times New Roman" w:cs="Times New Roman"/>
      <w:i/>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i/>
      <w:color w:val="000000"/>
      <w:sz w:val="32"/>
    </w:rPr>
  </w:style>
  <w:style w:type="paragraph" w:styleId="NormalWeb">
    <w:name w:val="Normal (Web)"/>
    <w:basedOn w:val="Normal"/>
    <w:uiPriority w:val="99"/>
    <w:unhideWhenUsed/>
    <w:rsid w:val="00A15242"/>
    <w:pPr>
      <w:spacing w:before="100" w:beforeAutospacing="1" w:after="100" w:afterAutospacing="1" w:line="240" w:lineRule="auto"/>
      <w:ind w:left="0" w:firstLine="0"/>
      <w:jc w:val="left"/>
    </w:pPr>
    <w:rPr>
      <w:rFonts w:eastAsiaTheme="minorEastAsia"/>
      <w:color w:val="auto"/>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674719">
      <w:bodyDiv w:val="1"/>
      <w:marLeft w:val="0"/>
      <w:marRight w:val="0"/>
      <w:marTop w:val="0"/>
      <w:marBottom w:val="0"/>
      <w:divBdr>
        <w:top w:val="none" w:sz="0" w:space="0" w:color="auto"/>
        <w:left w:val="none" w:sz="0" w:space="0" w:color="auto"/>
        <w:bottom w:val="none" w:sz="0" w:space="0" w:color="auto"/>
        <w:right w:val="none" w:sz="0" w:space="0" w:color="auto"/>
      </w:divBdr>
      <w:divsChild>
        <w:div w:id="5345440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CD96973A-2B15-4760-ABC9-89DC3C4E3F8F}"/>
</file>

<file path=customXml/itemProps2.xml><?xml version="1.0" encoding="utf-8"?>
<ds:datastoreItem xmlns:ds="http://schemas.openxmlformats.org/officeDocument/2006/customXml" ds:itemID="{E9F278CE-26B8-4CFD-9A90-1315C229BB3A}"/>
</file>

<file path=customXml/itemProps3.xml><?xml version="1.0" encoding="utf-8"?>
<ds:datastoreItem xmlns:ds="http://schemas.openxmlformats.org/officeDocument/2006/customXml" ds:itemID="{1D5BE1BA-CB9C-4A05-AC6E-C2CDCA2725B5}"/>
</file>

<file path=docProps/app.xml><?xml version="1.0" encoding="utf-8"?>
<Properties xmlns="http://schemas.openxmlformats.org/officeDocument/2006/extended-properties" xmlns:vt="http://schemas.openxmlformats.org/officeDocument/2006/docPropsVTypes">
  <Template>Normal</Template>
  <TotalTime>8</TotalTime>
  <Pages>1</Pages>
  <Words>1656</Words>
  <Characters>9440</Characters>
  <Application>Microsoft Office Word</Application>
  <DocSecurity>0</DocSecurity>
  <Lines>78</Lines>
  <Paragraphs>22</Paragraphs>
  <ScaleCrop>false</ScaleCrop>
  <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Batseba Seifu</cp:lastModifiedBy>
  <cp:revision>6</cp:revision>
  <dcterms:created xsi:type="dcterms:W3CDTF">2026-06-24T05:14:00Z</dcterms:created>
  <dcterms:modified xsi:type="dcterms:W3CDTF">2026-06-24T05:20:00Z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