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16336" w14:textId="77777777" w:rsidR="00A54E8B" w:rsidRPr="00FE2588" w:rsidRDefault="00A54E8B" w:rsidP="00B0207F">
      <w:pPr>
        <w:jc w:val="center"/>
        <w:rPr>
          <w:rFonts w:ascii="Times New Roman" w:hAnsi="Times New Roman" w:cs="Times New Roman"/>
          <w:b/>
          <w:bCs/>
        </w:rPr>
      </w:pPr>
    </w:p>
    <w:p w14:paraId="205D4AAE" w14:textId="7929566F" w:rsidR="00FE2588" w:rsidRDefault="00B0207F" w:rsidP="00033C8F">
      <w:pPr>
        <w:jc w:val="center"/>
        <w:rPr>
          <w:rFonts w:ascii="Times New Roman" w:hAnsi="Times New Roman" w:cs="Times New Roman"/>
          <w:b/>
          <w:bCs/>
          <w:lang w:val="en-US"/>
        </w:rPr>
      </w:pPr>
      <w:r w:rsidRPr="00FE2588">
        <w:rPr>
          <w:rFonts w:ascii="Times New Roman" w:hAnsi="Times New Roman" w:cs="Times New Roman"/>
          <w:b/>
          <w:bCs/>
          <w:lang w:val="en-US"/>
        </w:rPr>
        <w:t>Contribution to the Call for Comments of the Draft General Comment No. 38 on Article 22 (Freedom of Association) of the International Covenant on Civil and Political Rights</w:t>
      </w:r>
    </w:p>
    <w:p w14:paraId="2B05EB3D" w14:textId="77777777" w:rsidR="00033C8F" w:rsidRPr="00033C8F" w:rsidRDefault="00033C8F" w:rsidP="00033C8F">
      <w:pPr>
        <w:jc w:val="center"/>
        <w:rPr>
          <w:rFonts w:ascii="Times New Roman" w:hAnsi="Times New Roman" w:cs="Times New Roman"/>
          <w:b/>
          <w:bCs/>
          <w:lang w:val="en-US"/>
        </w:rPr>
      </w:pPr>
    </w:p>
    <w:p w14:paraId="4C60DCE3" w14:textId="651F3461" w:rsidR="00B0207F" w:rsidRPr="00FE2588" w:rsidRDefault="00B0207F" w:rsidP="00033C8F">
      <w:pPr>
        <w:jc w:val="both"/>
        <w:rPr>
          <w:rFonts w:ascii="Times New Roman" w:hAnsi="Times New Roman" w:cs="Times New Roman"/>
          <w:lang w:val="en-US"/>
        </w:rPr>
      </w:pPr>
      <w:r w:rsidRPr="00B0207F">
        <w:rPr>
          <w:rFonts w:ascii="Times New Roman" w:hAnsi="Times New Roman" w:cs="Times New Roman"/>
          <w:lang w:val="en-US"/>
        </w:rPr>
        <w:t>The Center for Reproductive Rights submit</w:t>
      </w:r>
      <w:r w:rsidR="00033C8F">
        <w:rPr>
          <w:rFonts w:ascii="Times New Roman" w:hAnsi="Times New Roman" w:cs="Times New Roman"/>
          <w:lang w:val="en-US"/>
        </w:rPr>
        <w:t>s</w:t>
      </w:r>
      <w:r w:rsidRPr="00B0207F">
        <w:rPr>
          <w:rFonts w:ascii="Times New Roman" w:hAnsi="Times New Roman" w:cs="Times New Roman"/>
          <w:lang w:val="en-US"/>
        </w:rPr>
        <w:t xml:space="preserve"> the following comments to the </w:t>
      </w:r>
      <w:r>
        <w:rPr>
          <w:rFonts w:ascii="Times New Roman" w:hAnsi="Times New Roman" w:cs="Times New Roman"/>
          <w:lang w:val="en-US"/>
        </w:rPr>
        <w:t xml:space="preserve">Human Rights Committee on the draft of General Comment No. 38 on Article 22 (Freedom of Association) of the International Covenant on Civil and Political Rights. </w:t>
      </w:r>
    </w:p>
    <w:p w14:paraId="49CFBF81" w14:textId="0BB1A85A" w:rsidR="00B0207F" w:rsidRPr="00FE2588" w:rsidRDefault="00B0207F" w:rsidP="00FE2588">
      <w:pPr>
        <w:pStyle w:val="ListParagraph"/>
        <w:numPr>
          <w:ilvl w:val="0"/>
          <w:numId w:val="1"/>
        </w:numPr>
        <w:jc w:val="both"/>
        <w:rPr>
          <w:rFonts w:ascii="Times New Roman" w:hAnsi="Times New Roman" w:cs="Times New Roman"/>
          <w:b/>
          <w:bCs/>
          <w:lang w:val="en-US"/>
        </w:rPr>
      </w:pPr>
      <w:r w:rsidRPr="00FE2588">
        <w:rPr>
          <w:rFonts w:ascii="Times New Roman" w:hAnsi="Times New Roman" w:cs="Times New Roman"/>
          <w:b/>
          <w:bCs/>
          <w:lang w:val="en-US"/>
        </w:rPr>
        <w:t xml:space="preserve">Proposed inclusion in paragraph 30: </w:t>
      </w:r>
    </w:p>
    <w:p w14:paraId="71FAA07F" w14:textId="0A6A8D7A" w:rsidR="00B0207F" w:rsidRPr="00FE2588" w:rsidRDefault="00B0207F" w:rsidP="00FE2588">
      <w:pPr>
        <w:jc w:val="both"/>
        <w:rPr>
          <w:rFonts w:ascii="Times New Roman" w:hAnsi="Times New Roman" w:cs="Times New Roman"/>
          <w:lang w:val="en-US"/>
        </w:rPr>
      </w:pPr>
      <w:r w:rsidRPr="00FE2588">
        <w:rPr>
          <w:rFonts w:ascii="Times New Roman" w:hAnsi="Times New Roman" w:cs="Times New Roman"/>
          <w:lang w:val="en-US"/>
        </w:rPr>
        <w:t>W</w:t>
      </w:r>
      <w:r w:rsidR="00FE2588">
        <w:rPr>
          <w:rFonts w:ascii="Times New Roman" w:hAnsi="Times New Roman" w:cs="Times New Roman"/>
          <w:lang w:val="en-US"/>
        </w:rPr>
        <w:t>hen the paragraph refers to reprisals and harassment, w</w:t>
      </w:r>
      <w:r w:rsidRPr="00FE2588">
        <w:rPr>
          <w:rFonts w:ascii="Times New Roman" w:hAnsi="Times New Roman" w:cs="Times New Roman"/>
          <w:lang w:val="en-US"/>
        </w:rPr>
        <w:t>e suggest including</w:t>
      </w:r>
      <w:r w:rsidR="00FE2588">
        <w:rPr>
          <w:rFonts w:ascii="Times New Roman" w:hAnsi="Times New Roman" w:cs="Times New Roman"/>
          <w:lang w:val="en-US"/>
        </w:rPr>
        <w:t xml:space="preserve"> gender-based violence in the following way</w:t>
      </w:r>
      <w:r w:rsidRPr="00FE2588">
        <w:rPr>
          <w:rFonts w:ascii="Times New Roman" w:hAnsi="Times New Roman" w:cs="Times New Roman"/>
          <w:lang w:val="en-US"/>
        </w:rPr>
        <w:t xml:space="preserve">: </w:t>
      </w:r>
    </w:p>
    <w:p w14:paraId="12481281" w14:textId="5988066C" w:rsidR="00B0207F" w:rsidRPr="00FE2588" w:rsidRDefault="00FE2588" w:rsidP="00FE2588">
      <w:pPr>
        <w:jc w:val="both"/>
        <w:rPr>
          <w:rFonts w:ascii="Times New Roman" w:hAnsi="Times New Roman" w:cs="Times New Roman"/>
          <w:lang w:val="en-US"/>
        </w:rPr>
      </w:pPr>
      <w:r w:rsidRPr="4E10B245">
        <w:rPr>
          <w:rFonts w:ascii="Times New Roman" w:hAnsi="Times New Roman" w:cs="Times New Roman"/>
          <w:lang w:val="en-US"/>
        </w:rPr>
        <w:t xml:space="preserve">30. </w:t>
      </w:r>
      <w:r w:rsidR="00B0207F" w:rsidRPr="4E10B245">
        <w:rPr>
          <w:rFonts w:ascii="Times New Roman" w:hAnsi="Times New Roman" w:cs="Times New Roman"/>
          <w:lang w:val="en-US"/>
        </w:rPr>
        <w:t xml:space="preserve">(…) reprisals, </w:t>
      </w:r>
      <w:r w:rsidR="00B0207F" w:rsidRPr="4E10B245">
        <w:rPr>
          <w:rFonts w:ascii="Times New Roman" w:hAnsi="Times New Roman" w:cs="Times New Roman"/>
          <w:b/>
          <w:bCs/>
          <w:lang w:val="en-US"/>
        </w:rPr>
        <w:t>harassment, gender-based violence, including sexual violence, sexualized threats and intimidation directed against</w:t>
      </w:r>
      <w:r w:rsidR="00B0207F" w:rsidRPr="4E10B245">
        <w:rPr>
          <w:rFonts w:ascii="Times New Roman" w:hAnsi="Times New Roman" w:cs="Times New Roman"/>
          <w:lang w:val="en-US"/>
        </w:rPr>
        <w:t xml:space="preserve"> association members (...)</w:t>
      </w:r>
    </w:p>
    <w:p w14:paraId="78119D49" w14:textId="3E815915" w:rsidR="00B0207F" w:rsidRPr="00FE2588" w:rsidRDefault="00B0207F" w:rsidP="00FE2588">
      <w:pPr>
        <w:jc w:val="both"/>
        <w:rPr>
          <w:rFonts w:ascii="Times New Roman" w:hAnsi="Times New Roman" w:cs="Times New Roman"/>
          <w:b/>
          <w:bCs/>
          <w:i/>
          <w:iCs/>
          <w:lang w:val="en-US"/>
        </w:rPr>
      </w:pPr>
      <w:r w:rsidRPr="00FE2588">
        <w:rPr>
          <w:rFonts w:ascii="Times New Roman" w:hAnsi="Times New Roman" w:cs="Times New Roman"/>
          <w:b/>
          <w:bCs/>
          <w:i/>
          <w:iCs/>
          <w:lang w:val="en-US"/>
        </w:rPr>
        <w:t xml:space="preserve">Rationale: </w:t>
      </w:r>
    </w:p>
    <w:p w14:paraId="30EE1D87" w14:textId="77777777" w:rsidR="00FE2588" w:rsidRPr="00FE2588" w:rsidRDefault="00FE2588" w:rsidP="00FE2588">
      <w:pPr>
        <w:jc w:val="both"/>
        <w:rPr>
          <w:rFonts w:ascii="Times New Roman" w:hAnsi="Times New Roman" w:cs="Times New Roman"/>
          <w:lang w:val="en-US"/>
        </w:rPr>
      </w:pPr>
      <w:r w:rsidRPr="00FE2588">
        <w:rPr>
          <w:rFonts w:ascii="Times New Roman" w:hAnsi="Times New Roman" w:cs="Times New Roman"/>
          <w:lang w:val="en-US"/>
        </w:rPr>
        <w:t>This section should explicitly include gender-based violence, including sexual violence, sexualized threats and intimidation, among the forms of reprisals and harassment that are incompatible with article 22. Gender-based violence is frequently used to deter, punish, silence, or exclude individuals from participating in associations, particularly women human rights defenders, feminist organizations, and organizations working on sexual and reproductive health and rights, gender equality, and the rights of lesbian, gay, bisexual, transgender and intersex persons.</w:t>
      </w:r>
    </w:p>
    <w:p w14:paraId="39EF85AE" w14:textId="77777777" w:rsidR="00FE2588" w:rsidRPr="00FE2588" w:rsidRDefault="00FE2588" w:rsidP="00FE2588">
      <w:pPr>
        <w:jc w:val="both"/>
        <w:rPr>
          <w:rFonts w:ascii="Times New Roman" w:hAnsi="Times New Roman" w:cs="Times New Roman"/>
          <w:lang w:val="en-US"/>
        </w:rPr>
      </w:pPr>
      <w:r w:rsidRPr="00FE2588">
        <w:rPr>
          <w:rFonts w:ascii="Times New Roman" w:hAnsi="Times New Roman" w:cs="Times New Roman"/>
          <w:lang w:val="en-US"/>
        </w:rPr>
        <w:t>Such violence not only targets individuals because of their gender, but also seeks to undermine the activities, membership, leadership, and advocacy efforts of associations. As a result, it can have a chilling effect on participation in collective action and significantly impair the ability of associations to operate freely and effectively.</w:t>
      </w:r>
    </w:p>
    <w:p w14:paraId="34E8428C" w14:textId="77777777" w:rsidR="00FE2588" w:rsidRPr="00FE2588" w:rsidRDefault="00FE2588" w:rsidP="00FE2588">
      <w:pPr>
        <w:jc w:val="both"/>
        <w:rPr>
          <w:rFonts w:ascii="Times New Roman" w:hAnsi="Times New Roman" w:cs="Times New Roman"/>
          <w:lang w:val="en-US"/>
        </w:rPr>
      </w:pPr>
      <w:r w:rsidRPr="00FE2588">
        <w:rPr>
          <w:rFonts w:ascii="Times New Roman" w:hAnsi="Times New Roman" w:cs="Times New Roman"/>
          <w:lang w:val="en-US"/>
        </w:rPr>
        <w:t>The current draft does not refer to gender-based violence, despite its widespread use as a means of restricting civic space and interfering with the exercise of freedom of association. An explicit reference would help ensure that the General Comment reflects the gendered ways in which restrictions on freedom of association are experienced in practice and reinforces States parties’ obligations to prevent, investigate, punish and provide remedies for such acts.</w:t>
      </w:r>
    </w:p>
    <w:p w14:paraId="6F6670EA" w14:textId="77777777" w:rsidR="00FE2588" w:rsidRPr="00FE2588" w:rsidRDefault="00FE2588" w:rsidP="00FE2588">
      <w:pPr>
        <w:jc w:val="both"/>
        <w:rPr>
          <w:rFonts w:ascii="Times New Roman" w:hAnsi="Times New Roman" w:cs="Times New Roman"/>
          <w:b/>
          <w:bCs/>
          <w:lang w:val="en-US"/>
        </w:rPr>
      </w:pPr>
    </w:p>
    <w:p w14:paraId="5A5D342E" w14:textId="13A9AD34" w:rsidR="00FE2588" w:rsidRPr="00FE2588" w:rsidRDefault="00B0207F" w:rsidP="00FE2588">
      <w:pPr>
        <w:pStyle w:val="ListParagraph"/>
        <w:numPr>
          <w:ilvl w:val="0"/>
          <w:numId w:val="1"/>
        </w:numPr>
        <w:jc w:val="both"/>
        <w:rPr>
          <w:rFonts w:ascii="Times New Roman" w:hAnsi="Times New Roman" w:cs="Times New Roman"/>
          <w:b/>
          <w:bCs/>
          <w:lang w:val="en-US"/>
        </w:rPr>
      </w:pPr>
      <w:r w:rsidRPr="00FE2588">
        <w:rPr>
          <w:rFonts w:ascii="Times New Roman" w:hAnsi="Times New Roman" w:cs="Times New Roman"/>
          <w:b/>
          <w:bCs/>
          <w:lang w:val="en-US"/>
        </w:rPr>
        <w:t xml:space="preserve">Proposed inclusion after paragraph 35: </w:t>
      </w:r>
    </w:p>
    <w:p w14:paraId="4904EB23" w14:textId="24EF5C93" w:rsidR="00FE2588" w:rsidRDefault="00FE2588" w:rsidP="00FE2588">
      <w:pPr>
        <w:jc w:val="both"/>
        <w:rPr>
          <w:rFonts w:ascii="Times New Roman" w:hAnsi="Times New Roman" w:cs="Times New Roman"/>
          <w:lang w:val="en-US"/>
        </w:rPr>
      </w:pPr>
      <w:r>
        <w:rPr>
          <w:rFonts w:ascii="Times New Roman" w:hAnsi="Times New Roman" w:cs="Times New Roman"/>
          <w:lang w:val="en-US"/>
        </w:rPr>
        <w:t xml:space="preserve">We suggest including a paragraph after no. 35: </w:t>
      </w:r>
    </w:p>
    <w:p w14:paraId="33AC03D6" w14:textId="1A79C6D4" w:rsidR="00B0207F" w:rsidRPr="00FE2588" w:rsidRDefault="00FE2588" w:rsidP="188A4F29">
      <w:pPr>
        <w:jc w:val="both"/>
        <w:rPr>
          <w:rFonts w:ascii="Times New Roman" w:hAnsi="Times New Roman" w:cs="Times New Roman"/>
          <w:b/>
          <w:bCs/>
          <w:lang w:val="en-US"/>
        </w:rPr>
      </w:pPr>
      <w:r w:rsidRPr="188A4F29">
        <w:rPr>
          <w:rFonts w:ascii="Times New Roman" w:hAnsi="Times New Roman" w:cs="Times New Roman"/>
          <w:b/>
          <w:bCs/>
          <w:lang w:val="en-US"/>
        </w:rPr>
        <w:t>36.</w:t>
      </w:r>
      <w:r w:rsidRPr="188A4F29">
        <w:rPr>
          <w:rFonts w:ascii="Times New Roman" w:hAnsi="Times New Roman" w:cs="Times New Roman"/>
          <w:lang w:val="en-US"/>
        </w:rPr>
        <w:t xml:space="preserve"> </w:t>
      </w:r>
      <w:r w:rsidR="00B0207F" w:rsidRPr="188A4F29">
        <w:rPr>
          <w:rFonts w:ascii="Times New Roman" w:hAnsi="Times New Roman" w:cs="Times New Roman"/>
          <w:b/>
          <w:bCs/>
          <w:lang w:val="en-US"/>
        </w:rPr>
        <w:t xml:space="preserve">The Committee notes that women human rights defenders, feminist organizations, and defenders working on issues related to sexual orientation, gender identity and expression, and sex characteristics may face particular forms of violence and reprisals because of their associational activities, including gender-based violence, sexual violence, sexualized threats, online harassment, and other forms of discrimination and intimidation. States parties must take effective measures to prevent, investigate, punish and provide remedies for such acts. </w:t>
      </w:r>
    </w:p>
    <w:p w14:paraId="691BF6E4" w14:textId="0E99786C" w:rsidR="00B0207F" w:rsidRPr="00FE2588" w:rsidRDefault="00B0207F" w:rsidP="00FE2588">
      <w:pPr>
        <w:jc w:val="both"/>
        <w:rPr>
          <w:rFonts w:ascii="Times New Roman" w:hAnsi="Times New Roman" w:cs="Times New Roman"/>
          <w:lang w:val="en-US"/>
        </w:rPr>
      </w:pPr>
      <w:r w:rsidRPr="00FE2588">
        <w:rPr>
          <w:rFonts w:ascii="Times New Roman" w:hAnsi="Times New Roman" w:cs="Times New Roman"/>
          <w:lang w:val="en-US"/>
        </w:rPr>
        <w:t xml:space="preserve">An alternative could be to include another sentence within paragraph 35: </w:t>
      </w:r>
    </w:p>
    <w:p w14:paraId="70DB73F9" w14:textId="7416E9AF" w:rsidR="00B0207F" w:rsidRPr="00FE2588" w:rsidRDefault="00B0207F" w:rsidP="00FE2588">
      <w:pPr>
        <w:jc w:val="both"/>
        <w:rPr>
          <w:rFonts w:ascii="Times New Roman" w:hAnsi="Times New Roman" w:cs="Times New Roman"/>
          <w:lang w:val="en-US"/>
        </w:rPr>
      </w:pPr>
      <w:r w:rsidRPr="188A4F29">
        <w:rPr>
          <w:rFonts w:ascii="Times New Roman" w:hAnsi="Times New Roman" w:cs="Times New Roman"/>
          <w:lang w:val="en-US"/>
        </w:rPr>
        <w:t xml:space="preserve">(…) they are also obliged to address hostile actions, discourses and narratives, including online, vis-à-vis associations and their members, whether they emanate from public figures or private persons or actors. </w:t>
      </w:r>
      <w:r w:rsidRPr="188A4F29">
        <w:rPr>
          <w:rFonts w:ascii="Times New Roman" w:hAnsi="Times New Roman" w:cs="Times New Roman"/>
          <w:b/>
          <w:bCs/>
          <w:lang w:val="en-US"/>
        </w:rPr>
        <w:t>This obligation includes addressing gender-based violence, including sexual violence, sexualized threats, harassment, intimidation and other gender-specific forms of attack directed at association members because of their associational activities</w:t>
      </w:r>
      <w:r w:rsidRPr="188A4F29">
        <w:rPr>
          <w:rFonts w:ascii="Times New Roman" w:hAnsi="Times New Roman" w:cs="Times New Roman"/>
          <w:lang w:val="en-US"/>
        </w:rPr>
        <w:t>.</w:t>
      </w:r>
      <w:r w:rsidR="00033C8F" w:rsidRPr="188A4F29">
        <w:rPr>
          <w:rFonts w:ascii="Times New Roman" w:hAnsi="Times New Roman" w:cs="Times New Roman"/>
          <w:lang w:val="en-US"/>
        </w:rPr>
        <w:t xml:space="preserve"> (…)</w:t>
      </w:r>
    </w:p>
    <w:p w14:paraId="02E77042" w14:textId="186B1ACD" w:rsidR="00B0207F" w:rsidRPr="00FE2588" w:rsidRDefault="00B0207F" w:rsidP="00FE2588">
      <w:pPr>
        <w:jc w:val="both"/>
        <w:rPr>
          <w:rFonts w:ascii="Times New Roman" w:hAnsi="Times New Roman" w:cs="Times New Roman"/>
          <w:b/>
          <w:bCs/>
          <w:i/>
          <w:iCs/>
          <w:lang w:val="en-US"/>
        </w:rPr>
      </w:pPr>
      <w:r w:rsidRPr="00FE2588">
        <w:rPr>
          <w:rFonts w:ascii="Times New Roman" w:hAnsi="Times New Roman" w:cs="Times New Roman"/>
          <w:b/>
          <w:bCs/>
          <w:i/>
          <w:iCs/>
          <w:lang w:val="en-US"/>
        </w:rPr>
        <w:t xml:space="preserve">Rationale: </w:t>
      </w:r>
    </w:p>
    <w:p w14:paraId="43D92385" w14:textId="4BA0468A" w:rsidR="00033C8F" w:rsidRPr="00033C8F" w:rsidRDefault="00033C8F" w:rsidP="00033C8F">
      <w:pPr>
        <w:jc w:val="both"/>
        <w:rPr>
          <w:rFonts w:ascii="Times New Roman" w:hAnsi="Times New Roman" w:cs="Times New Roman"/>
          <w:lang w:val="en-US"/>
        </w:rPr>
      </w:pPr>
      <w:r w:rsidRPr="00033C8F">
        <w:rPr>
          <w:rFonts w:ascii="Times New Roman" w:hAnsi="Times New Roman" w:cs="Times New Roman"/>
          <w:lang w:val="en-US"/>
        </w:rPr>
        <w:t xml:space="preserve">This </w:t>
      </w:r>
      <w:r>
        <w:rPr>
          <w:rFonts w:ascii="Times New Roman" w:hAnsi="Times New Roman" w:cs="Times New Roman"/>
          <w:lang w:val="en-US"/>
        </w:rPr>
        <w:t>section</w:t>
      </w:r>
      <w:r w:rsidRPr="00033C8F">
        <w:rPr>
          <w:rFonts w:ascii="Times New Roman" w:hAnsi="Times New Roman" w:cs="Times New Roman"/>
          <w:lang w:val="en-US"/>
        </w:rPr>
        <w:t xml:space="preserve"> should reflect the specific forms of violence, reprisals and discrimination faced by women human rights defenders, feminist organizations, and organizations and defenders working on issues related to sexual orientation, gender identity and expression, and sex characteristics. These actors are frequently targeted because of both who they are and the causes they advocate, exposing them to gender-specific forms of violence that differ from those experienced by other association members.</w:t>
      </w:r>
    </w:p>
    <w:p w14:paraId="7C34702B" w14:textId="77777777" w:rsidR="00033C8F" w:rsidRPr="00033C8F" w:rsidRDefault="00033C8F" w:rsidP="00033C8F">
      <w:pPr>
        <w:jc w:val="both"/>
        <w:rPr>
          <w:rFonts w:ascii="Times New Roman" w:hAnsi="Times New Roman" w:cs="Times New Roman"/>
          <w:lang w:val="en-US"/>
        </w:rPr>
      </w:pPr>
      <w:r w:rsidRPr="00033C8F">
        <w:rPr>
          <w:rFonts w:ascii="Times New Roman" w:hAnsi="Times New Roman" w:cs="Times New Roman"/>
          <w:lang w:val="en-US"/>
        </w:rPr>
        <w:t>In many contexts, such violence includes sexual violence, sexualized threats, online harassment, smear campaigns, and other forms of intimidation designed to silence individuals, deter participation in associations, undermine organizational activities, and restrict civic space. These attacks are often perpetrated by both State and non-State actors and may be facilitated or exacerbated by hostile public discourse and stigmatizing narratives.</w:t>
      </w:r>
    </w:p>
    <w:p w14:paraId="014988A6" w14:textId="5EBF0435" w:rsidR="00B0207F" w:rsidRDefault="00033C8F" w:rsidP="00FE2588">
      <w:pPr>
        <w:jc w:val="both"/>
        <w:rPr>
          <w:rFonts w:ascii="Times New Roman" w:hAnsi="Times New Roman" w:cs="Times New Roman"/>
          <w:lang w:val="en-US"/>
        </w:rPr>
      </w:pPr>
      <w:r w:rsidRPr="00033C8F">
        <w:rPr>
          <w:rFonts w:ascii="Times New Roman" w:hAnsi="Times New Roman" w:cs="Times New Roman"/>
          <w:lang w:val="en-US"/>
        </w:rPr>
        <w:t>The draft currently recognizes States parties’ positive obligations to protect associations and their members from hostile actions and narratives. However, it does not explicitly acknowledge the gendered nature of many of these attacks or the heightened risks faced by certain groups of defenders and associations. An explicit reference would ensure that the General Comment reflects the lived realities of those most frequently targeted for their associational activities and clarifies that States parties must exercise due diligence to prevent, investigate, punish and provide remedies for gender-based violence and other gender-specific forms of attack that interfere with the exercise of freedom of association.</w:t>
      </w:r>
    </w:p>
    <w:p w14:paraId="6F66199A" w14:textId="3118BC80" w:rsidR="00033C8F" w:rsidRPr="00033C8F" w:rsidRDefault="00033C8F" w:rsidP="00FE2588">
      <w:pPr>
        <w:jc w:val="both"/>
        <w:rPr>
          <w:rFonts w:ascii="Times New Roman" w:hAnsi="Times New Roman" w:cs="Times New Roman"/>
          <w:lang w:val="en-US"/>
        </w:rPr>
      </w:pPr>
      <w:r w:rsidRPr="00033C8F">
        <w:rPr>
          <w:rFonts w:ascii="Times New Roman" w:hAnsi="Times New Roman" w:cs="Times New Roman"/>
          <w:lang w:val="en-US"/>
        </w:rPr>
        <w:t>Our preferred recommendation is the inclusion of a new paragraph following paragraph 35, as this would allow the Committee to explicitly recognize the particular forms of violence, reprisals and discrimination faced by women human rights defenders, feminist organizations, and defenders working on issues related to sexual orientation, gender identity and expression, and sex characteristics. Alternatively, at a minimum, we recommend incorporating the proposed language into paragraph 35 to ensure that the General Comment explicitly addresses gender-based violence and other gender-specific forms of attack that interfere with the exercise of freedom of association.</w:t>
      </w:r>
    </w:p>
    <w:p w14:paraId="6C3BEA67" w14:textId="14A7346E" w:rsidR="00FE2588" w:rsidRPr="00FE2588" w:rsidRDefault="00FE2588" w:rsidP="00FE2588">
      <w:pPr>
        <w:pStyle w:val="ListParagraph"/>
        <w:numPr>
          <w:ilvl w:val="0"/>
          <w:numId w:val="1"/>
        </w:numPr>
        <w:jc w:val="both"/>
        <w:rPr>
          <w:rFonts w:ascii="Times New Roman" w:hAnsi="Times New Roman" w:cs="Times New Roman"/>
          <w:b/>
          <w:bCs/>
          <w:lang w:val="en-US"/>
        </w:rPr>
      </w:pPr>
      <w:r w:rsidRPr="00FE2588">
        <w:rPr>
          <w:rFonts w:ascii="Times New Roman" w:hAnsi="Times New Roman" w:cs="Times New Roman"/>
          <w:b/>
          <w:bCs/>
          <w:lang w:val="en-US"/>
        </w:rPr>
        <w:t xml:space="preserve">Proposed inclusion after paragraph 53: </w:t>
      </w:r>
    </w:p>
    <w:p w14:paraId="7EF5E089" w14:textId="536DA84E" w:rsidR="00FE2588" w:rsidRDefault="00FE2588" w:rsidP="00FE2588">
      <w:pPr>
        <w:jc w:val="both"/>
        <w:rPr>
          <w:rFonts w:ascii="Times New Roman" w:hAnsi="Times New Roman" w:cs="Times New Roman"/>
          <w:lang w:val="en-US"/>
        </w:rPr>
      </w:pPr>
      <w:r>
        <w:rPr>
          <w:rFonts w:ascii="Times New Roman" w:hAnsi="Times New Roman" w:cs="Times New Roman"/>
          <w:lang w:val="en-US"/>
        </w:rPr>
        <w:t xml:space="preserve">We suggest including the following paragraph after no. 53: </w:t>
      </w:r>
    </w:p>
    <w:p w14:paraId="67E2794B" w14:textId="08729AD5" w:rsidR="00FE2588" w:rsidRPr="00FE2588" w:rsidRDefault="00FE2588" w:rsidP="188A4F29">
      <w:pPr>
        <w:jc w:val="both"/>
        <w:rPr>
          <w:rFonts w:ascii="Times New Roman" w:hAnsi="Times New Roman" w:cs="Times New Roman"/>
          <w:b/>
          <w:bCs/>
          <w:lang w:val="en-US"/>
        </w:rPr>
      </w:pPr>
      <w:r w:rsidRPr="188A4F29">
        <w:rPr>
          <w:rFonts w:ascii="Times New Roman" w:hAnsi="Times New Roman" w:cs="Times New Roman"/>
          <w:b/>
          <w:bCs/>
          <w:lang w:val="en-US"/>
        </w:rPr>
        <w:t xml:space="preserve">54. Measures adopted in the context of a state of emergency must not be used to impose undue restrictions on associations, including through limitations on access to funding, burdensome taxation schemes, registration requirements, or other measures that may have the effect of preventing associations from carrying out their legitimate activities. </w:t>
      </w:r>
    </w:p>
    <w:p w14:paraId="25808B1E" w14:textId="0AB7ED53" w:rsidR="00FE2588" w:rsidRPr="00FE2588" w:rsidRDefault="00FE2588" w:rsidP="00FE2588">
      <w:pPr>
        <w:jc w:val="both"/>
        <w:rPr>
          <w:rFonts w:ascii="Times New Roman" w:hAnsi="Times New Roman" w:cs="Times New Roman"/>
          <w:b/>
          <w:bCs/>
          <w:i/>
          <w:iCs/>
          <w:lang w:val="en-US"/>
        </w:rPr>
      </w:pPr>
      <w:r w:rsidRPr="00FE2588">
        <w:rPr>
          <w:rFonts w:ascii="Times New Roman" w:hAnsi="Times New Roman" w:cs="Times New Roman"/>
          <w:b/>
          <w:bCs/>
          <w:i/>
          <w:iCs/>
          <w:lang w:val="en-US"/>
        </w:rPr>
        <w:t xml:space="preserve">Rationale: </w:t>
      </w:r>
    </w:p>
    <w:p w14:paraId="2B3033E9" w14:textId="77777777" w:rsidR="00033C8F" w:rsidRPr="00033C8F" w:rsidRDefault="00033C8F" w:rsidP="00033C8F">
      <w:pPr>
        <w:jc w:val="both"/>
        <w:rPr>
          <w:rFonts w:ascii="Times New Roman" w:hAnsi="Times New Roman" w:cs="Times New Roman"/>
          <w:lang w:val="en-US"/>
        </w:rPr>
      </w:pPr>
      <w:r w:rsidRPr="00033C8F">
        <w:rPr>
          <w:rFonts w:ascii="Times New Roman" w:hAnsi="Times New Roman" w:cs="Times New Roman"/>
          <w:lang w:val="en-US"/>
        </w:rPr>
        <w:t>This section should explicitly recognize that measures adopted in the context of states of emergency may be used to impose undue restrictions on associations through limitations on access to funding, burdensome taxation schemes, registration requirements, and other administrative or financial measures that impede the ability of associations to carry out their legitimate activities.</w:t>
      </w:r>
    </w:p>
    <w:p w14:paraId="73443B12" w14:textId="77777777" w:rsidR="00033C8F" w:rsidRPr="00033C8F" w:rsidRDefault="00033C8F" w:rsidP="00033C8F">
      <w:pPr>
        <w:jc w:val="both"/>
        <w:rPr>
          <w:rFonts w:ascii="Times New Roman" w:hAnsi="Times New Roman" w:cs="Times New Roman"/>
          <w:lang w:val="en-US"/>
        </w:rPr>
      </w:pPr>
      <w:r w:rsidRPr="00033C8F">
        <w:rPr>
          <w:rFonts w:ascii="Times New Roman" w:hAnsi="Times New Roman" w:cs="Times New Roman"/>
          <w:lang w:val="en-US"/>
        </w:rPr>
        <w:t>While States may adopt exceptional measures in emergency situations, such measures must remain consistent with their obligations under the Covenant and may not be used to undermine civic space or suppress the activities of civil society organizations. Restrictions affecting the ability of associations to access resources, operate independently, and engage in advocacy can have a severe impact on the exercise of freedom of association and may not satisfy the requirements of necessity, proportionality, and, where applicable, strict compliance with article 4 of the Covenant.</w:t>
      </w:r>
    </w:p>
    <w:p w14:paraId="1B9B220B" w14:textId="77777777" w:rsidR="00033C8F" w:rsidRPr="00033C8F" w:rsidRDefault="00033C8F" w:rsidP="00033C8F">
      <w:pPr>
        <w:jc w:val="both"/>
        <w:rPr>
          <w:rFonts w:ascii="Times New Roman" w:hAnsi="Times New Roman" w:cs="Times New Roman"/>
          <w:lang w:val="en-US"/>
        </w:rPr>
      </w:pPr>
      <w:r w:rsidRPr="00033C8F">
        <w:rPr>
          <w:rFonts w:ascii="Times New Roman" w:hAnsi="Times New Roman" w:cs="Times New Roman"/>
          <w:lang w:val="en-US"/>
        </w:rPr>
        <w:t>Recent developments in different regions demonstrate the importance of clarifying this principle. In El Salvador, for example, authorities have adopted measures that significantly restrict civic space, including the Foreign Agents Law, which imposes a 30 per cent tax on foreign funding. These measures have reportedly led numerous organizations to cease operations or substantially curtail their activities, undermining the ability of civil society organizations to engage in human rights advocacy and public participation. Such developments illustrate the risk that emergency contexts may be used to justify restrictions on associations that are not strictly required by the exigencies of the situation.</w:t>
      </w:r>
    </w:p>
    <w:p w14:paraId="2975C741" w14:textId="61EC042E" w:rsidR="00033C8F" w:rsidRPr="00033C8F" w:rsidRDefault="00033C8F" w:rsidP="00033C8F">
      <w:pPr>
        <w:jc w:val="both"/>
        <w:rPr>
          <w:rFonts w:ascii="Times New Roman" w:hAnsi="Times New Roman" w:cs="Times New Roman"/>
          <w:lang w:val="en-US"/>
        </w:rPr>
      </w:pPr>
      <w:r w:rsidRPr="00033C8F">
        <w:rPr>
          <w:rFonts w:ascii="Times New Roman" w:hAnsi="Times New Roman" w:cs="Times New Roman"/>
          <w:lang w:val="en-US"/>
        </w:rPr>
        <w:t>The proposed addition would strengthen the General Comment by clarifying that emergency measures must not be used as a basis for imposing financial, administrative, or regulatory restrictions that effectively prevent associations from carrying out their legitimate activities. This concern has also been reflected in the observations and recommendations of other United Nations human rights mechanisms, including the Committee on the Elimination of Discrimination against Women in its recent concluding observations on El Salvador</w:t>
      </w:r>
      <w:r w:rsidR="00400DFC">
        <w:rPr>
          <w:rFonts w:ascii="Times New Roman" w:hAnsi="Times New Roman" w:cs="Times New Roman"/>
          <w:lang w:val="en-US"/>
        </w:rPr>
        <w:t>.</w:t>
      </w:r>
      <w:r w:rsidR="00400DFC">
        <w:rPr>
          <w:rStyle w:val="FootnoteReference"/>
          <w:rFonts w:ascii="Times New Roman" w:hAnsi="Times New Roman" w:cs="Times New Roman"/>
          <w:lang w:val="en-US"/>
        </w:rPr>
        <w:footnoteReference w:id="1"/>
      </w:r>
      <w:r w:rsidR="00400DFC">
        <w:rPr>
          <w:rFonts w:ascii="Times New Roman" w:hAnsi="Times New Roman" w:cs="Times New Roman"/>
          <w:lang w:val="en-US"/>
        </w:rPr>
        <w:t xml:space="preserve"> </w:t>
      </w:r>
      <w:r>
        <w:rPr>
          <w:rFonts w:ascii="Times New Roman" w:hAnsi="Times New Roman" w:cs="Times New Roman"/>
          <w:lang w:val="en-US"/>
        </w:rPr>
        <w:t>Also, a joint declaration by different human rights bodies, including UN Special Procedures refer to this matter.</w:t>
      </w:r>
      <w:r>
        <w:rPr>
          <w:rStyle w:val="FootnoteReference"/>
          <w:rFonts w:ascii="Times New Roman" w:hAnsi="Times New Roman" w:cs="Times New Roman"/>
          <w:lang w:val="en-US"/>
        </w:rPr>
        <w:footnoteReference w:id="2"/>
      </w:r>
      <w:r>
        <w:rPr>
          <w:rFonts w:ascii="Times New Roman" w:hAnsi="Times New Roman" w:cs="Times New Roman"/>
          <w:lang w:val="en-US"/>
        </w:rPr>
        <w:t xml:space="preserve"> </w:t>
      </w:r>
    </w:p>
    <w:p w14:paraId="7CAD4DD0" w14:textId="77777777" w:rsidR="00033C8F" w:rsidRDefault="00033C8F" w:rsidP="00FE2588">
      <w:pPr>
        <w:jc w:val="both"/>
        <w:rPr>
          <w:rFonts w:ascii="Times New Roman" w:hAnsi="Times New Roman" w:cs="Times New Roman"/>
          <w:lang w:val="en-US"/>
        </w:rPr>
      </w:pPr>
    </w:p>
    <w:p w14:paraId="613A1AAD" w14:textId="77777777" w:rsidR="00033C8F" w:rsidRPr="00FE2588" w:rsidRDefault="00033C8F" w:rsidP="00FE2588">
      <w:pPr>
        <w:jc w:val="both"/>
        <w:rPr>
          <w:rFonts w:ascii="Times New Roman" w:hAnsi="Times New Roman" w:cs="Times New Roman"/>
          <w:lang w:val="en-US"/>
        </w:rPr>
      </w:pPr>
    </w:p>
    <w:p w14:paraId="333F9422" w14:textId="77777777" w:rsidR="00FE2588" w:rsidRPr="00FE2588" w:rsidRDefault="00FE2588" w:rsidP="00FE2588">
      <w:pPr>
        <w:jc w:val="both"/>
        <w:rPr>
          <w:rFonts w:ascii="Times New Roman" w:hAnsi="Times New Roman" w:cs="Times New Roman"/>
          <w:lang w:val="en-US"/>
        </w:rPr>
      </w:pPr>
    </w:p>
    <w:sectPr w:rsidR="00FE2588" w:rsidRPr="00FE258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B1EEE" w14:textId="77777777" w:rsidR="00DB2D20" w:rsidRDefault="00DB2D20" w:rsidP="00B0207F">
      <w:pPr>
        <w:spacing w:after="0" w:line="240" w:lineRule="auto"/>
      </w:pPr>
      <w:r>
        <w:separator/>
      </w:r>
    </w:p>
  </w:endnote>
  <w:endnote w:type="continuationSeparator" w:id="0">
    <w:p w14:paraId="46E635E3" w14:textId="77777777" w:rsidR="00DB2D20" w:rsidRDefault="00DB2D20" w:rsidP="00B0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673817"/>
      <w:docPartObj>
        <w:docPartGallery w:val="Page Numbers (Bottom of Page)"/>
        <w:docPartUnique/>
      </w:docPartObj>
    </w:sdtPr>
    <w:sdtEndPr>
      <w:rPr>
        <w:noProof/>
      </w:rPr>
    </w:sdtEndPr>
    <w:sdtContent>
      <w:p w14:paraId="0209E199" w14:textId="08518B27" w:rsidR="00033C8F" w:rsidRDefault="00033C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F6E519" w14:textId="77777777" w:rsidR="00033C8F" w:rsidRDefault="00033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37F8" w14:textId="77777777" w:rsidR="00DB2D20" w:rsidRDefault="00DB2D20" w:rsidP="00B0207F">
      <w:pPr>
        <w:spacing w:after="0" w:line="240" w:lineRule="auto"/>
      </w:pPr>
      <w:r>
        <w:separator/>
      </w:r>
    </w:p>
  </w:footnote>
  <w:footnote w:type="continuationSeparator" w:id="0">
    <w:p w14:paraId="1628C976" w14:textId="77777777" w:rsidR="00DB2D20" w:rsidRDefault="00DB2D20" w:rsidP="00B0207F">
      <w:pPr>
        <w:spacing w:after="0" w:line="240" w:lineRule="auto"/>
      </w:pPr>
      <w:r>
        <w:continuationSeparator/>
      </w:r>
    </w:p>
  </w:footnote>
  <w:footnote w:id="1">
    <w:p w14:paraId="36694B94" w14:textId="20BE785A" w:rsidR="00400DFC" w:rsidRPr="00400DFC" w:rsidRDefault="00400DFC">
      <w:pPr>
        <w:pStyle w:val="FootnoteText"/>
        <w:rPr>
          <w:lang w:val="en-US"/>
        </w:rPr>
      </w:pPr>
      <w:r>
        <w:rPr>
          <w:rStyle w:val="FootnoteReference"/>
        </w:rPr>
        <w:footnoteRef/>
      </w:r>
      <w:r w:rsidRPr="00400DFC">
        <w:rPr>
          <w:lang w:val="en-US"/>
        </w:rPr>
        <w:t xml:space="preserve"> </w:t>
      </w:r>
      <w:r w:rsidRPr="00FE2588">
        <w:rPr>
          <w:rFonts w:ascii="Times New Roman" w:hAnsi="Times New Roman" w:cs="Times New Roman"/>
          <w:lang w:val="en-US"/>
        </w:rPr>
        <w:t>CEDAW/C/SLV/CO/10, paras 45 and 46</w:t>
      </w:r>
      <w:r>
        <w:rPr>
          <w:rFonts w:ascii="Times New Roman" w:hAnsi="Times New Roman" w:cs="Times New Roman"/>
          <w:lang w:val="en-US"/>
        </w:rPr>
        <w:t xml:space="preserve">. </w:t>
      </w:r>
    </w:p>
  </w:footnote>
  <w:footnote w:id="2">
    <w:p w14:paraId="176C075A" w14:textId="4C184F12" w:rsidR="00033C8F" w:rsidRPr="00033C8F" w:rsidRDefault="00033C8F" w:rsidP="00033C8F">
      <w:pPr>
        <w:pStyle w:val="FootnoteText"/>
        <w:jc w:val="both"/>
        <w:rPr>
          <w:lang w:val="en-US"/>
        </w:rPr>
      </w:pPr>
      <w:r>
        <w:rPr>
          <w:rStyle w:val="FootnoteReference"/>
        </w:rPr>
        <w:footnoteRef/>
      </w:r>
      <w:r w:rsidRPr="00033C8F">
        <w:rPr>
          <w:lang w:val="en-US"/>
        </w:rPr>
        <w:t xml:space="preserve"> </w:t>
      </w:r>
      <w:hyperlink r:id="rId1" w:history="1">
        <w:r w:rsidRPr="00033C8F">
          <w:rPr>
            <w:rStyle w:val="Hyperlink"/>
            <w:lang w:val="en-US"/>
          </w:rPr>
          <w:t>Joint Declaration on Protecting the right to freedom of association in light of “Foreign Agents”/ “Foreign Influence” Laws. September 13, 2024.</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12A2" w14:textId="4CE45FD0" w:rsidR="00B0207F" w:rsidRDefault="00B0207F">
    <w:pPr>
      <w:pStyle w:val="Header"/>
    </w:pPr>
    <w:r>
      <w:rPr>
        <w:noProof/>
      </w:rPr>
      <w:drawing>
        <wp:anchor distT="0" distB="0" distL="114300" distR="114300" simplePos="0" relativeHeight="251658240" behindDoc="0" locked="0" layoutInCell="1" allowOverlap="1" wp14:anchorId="703C88EC" wp14:editId="5D5DC82F">
          <wp:simplePos x="0" y="0"/>
          <wp:positionH relativeFrom="column">
            <wp:posOffset>0</wp:posOffset>
          </wp:positionH>
          <wp:positionV relativeFrom="paragraph">
            <wp:posOffset>183515</wp:posOffset>
          </wp:positionV>
          <wp:extent cx="1852930" cy="723265"/>
          <wp:effectExtent l="0" t="0" r="0" b="635"/>
          <wp:wrapTopAndBottom/>
          <wp:docPr id="541202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2930" cy="7232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30536"/>
    <w:multiLevelType w:val="hybridMultilevel"/>
    <w:tmpl w:val="CBD8C932"/>
    <w:lvl w:ilvl="0" w:tplc="6ED687B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25156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7F"/>
    <w:rsid w:val="00033C8F"/>
    <w:rsid w:val="00146AF6"/>
    <w:rsid w:val="00332C35"/>
    <w:rsid w:val="00334F82"/>
    <w:rsid w:val="00400DFC"/>
    <w:rsid w:val="00412310"/>
    <w:rsid w:val="005A047C"/>
    <w:rsid w:val="0060499B"/>
    <w:rsid w:val="006A598A"/>
    <w:rsid w:val="007D6B37"/>
    <w:rsid w:val="008134EA"/>
    <w:rsid w:val="008E1C2F"/>
    <w:rsid w:val="00A54E8B"/>
    <w:rsid w:val="00B0207F"/>
    <w:rsid w:val="00B2719D"/>
    <w:rsid w:val="00B94331"/>
    <w:rsid w:val="00DB2D20"/>
    <w:rsid w:val="00FE2588"/>
    <w:rsid w:val="188A4F29"/>
    <w:rsid w:val="4E10B24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AED3"/>
  <w15:chartTrackingRefBased/>
  <w15:docId w15:val="{2E71417E-9501-4095-BB48-336350987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2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0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0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0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07F"/>
    <w:rPr>
      <w:rFonts w:eastAsiaTheme="majorEastAsia" w:cstheme="majorBidi"/>
      <w:color w:val="272727" w:themeColor="text1" w:themeTint="D8"/>
    </w:rPr>
  </w:style>
  <w:style w:type="paragraph" w:styleId="Title">
    <w:name w:val="Title"/>
    <w:basedOn w:val="Normal"/>
    <w:next w:val="Normal"/>
    <w:link w:val="TitleChar"/>
    <w:uiPriority w:val="10"/>
    <w:qFormat/>
    <w:rsid w:val="00B02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07F"/>
    <w:pPr>
      <w:spacing w:before="160"/>
      <w:jc w:val="center"/>
    </w:pPr>
    <w:rPr>
      <w:i/>
      <w:iCs/>
      <w:color w:val="404040" w:themeColor="text1" w:themeTint="BF"/>
    </w:rPr>
  </w:style>
  <w:style w:type="character" w:customStyle="1" w:styleId="QuoteChar">
    <w:name w:val="Quote Char"/>
    <w:basedOn w:val="DefaultParagraphFont"/>
    <w:link w:val="Quote"/>
    <w:uiPriority w:val="29"/>
    <w:rsid w:val="00B0207F"/>
    <w:rPr>
      <w:i/>
      <w:iCs/>
      <w:color w:val="404040" w:themeColor="text1" w:themeTint="BF"/>
    </w:rPr>
  </w:style>
  <w:style w:type="paragraph" w:styleId="ListParagraph">
    <w:name w:val="List Paragraph"/>
    <w:basedOn w:val="Normal"/>
    <w:uiPriority w:val="34"/>
    <w:qFormat/>
    <w:rsid w:val="00B0207F"/>
    <w:pPr>
      <w:ind w:left="720"/>
      <w:contextualSpacing/>
    </w:pPr>
  </w:style>
  <w:style w:type="character" w:styleId="IntenseEmphasis">
    <w:name w:val="Intense Emphasis"/>
    <w:basedOn w:val="DefaultParagraphFont"/>
    <w:uiPriority w:val="21"/>
    <w:qFormat/>
    <w:rsid w:val="00B0207F"/>
    <w:rPr>
      <w:i/>
      <w:iCs/>
      <w:color w:val="0F4761" w:themeColor="accent1" w:themeShade="BF"/>
    </w:rPr>
  </w:style>
  <w:style w:type="paragraph" w:styleId="IntenseQuote">
    <w:name w:val="Intense Quote"/>
    <w:basedOn w:val="Normal"/>
    <w:next w:val="Normal"/>
    <w:link w:val="IntenseQuoteChar"/>
    <w:uiPriority w:val="30"/>
    <w:qFormat/>
    <w:rsid w:val="00B02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07F"/>
    <w:rPr>
      <w:i/>
      <w:iCs/>
      <w:color w:val="0F4761" w:themeColor="accent1" w:themeShade="BF"/>
    </w:rPr>
  </w:style>
  <w:style w:type="character" w:styleId="IntenseReference">
    <w:name w:val="Intense Reference"/>
    <w:basedOn w:val="DefaultParagraphFont"/>
    <w:uiPriority w:val="32"/>
    <w:qFormat/>
    <w:rsid w:val="00B0207F"/>
    <w:rPr>
      <w:b/>
      <w:bCs/>
      <w:smallCaps/>
      <w:color w:val="0F4761" w:themeColor="accent1" w:themeShade="BF"/>
      <w:spacing w:val="5"/>
    </w:rPr>
  </w:style>
  <w:style w:type="paragraph" w:styleId="Header">
    <w:name w:val="header"/>
    <w:basedOn w:val="Normal"/>
    <w:link w:val="HeaderChar"/>
    <w:uiPriority w:val="99"/>
    <w:unhideWhenUsed/>
    <w:rsid w:val="00B0207F"/>
    <w:pPr>
      <w:tabs>
        <w:tab w:val="center" w:pos="4419"/>
        <w:tab w:val="right" w:pos="8838"/>
      </w:tabs>
      <w:spacing w:after="0" w:line="240" w:lineRule="auto"/>
    </w:pPr>
  </w:style>
  <w:style w:type="character" w:customStyle="1" w:styleId="HeaderChar">
    <w:name w:val="Header Char"/>
    <w:basedOn w:val="DefaultParagraphFont"/>
    <w:link w:val="Header"/>
    <w:uiPriority w:val="99"/>
    <w:rsid w:val="00B0207F"/>
  </w:style>
  <w:style w:type="paragraph" w:styleId="Footer">
    <w:name w:val="footer"/>
    <w:basedOn w:val="Normal"/>
    <w:link w:val="FooterChar"/>
    <w:uiPriority w:val="99"/>
    <w:unhideWhenUsed/>
    <w:rsid w:val="00B0207F"/>
    <w:pPr>
      <w:tabs>
        <w:tab w:val="center" w:pos="4419"/>
        <w:tab w:val="right" w:pos="8838"/>
      </w:tabs>
      <w:spacing w:after="0" w:line="240" w:lineRule="auto"/>
    </w:pPr>
  </w:style>
  <w:style w:type="character" w:customStyle="1" w:styleId="FooterChar">
    <w:name w:val="Footer Char"/>
    <w:basedOn w:val="DefaultParagraphFont"/>
    <w:link w:val="Footer"/>
    <w:uiPriority w:val="99"/>
    <w:rsid w:val="00B0207F"/>
  </w:style>
  <w:style w:type="character" w:styleId="Hyperlink">
    <w:name w:val="Hyperlink"/>
    <w:basedOn w:val="DefaultParagraphFont"/>
    <w:uiPriority w:val="99"/>
    <w:unhideWhenUsed/>
    <w:rsid w:val="00FE2588"/>
    <w:rPr>
      <w:color w:val="467886" w:themeColor="hyperlink"/>
      <w:u w:val="single"/>
    </w:rPr>
  </w:style>
  <w:style w:type="character" w:styleId="UnresolvedMention">
    <w:name w:val="Unresolved Mention"/>
    <w:basedOn w:val="DefaultParagraphFont"/>
    <w:uiPriority w:val="99"/>
    <w:semiHidden/>
    <w:unhideWhenUsed/>
    <w:rsid w:val="00FE2588"/>
    <w:rPr>
      <w:color w:val="605E5C"/>
      <w:shd w:val="clear" w:color="auto" w:fill="E1DFDD"/>
    </w:rPr>
  </w:style>
  <w:style w:type="character" w:styleId="FollowedHyperlink">
    <w:name w:val="FollowedHyperlink"/>
    <w:basedOn w:val="DefaultParagraphFont"/>
    <w:uiPriority w:val="99"/>
    <w:semiHidden/>
    <w:unhideWhenUsed/>
    <w:rsid w:val="00033C8F"/>
    <w:rPr>
      <w:color w:val="96607D" w:themeColor="followedHyperlink"/>
      <w:u w:val="single"/>
    </w:rPr>
  </w:style>
  <w:style w:type="paragraph" w:styleId="FootnoteText">
    <w:name w:val="footnote text"/>
    <w:basedOn w:val="Normal"/>
    <w:link w:val="FootnoteTextChar"/>
    <w:uiPriority w:val="99"/>
    <w:semiHidden/>
    <w:unhideWhenUsed/>
    <w:rsid w:val="00033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3C8F"/>
    <w:rPr>
      <w:sz w:val="20"/>
      <w:szCs w:val="20"/>
    </w:rPr>
  </w:style>
  <w:style w:type="character" w:styleId="FootnoteReference">
    <w:name w:val="footnote reference"/>
    <w:basedOn w:val="DefaultParagraphFont"/>
    <w:uiPriority w:val="99"/>
    <w:semiHidden/>
    <w:unhideWhenUsed/>
    <w:rsid w:val="00033C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chrome-extension://efaidnbmnnnibpcajpcglclefindmkaj/https:/www.ohchr.org/sites/default/files/documents/issues/association/statements/2024-09-13-statement-sr-foa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26442BD-51E4-4E2F-999C-7C55DC363953}">
  <ds:schemaRefs>
    <ds:schemaRef ds:uri="http://schemas.openxmlformats.org/officeDocument/2006/bibliography"/>
  </ds:schemaRefs>
</ds:datastoreItem>
</file>

<file path=customXml/itemProps2.xml><?xml version="1.0" encoding="utf-8"?>
<ds:datastoreItem xmlns:ds="http://schemas.openxmlformats.org/officeDocument/2006/customXml" ds:itemID="{EFA4C394-E9DD-494B-A50B-ACE4C2371D98}"/>
</file>

<file path=customXml/itemProps3.xml><?xml version="1.0" encoding="utf-8"?>
<ds:datastoreItem xmlns:ds="http://schemas.openxmlformats.org/officeDocument/2006/customXml" ds:itemID="{1B1E14CC-F9EF-4229-8750-75E69529C355}"/>
</file>

<file path=customXml/itemProps4.xml><?xml version="1.0" encoding="utf-8"?>
<ds:datastoreItem xmlns:ds="http://schemas.openxmlformats.org/officeDocument/2006/customXml" ds:itemID="{482E8CA4-C398-4081-AD05-879B8A523A0F}"/>
</file>

<file path=docMetadata/LabelInfo.xml><?xml version="1.0" encoding="utf-8"?>
<clbl:labelList xmlns:clbl="http://schemas.microsoft.com/office/2020/mipLabelMetadata">
  <clbl:label id="{e5451579-057a-4682-9656-b9548f94b665}" enabled="0" method="" siteId="{e5451579-057a-4682-9656-b9548f94b66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1256</Words>
  <Characters>7164</Characters>
  <Application>Microsoft Office Word</Application>
  <DocSecurity>4</DocSecurity>
  <Lines>59</Lines>
  <Paragraphs>16</Paragraphs>
  <ScaleCrop>false</ScaleCrop>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Cecilia Ibáñez</dc:creator>
  <cp:keywords/>
  <dc:description/>
  <cp:lastModifiedBy>Estelle Wagner</cp:lastModifiedBy>
  <cp:revision>4</cp:revision>
  <dcterms:created xsi:type="dcterms:W3CDTF">2026-06-22T12:24:00Z</dcterms:created>
  <dcterms:modified xsi:type="dcterms:W3CDTF">2026-06-22T14:01:00Z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