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99E8" w14:textId="77777777" w:rsidR="000D4C4B" w:rsidRPr="000D4C4B" w:rsidRDefault="000D4C4B" w:rsidP="000D4C4B">
      <w:pPr>
        <w:rPr>
          <w:b/>
          <w:bCs/>
          <w:lang w:val="en-AU"/>
        </w:rPr>
      </w:pPr>
      <w:r w:rsidRPr="000D4C4B">
        <w:rPr>
          <w:b/>
          <w:bCs/>
          <w:lang w:val="en-AU"/>
        </w:rPr>
        <w:t>Draft General Comment No. 38 on Article 22 (on the right to freedom of association) of the International Covenant on Civil and Political Rights</w:t>
      </w:r>
    </w:p>
    <w:p w14:paraId="6EB13129" w14:textId="31902A0B" w:rsidR="000C7EC3" w:rsidRPr="000C7EC3" w:rsidRDefault="000C7EC3" w:rsidP="000C7EC3">
      <w:pPr>
        <w:rPr>
          <w:bCs/>
          <w:lang w:val="en-AU"/>
        </w:rPr>
      </w:pPr>
      <w:r w:rsidRPr="000C7EC3">
        <w:rPr>
          <w:bCs/>
          <w:lang w:val="en-AU"/>
        </w:rPr>
        <w:t xml:space="preserve">Submitted by </w:t>
      </w:r>
      <w:r w:rsidRPr="000C7EC3">
        <w:rPr>
          <w:b/>
          <w:bCs/>
          <w:lang w:val="en-AU"/>
        </w:rPr>
        <w:t>Sarah Barnbrook</w:t>
      </w:r>
      <w:r w:rsidRPr="000C7EC3">
        <w:rPr>
          <w:bCs/>
          <w:lang w:val="en-AU"/>
        </w:rPr>
        <w:t xml:space="preserve">, Founder, Away </w:t>
      </w:r>
      <w:r w:rsidR="00FC33FC" w:rsidRPr="000C7EC3">
        <w:rPr>
          <w:bCs/>
          <w:lang w:val="en-AU"/>
        </w:rPr>
        <w:t>from</w:t>
      </w:r>
      <w:r w:rsidRPr="000C7EC3">
        <w:rPr>
          <w:bCs/>
          <w:lang w:val="en-AU"/>
        </w:rPr>
        <w:t xml:space="preserve"> Keyboard (AFK) Inc., Australia</w:t>
      </w:r>
    </w:p>
    <w:p w14:paraId="1EB7EDC1" w14:textId="77777777" w:rsidR="000C7EC3" w:rsidRPr="000C7EC3" w:rsidRDefault="000C7EC3" w:rsidP="000C7EC3">
      <w:pPr>
        <w:rPr>
          <w:b/>
          <w:bCs/>
          <w:lang w:val="en-AU"/>
        </w:rPr>
      </w:pPr>
      <w:r w:rsidRPr="000C7EC3">
        <w:rPr>
          <w:b/>
          <w:bCs/>
          <w:lang w:val="en-AU"/>
        </w:rPr>
        <w:t>Introduction</w:t>
      </w:r>
    </w:p>
    <w:p w14:paraId="1128C255" w14:textId="77777777" w:rsidR="000C7EC3" w:rsidRPr="000C7EC3" w:rsidRDefault="000C7EC3" w:rsidP="000C7EC3">
      <w:pPr>
        <w:rPr>
          <w:bCs/>
          <w:lang w:val="en-AU"/>
        </w:rPr>
      </w:pPr>
      <w:r w:rsidRPr="000C7EC3">
        <w:rPr>
          <w:bCs/>
          <w:lang w:val="en-AU"/>
        </w:rPr>
        <w:t>I welcome the opportunity to provide comments on Draft General Comment No. 38 concerning Article 22 of the International Covenant on Civil and Political Rights.</w:t>
      </w:r>
    </w:p>
    <w:p w14:paraId="63B3F9B7" w14:textId="77777777" w:rsidR="000C7EC3" w:rsidRPr="000C7EC3" w:rsidRDefault="000C7EC3" w:rsidP="000C7EC3">
      <w:pPr>
        <w:rPr>
          <w:bCs/>
          <w:lang w:val="en-AU"/>
        </w:rPr>
      </w:pPr>
      <w:r w:rsidRPr="000C7EC3">
        <w:rPr>
          <w:bCs/>
          <w:lang w:val="en-AU"/>
        </w:rPr>
        <w:t>The right to freedom of association is foundational to democratic participation, human dignity, accountability, pluralism, and social cohesion. I strongly welcome the Committee’s effort to provide authoritative guidance that reflects contemporary conditions, including the growing role of digital technologies in civic life.</w:t>
      </w:r>
    </w:p>
    <w:p w14:paraId="0A7FBC39" w14:textId="77777777" w:rsidR="000C7EC3" w:rsidRPr="000C7EC3" w:rsidRDefault="000C7EC3" w:rsidP="000C7EC3">
      <w:pPr>
        <w:rPr>
          <w:bCs/>
          <w:lang w:val="en-AU"/>
        </w:rPr>
      </w:pPr>
      <w:r w:rsidRPr="000C7EC3">
        <w:rPr>
          <w:bCs/>
          <w:lang w:val="en-AU"/>
        </w:rPr>
        <w:t>I submit these comments from the perspective of a civil society practitioner working across digital safety, gender equality, child protection, ethical technology, and inclusive participation. My work engages communities that increasingly rely on digital spaces to organise, volunteer, advocate, access peer support, and participate in public life.</w:t>
      </w:r>
    </w:p>
    <w:p w14:paraId="616488E8" w14:textId="77777777" w:rsidR="000C7EC3" w:rsidRPr="000C7EC3" w:rsidRDefault="000C7EC3" w:rsidP="000C7EC3">
      <w:pPr>
        <w:rPr>
          <w:bCs/>
          <w:lang w:val="en-AU"/>
        </w:rPr>
      </w:pPr>
      <w:r w:rsidRPr="000C7EC3">
        <w:rPr>
          <w:bCs/>
          <w:lang w:val="en-AU"/>
        </w:rPr>
        <w:t>Today, interference with freedom of association may occur not only through formal prohibition or overt repression, but through surveillance, targeted intimidation, opaque digital governance systems, discriminatory design, financial deplatforming, cumulative administrative burden, or coordinated efforts to suppress lawful participation. These evolving barriers warrant express recognition within a modern interpretation of Article 22.</w:t>
      </w:r>
    </w:p>
    <w:p w14:paraId="68E520F1" w14:textId="77777777" w:rsidR="000C7EC3" w:rsidRPr="000C7EC3" w:rsidRDefault="000C7EC3" w:rsidP="000C7EC3">
      <w:pPr>
        <w:rPr>
          <w:bCs/>
          <w:lang w:val="en-AU"/>
        </w:rPr>
      </w:pPr>
      <w:r w:rsidRPr="000C7EC3">
        <w:rPr>
          <w:bCs/>
          <w:lang w:val="en-AU"/>
        </w:rPr>
        <w:t>At the same time, freedom of association should not be interpreted in a manner that unintentionally shields collectives engaged in criminality, violence, exploitation, or organised denial of the rights of others.</w:t>
      </w:r>
    </w:p>
    <w:p w14:paraId="392DB6A3" w14:textId="77777777" w:rsidR="000C7EC3" w:rsidRPr="000C7EC3" w:rsidRDefault="000C7EC3" w:rsidP="000C7EC3">
      <w:pPr>
        <w:rPr>
          <w:b/>
          <w:bCs/>
          <w:lang w:val="en-AU"/>
        </w:rPr>
      </w:pPr>
      <w:r w:rsidRPr="000C7EC3">
        <w:rPr>
          <w:b/>
          <w:bCs/>
          <w:lang w:val="en-AU"/>
        </w:rPr>
        <w:t>General Observation</w:t>
      </w:r>
    </w:p>
    <w:p w14:paraId="29C45313" w14:textId="77777777" w:rsidR="000C7EC3" w:rsidRPr="000C7EC3" w:rsidRDefault="000C7EC3" w:rsidP="000C7EC3">
      <w:pPr>
        <w:rPr>
          <w:bCs/>
          <w:lang w:val="en-AU"/>
        </w:rPr>
      </w:pPr>
      <w:r w:rsidRPr="000C7EC3">
        <w:rPr>
          <w:bCs/>
          <w:lang w:val="en-AU"/>
        </w:rPr>
        <w:t>Freedom of association should be understood not only as the right to establish or join an organisation, but as the practical ability to participate meaningfully in collective life.</w:t>
      </w:r>
    </w:p>
    <w:p w14:paraId="6BB3BACB" w14:textId="77777777" w:rsidR="000C7EC3" w:rsidRPr="000C7EC3" w:rsidRDefault="000C7EC3" w:rsidP="000C7EC3">
      <w:pPr>
        <w:rPr>
          <w:bCs/>
          <w:lang w:val="en-AU"/>
        </w:rPr>
      </w:pPr>
      <w:r w:rsidRPr="000C7EC3">
        <w:rPr>
          <w:bCs/>
          <w:lang w:val="en-AU"/>
        </w:rPr>
        <w:t>For many individuals, particularly women, carers, persons with disabilities, rural communities, young people, migrants, and survivors of violence, digital spaces may be the principal route to connection, advocacy, mutual support, and participation. Where such environments are inaccessible, unsafe, arbitrarily governed, or hostile, exclusion from association can become structural rather than incidental.</w:t>
      </w:r>
    </w:p>
    <w:p w14:paraId="6911F51B" w14:textId="77777777" w:rsidR="000C7EC3" w:rsidRPr="000C7EC3" w:rsidRDefault="000C7EC3" w:rsidP="000C7EC3">
      <w:pPr>
        <w:rPr>
          <w:bCs/>
          <w:lang w:val="en-AU"/>
        </w:rPr>
      </w:pPr>
      <w:r w:rsidRPr="000C7EC3">
        <w:rPr>
          <w:bCs/>
          <w:lang w:val="en-AU"/>
        </w:rPr>
        <w:lastRenderedPageBreak/>
        <w:t>For example, a woman in a remote area experiencing family violence may be unable to safely attend in-person support groups. Secure and well-governed online peer communities may be her only realistic route to support and association.</w:t>
      </w:r>
    </w:p>
    <w:p w14:paraId="70F4F448" w14:textId="77777777" w:rsidR="000C7EC3" w:rsidRPr="000C7EC3" w:rsidRDefault="000C7EC3" w:rsidP="000C7EC3">
      <w:pPr>
        <w:rPr>
          <w:b/>
          <w:bCs/>
          <w:lang w:val="en-AU"/>
        </w:rPr>
      </w:pPr>
      <w:r w:rsidRPr="000C7EC3">
        <w:rPr>
          <w:b/>
          <w:bCs/>
          <w:lang w:val="en-AU"/>
        </w:rPr>
        <w:t>Comments on Specific Paragraphs</w:t>
      </w:r>
    </w:p>
    <w:p w14:paraId="004C6872" w14:textId="77777777" w:rsidR="000C7EC3" w:rsidRPr="000C7EC3" w:rsidRDefault="000C7EC3" w:rsidP="000C7EC3">
      <w:pPr>
        <w:rPr>
          <w:b/>
          <w:bCs/>
          <w:lang w:val="en-AU"/>
        </w:rPr>
      </w:pPr>
      <w:r w:rsidRPr="000C7EC3">
        <w:rPr>
          <w:b/>
          <w:bCs/>
          <w:lang w:val="en-AU"/>
        </w:rPr>
        <w:t>Paragraph 11, Online and Offline Association</w:t>
      </w:r>
    </w:p>
    <w:p w14:paraId="0E4F7B50" w14:textId="77777777" w:rsidR="000C7EC3" w:rsidRPr="000C7EC3" w:rsidRDefault="000C7EC3" w:rsidP="000C7EC3">
      <w:pPr>
        <w:rPr>
          <w:bCs/>
          <w:lang w:val="en-AU"/>
        </w:rPr>
      </w:pPr>
      <w:r w:rsidRPr="000C7EC3">
        <w:rPr>
          <w:bCs/>
          <w:lang w:val="en-AU"/>
        </w:rPr>
        <w:t>I strongly welcome the recognition that Article 22 applies equally to online and offline organisations.</w:t>
      </w:r>
    </w:p>
    <w:p w14:paraId="1A3A71C0" w14:textId="77777777" w:rsidR="000C7EC3" w:rsidRPr="000C7EC3" w:rsidRDefault="000C7EC3" w:rsidP="000C7EC3">
      <w:pPr>
        <w:rPr>
          <w:bCs/>
          <w:lang w:val="en-AU"/>
        </w:rPr>
      </w:pPr>
      <w:r w:rsidRPr="000C7EC3">
        <w:rPr>
          <w:bCs/>
          <w:lang w:val="en-AU"/>
        </w:rPr>
        <w:t>I respectfully suggest the final text clarify that online association is not merely supplementary to offline participation. For many communities it is central to the effective exercise of the right.</w:t>
      </w:r>
    </w:p>
    <w:p w14:paraId="4F2A91BF" w14:textId="77777777" w:rsidR="000C7EC3" w:rsidRPr="000C7EC3" w:rsidRDefault="000C7EC3" w:rsidP="000C7EC3">
      <w:pPr>
        <w:rPr>
          <w:bCs/>
          <w:lang w:val="en-AU"/>
        </w:rPr>
      </w:pPr>
      <w:r w:rsidRPr="000C7EC3">
        <w:rPr>
          <w:bCs/>
          <w:lang w:val="en-AU"/>
        </w:rPr>
        <w:t>This includes geographically isolated communities, disability communities, carers with limited mobility or time, diaspora groups, youth-led networks, and survivors seeking confidential support.</w:t>
      </w:r>
    </w:p>
    <w:p w14:paraId="2F2624DC" w14:textId="77777777" w:rsidR="000C7EC3" w:rsidRPr="000C7EC3" w:rsidRDefault="000C7EC3" w:rsidP="000C7EC3">
      <w:pPr>
        <w:rPr>
          <w:bCs/>
          <w:lang w:val="en-AU"/>
        </w:rPr>
      </w:pPr>
      <w:r w:rsidRPr="000C7EC3">
        <w:rPr>
          <w:bCs/>
          <w:lang w:val="en-AU"/>
        </w:rPr>
        <w:t>Suggested addition:</w:t>
      </w:r>
    </w:p>
    <w:p w14:paraId="6560DB1E" w14:textId="77777777" w:rsidR="000C7EC3" w:rsidRPr="000C7EC3" w:rsidRDefault="000C7EC3" w:rsidP="000C7EC3">
      <w:pPr>
        <w:rPr>
          <w:bCs/>
          <w:lang w:val="en-AU"/>
        </w:rPr>
      </w:pPr>
      <w:r w:rsidRPr="000C7EC3">
        <w:rPr>
          <w:bCs/>
          <w:lang w:val="en-AU"/>
        </w:rPr>
        <w:t>States Parties should recognise that safe digital access, accessible communication systems, and fair participation environments may be essential conditions for the effective exercise of freedom of association for many individuals and groups.</w:t>
      </w:r>
    </w:p>
    <w:p w14:paraId="4FC30DE0" w14:textId="77777777" w:rsidR="000C7EC3" w:rsidRPr="000C7EC3" w:rsidRDefault="000C7EC3" w:rsidP="000C7EC3">
      <w:pPr>
        <w:rPr>
          <w:b/>
          <w:bCs/>
          <w:lang w:val="en-AU"/>
        </w:rPr>
      </w:pPr>
      <w:r w:rsidRPr="000C7EC3">
        <w:rPr>
          <w:b/>
          <w:bCs/>
          <w:lang w:val="en-AU"/>
        </w:rPr>
        <w:t>Paragraphs 30 to 32, Interference and Repression</w:t>
      </w:r>
    </w:p>
    <w:p w14:paraId="08F82D82" w14:textId="77777777" w:rsidR="000C7EC3" w:rsidRPr="000C7EC3" w:rsidRDefault="000C7EC3" w:rsidP="000C7EC3">
      <w:pPr>
        <w:rPr>
          <w:bCs/>
          <w:lang w:val="en-AU"/>
        </w:rPr>
      </w:pPr>
      <w:r w:rsidRPr="000C7EC3">
        <w:rPr>
          <w:bCs/>
          <w:lang w:val="en-AU"/>
        </w:rPr>
        <w:t>I welcome the inclusion of surveillance, harassment, reprisals, travel restrictions, and misuse of legal frameworks.</w:t>
      </w:r>
    </w:p>
    <w:p w14:paraId="33F6939E" w14:textId="77777777" w:rsidR="000C7EC3" w:rsidRPr="000C7EC3" w:rsidRDefault="000C7EC3" w:rsidP="000C7EC3">
      <w:pPr>
        <w:rPr>
          <w:bCs/>
          <w:lang w:val="en-AU"/>
        </w:rPr>
      </w:pPr>
      <w:r w:rsidRPr="000C7EC3">
        <w:rPr>
          <w:bCs/>
          <w:lang w:val="en-AU"/>
        </w:rPr>
        <w:t>I respectfully suggest explicit recognition of contemporary forms of interference, including:</w:t>
      </w:r>
    </w:p>
    <w:p w14:paraId="1589E181" w14:textId="77777777" w:rsidR="000C7EC3" w:rsidRPr="000C7EC3" w:rsidRDefault="000C7EC3" w:rsidP="000C7EC3">
      <w:pPr>
        <w:numPr>
          <w:ilvl w:val="0"/>
          <w:numId w:val="13"/>
        </w:numPr>
        <w:rPr>
          <w:bCs/>
          <w:lang w:val="en-AU"/>
        </w:rPr>
      </w:pPr>
      <w:r w:rsidRPr="000C7EC3">
        <w:rPr>
          <w:bCs/>
          <w:lang w:val="en-AU"/>
        </w:rPr>
        <w:t>algorithmic downranking or invisibility of lawful civic content</w:t>
      </w:r>
    </w:p>
    <w:p w14:paraId="659CC1D1" w14:textId="77777777" w:rsidR="000C7EC3" w:rsidRPr="000C7EC3" w:rsidRDefault="000C7EC3" w:rsidP="000C7EC3">
      <w:pPr>
        <w:numPr>
          <w:ilvl w:val="0"/>
          <w:numId w:val="13"/>
        </w:numPr>
        <w:rPr>
          <w:bCs/>
          <w:lang w:val="en-AU"/>
        </w:rPr>
      </w:pPr>
      <w:r w:rsidRPr="000C7EC3">
        <w:rPr>
          <w:bCs/>
          <w:lang w:val="en-AU"/>
        </w:rPr>
        <w:t>coordinated false reporting campaigns targeting associations</w:t>
      </w:r>
    </w:p>
    <w:p w14:paraId="49C4525B" w14:textId="77777777" w:rsidR="000C7EC3" w:rsidRPr="000C7EC3" w:rsidRDefault="000C7EC3" w:rsidP="000C7EC3">
      <w:pPr>
        <w:numPr>
          <w:ilvl w:val="0"/>
          <w:numId w:val="13"/>
        </w:numPr>
        <w:rPr>
          <w:bCs/>
          <w:lang w:val="en-AU"/>
        </w:rPr>
      </w:pPr>
      <w:r w:rsidRPr="000C7EC3">
        <w:rPr>
          <w:bCs/>
          <w:lang w:val="en-AU"/>
        </w:rPr>
        <w:t>doxxing of organisers or members</w:t>
      </w:r>
    </w:p>
    <w:p w14:paraId="0B984853" w14:textId="77777777" w:rsidR="000C7EC3" w:rsidRPr="000C7EC3" w:rsidRDefault="000C7EC3" w:rsidP="000C7EC3">
      <w:pPr>
        <w:numPr>
          <w:ilvl w:val="0"/>
          <w:numId w:val="13"/>
        </w:numPr>
        <w:rPr>
          <w:bCs/>
          <w:lang w:val="en-AU"/>
        </w:rPr>
      </w:pPr>
      <w:r w:rsidRPr="000C7EC3">
        <w:rPr>
          <w:bCs/>
          <w:lang w:val="en-AU"/>
        </w:rPr>
        <w:t>cyber abuse intended to deter participation</w:t>
      </w:r>
    </w:p>
    <w:p w14:paraId="6C1B54C4" w14:textId="77777777" w:rsidR="000C7EC3" w:rsidRPr="000C7EC3" w:rsidRDefault="000C7EC3" w:rsidP="000C7EC3">
      <w:pPr>
        <w:numPr>
          <w:ilvl w:val="0"/>
          <w:numId w:val="13"/>
        </w:numPr>
        <w:rPr>
          <w:bCs/>
          <w:lang w:val="en-AU"/>
        </w:rPr>
      </w:pPr>
      <w:r w:rsidRPr="000C7EC3">
        <w:rPr>
          <w:bCs/>
          <w:lang w:val="en-AU"/>
        </w:rPr>
        <w:t>arbitrary account suspension without meaningful review</w:t>
      </w:r>
    </w:p>
    <w:p w14:paraId="6F8FE161" w14:textId="77777777" w:rsidR="000C7EC3" w:rsidRPr="000C7EC3" w:rsidRDefault="000C7EC3" w:rsidP="000C7EC3">
      <w:pPr>
        <w:numPr>
          <w:ilvl w:val="0"/>
          <w:numId w:val="13"/>
        </w:numPr>
        <w:rPr>
          <w:bCs/>
          <w:lang w:val="en-AU"/>
        </w:rPr>
      </w:pPr>
      <w:r w:rsidRPr="000C7EC3">
        <w:rPr>
          <w:bCs/>
          <w:lang w:val="en-AU"/>
        </w:rPr>
        <w:t>data harvesting used to intimidate or profile participants</w:t>
      </w:r>
    </w:p>
    <w:p w14:paraId="7DC641F1" w14:textId="77777777" w:rsidR="000C7EC3" w:rsidRPr="000C7EC3" w:rsidRDefault="000C7EC3" w:rsidP="000C7EC3">
      <w:pPr>
        <w:numPr>
          <w:ilvl w:val="0"/>
          <w:numId w:val="13"/>
        </w:numPr>
        <w:rPr>
          <w:bCs/>
          <w:lang w:val="en-AU"/>
        </w:rPr>
      </w:pPr>
      <w:r w:rsidRPr="000C7EC3">
        <w:rPr>
          <w:bCs/>
          <w:lang w:val="en-AU"/>
        </w:rPr>
        <w:lastRenderedPageBreak/>
        <w:t>digital attacks impairing communications, fundraising, or recruitment</w:t>
      </w:r>
    </w:p>
    <w:p w14:paraId="39DCB68F" w14:textId="77777777" w:rsidR="000C7EC3" w:rsidRPr="000C7EC3" w:rsidRDefault="000C7EC3" w:rsidP="000C7EC3">
      <w:pPr>
        <w:rPr>
          <w:bCs/>
          <w:lang w:val="en-AU"/>
        </w:rPr>
      </w:pPr>
      <w:r w:rsidRPr="000C7EC3">
        <w:rPr>
          <w:bCs/>
          <w:lang w:val="en-AU"/>
        </w:rPr>
        <w:t>For example, a lawful women’s advocacy network may face coordinated false reporting that triggers automated removals or reduced visibility, resulting in loss of reach, reduced donations, and diminished participation despite no formal prohibition.</w:t>
      </w:r>
    </w:p>
    <w:p w14:paraId="6354571A" w14:textId="77777777" w:rsidR="000C7EC3" w:rsidRPr="000C7EC3" w:rsidRDefault="000C7EC3" w:rsidP="000C7EC3">
      <w:pPr>
        <w:rPr>
          <w:bCs/>
          <w:lang w:val="en-AU"/>
        </w:rPr>
      </w:pPr>
      <w:r w:rsidRPr="000C7EC3">
        <w:rPr>
          <w:bCs/>
          <w:lang w:val="en-AU"/>
        </w:rPr>
        <w:t>Suggested addition:</w:t>
      </w:r>
    </w:p>
    <w:p w14:paraId="359E6167" w14:textId="77777777" w:rsidR="000C7EC3" w:rsidRPr="000C7EC3" w:rsidRDefault="000C7EC3" w:rsidP="000C7EC3">
      <w:pPr>
        <w:rPr>
          <w:bCs/>
          <w:lang w:val="en-AU"/>
        </w:rPr>
      </w:pPr>
      <w:r w:rsidRPr="000C7EC3">
        <w:rPr>
          <w:bCs/>
          <w:lang w:val="en-AU"/>
        </w:rPr>
        <w:t>Interference with freedom of association may also occur through digital systems or coordinated conduct that foreseeably suppresses lawful participation, communication, visibility, or member safety.</w:t>
      </w:r>
    </w:p>
    <w:p w14:paraId="180B87E8" w14:textId="77777777" w:rsidR="000C7EC3" w:rsidRPr="000C7EC3" w:rsidRDefault="000C7EC3" w:rsidP="000C7EC3">
      <w:pPr>
        <w:rPr>
          <w:b/>
          <w:bCs/>
          <w:lang w:val="en-AU"/>
        </w:rPr>
      </w:pPr>
      <w:r w:rsidRPr="000C7EC3">
        <w:rPr>
          <w:b/>
          <w:bCs/>
          <w:lang w:val="en-AU"/>
        </w:rPr>
        <w:t>Paragraph 35, Hostile Narratives and Attacks</w:t>
      </w:r>
    </w:p>
    <w:p w14:paraId="0D69A0CF" w14:textId="77777777" w:rsidR="000C7EC3" w:rsidRPr="000C7EC3" w:rsidRDefault="000C7EC3" w:rsidP="000C7EC3">
      <w:pPr>
        <w:rPr>
          <w:bCs/>
          <w:lang w:val="en-AU"/>
        </w:rPr>
      </w:pPr>
      <w:r w:rsidRPr="000C7EC3">
        <w:rPr>
          <w:bCs/>
          <w:lang w:val="en-AU"/>
        </w:rPr>
        <w:t>This paragraph is especially important and could be strengthened further.</w:t>
      </w:r>
    </w:p>
    <w:p w14:paraId="284ACA4A" w14:textId="77777777" w:rsidR="000C7EC3" w:rsidRPr="000C7EC3" w:rsidRDefault="000C7EC3" w:rsidP="000C7EC3">
      <w:pPr>
        <w:rPr>
          <w:bCs/>
          <w:lang w:val="en-AU"/>
        </w:rPr>
      </w:pPr>
      <w:r w:rsidRPr="000C7EC3">
        <w:rPr>
          <w:bCs/>
          <w:lang w:val="en-AU"/>
        </w:rPr>
        <w:t>Across jurisdictions, women in public leadership roles, minority communities, LGBTQI+ groups, anti-corruption advocates, environmental defenders, and human rights defenders report disproportionate threats, sexualised abuse, reputational attacks, stalking, image-based abuse, and coordinated intimidation.</w:t>
      </w:r>
    </w:p>
    <w:p w14:paraId="583F4F59" w14:textId="77777777" w:rsidR="000C7EC3" w:rsidRPr="000C7EC3" w:rsidRDefault="000C7EC3" w:rsidP="000C7EC3">
      <w:pPr>
        <w:rPr>
          <w:bCs/>
          <w:lang w:val="en-AU"/>
        </w:rPr>
      </w:pPr>
      <w:r w:rsidRPr="000C7EC3">
        <w:rPr>
          <w:bCs/>
          <w:lang w:val="en-AU"/>
        </w:rPr>
        <w:t>Where such conduct drives individuals or groups from public life, the result is not only personal harm but diminished equality of participation and weakened democratic pluralism.</w:t>
      </w:r>
    </w:p>
    <w:p w14:paraId="0FD3FAB4" w14:textId="77777777" w:rsidR="000C7EC3" w:rsidRPr="000C7EC3" w:rsidRDefault="000C7EC3" w:rsidP="000C7EC3">
      <w:pPr>
        <w:rPr>
          <w:bCs/>
          <w:lang w:val="en-AU"/>
        </w:rPr>
      </w:pPr>
      <w:r w:rsidRPr="000C7EC3">
        <w:rPr>
          <w:bCs/>
          <w:lang w:val="en-AU"/>
        </w:rPr>
        <w:t>For example, a woman leading a union or civic campaign may withdraw from public leadership following sustained threats and abuse. This may also deter others from future participation.</w:t>
      </w:r>
    </w:p>
    <w:p w14:paraId="5245780C" w14:textId="77777777" w:rsidR="000C7EC3" w:rsidRPr="000C7EC3" w:rsidRDefault="000C7EC3" w:rsidP="000C7EC3">
      <w:pPr>
        <w:rPr>
          <w:bCs/>
          <w:lang w:val="en-AU"/>
        </w:rPr>
      </w:pPr>
      <w:r w:rsidRPr="000C7EC3">
        <w:rPr>
          <w:bCs/>
          <w:lang w:val="en-AU"/>
        </w:rPr>
        <w:t>Suggested addition:</w:t>
      </w:r>
    </w:p>
    <w:p w14:paraId="4E1B4817" w14:textId="77777777" w:rsidR="000C7EC3" w:rsidRPr="000C7EC3" w:rsidRDefault="000C7EC3" w:rsidP="000C7EC3">
      <w:pPr>
        <w:rPr>
          <w:bCs/>
          <w:lang w:val="en-AU"/>
        </w:rPr>
      </w:pPr>
      <w:r w:rsidRPr="000C7EC3">
        <w:rPr>
          <w:bCs/>
          <w:lang w:val="en-AU"/>
        </w:rPr>
        <w:t>States Parties should take particular care to address targeted campaigns of harassment that disproportionately exclude women, minorities, and marginalised groups from collective participation.</w:t>
      </w:r>
    </w:p>
    <w:p w14:paraId="07A96B22" w14:textId="77777777" w:rsidR="000C7EC3" w:rsidRPr="000C7EC3" w:rsidRDefault="000C7EC3" w:rsidP="000C7EC3">
      <w:pPr>
        <w:rPr>
          <w:b/>
          <w:bCs/>
          <w:lang w:val="en-AU"/>
        </w:rPr>
      </w:pPr>
      <w:r w:rsidRPr="000C7EC3">
        <w:rPr>
          <w:b/>
          <w:bCs/>
          <w:lang w:val="en-AU"/>
        </w:rPr>
        <w:t>Paragraph 37, Private Actors and Business Responsibility</w:t>
      </w:r>
    </w:p>
    <w:p w14:paraId="097FA37D" w14:textId="77777777" w:rsidR="000C7EC3" w:rsidRPr="000C7EC3" w:rsidRDefault="000C7EC3" w:rsidP="000C7EC3">
      <w:pPr>
        <w:rPr>
          <w:bCs/>
          <w:lang w:val="en-AU"/>
        </w:rPr>
      </w:pPr>
      <w:r w:rsidRPr="000C7EC3">
        <w:rPr>
          <w:bCs/>
          <w:lang w:val="en-AU"/>
        </w:rPr>
        <w:t>I strongly welcome the reference to business enterprises and human rights due diligence.</w:t>
      </w:r>
    </w:p>
    <w:p w14:paraId="00AFA55E" w14:textId="77777777" w:rsidR="000C7EC3" w:rsidRPr="000C7EC3" w:rsidRDefault="000C7EC3" w:rsidP="000C7EC3">
      <w:pPr>
        <w:rPr>
          <w:bCs/>
          <w:lang w:val="en-AU"/>
        </w:rPr>
      </w:pPr>
      <w:r w:rsidRPr="000C7EC3">
        <w:rPr>
          <w:bCs/>
          <w:lang w:val="en-AU"/>
        </w:rPr>
        <w:t>Major digital platforms, payment intermediaries, hosting services, and communications providers may now substantially mediate civic participation. They can influence whether associations are discoverable, able to communicate with members, raise funds, or continue operations.</w:t>
      </w:r>
    </w:p>
    <w:p w14:paraId="6D67A80A" w14:textId="77777777" w:rsidR="000C7EC3" w:rsidRPr="000C7EC3" w:rsidRDefault="000C7EC3" w:rsidP="000C7EC3">
      <w:pPr>
        <w:rPr>
          <w:bCs/>
          <w:lang w:val="en-AU"/>
        </w:rPr>
      </w:pPr>
      <w:r w:rsidRPr="000C7EC3">
        <w:rPr>
          <w:bCs/>
          <w:lang w:val="en-AU"/>
        </w:rPr>
        <w:lastRenderedPageBreak/>
        <w:t>For example, a migrant legal aid service or community safety organisation may lose access to payment processing or advertising tools due to malicious complaints or opaque automated risk scoring, significantly impairing lawful operations.</w:t>
      </w:r>
    </w:p>
    <w:p w14:paraId="3CA67DDF" w14:textId="77777777" w:rsidR="000C7EC3" w:rsidRPr="000C7EC3" w:rsidRDefault="000C7EC3" w:rsidP="000C7EC3">
      <w:pPr>
        <w:rPr>
          <w:bCs/>
          <w:lang w:val="en-AU"/>
        </w:rPr>
      </w:pPr>
      <w:r w:rsidRPr="000C7EC3">
        <w:rPr>
          <w:bCs/>
          <w:lang w:val="en-AU"/>
        </w:rPr>
        <w:t>I respectfully suggest the Committee note that States Parties may need to adopt appropriate regulatory or policy measures to ensure such governance systems do not arbitrarily impair lawful association.</w:t>
      </w:r>
    </w:p>
    <w:p w14:paraId="5A37AB27" w14:textId="77777777" w:rsidR="000C7EC3" w:rsidRPr="000C7EC3" w:rsidRDefault="000C7EC3" w:rsidP="000C7EC3">
      <w:pPr>
        <w:rPr>
          <w:bCs/>
          <w:lang w:val="en-AU"/>
        </w:rPr>
      </w:pPr>
      <w:r w:rsidRPr="000C7EC3">
        <w:rPr>
          <w:bCs/>
          <w:lang w:val="en-AU"/>
        </w:rPr>
        <w:t>Suggested addition:</w:t>
      </w:r>
    </w:p>
    <w:p w14:paraId="24ADDA86" w14:textId="77777777" w:rsidR="000C7EC3" w:rsidRPr="000C7EC3" w:rsidRDefault="000C7EC3" w:rsidP="000C7EC3">
      <w:pPr>
        <w:rPr>
          <w:bCs/>
          <w:lang w:val="en-AU"/>
        </w:rPr>
      </w:pPr>
      <w:r w:rsidRPr="000C7EC3">
        <w:rPr>
          <w:bCs/>
          <w:lang w:val="en-AU"/>
        </w:rPr>
        <w:t>Where private entities substantially mediate public participation, States Parties should take reasonable measures, consistent with applicable human rights frameworks, to reduce arbitrary or discriminatory interference with lawful freedom of association.</w:t>
      </w:r>
    </w:p>
    <w:p w14:paraId="3CA51AF9" w14:textId="77777777" w:rsidR="000C7EC3" w:rsidRPr="000C7EC3" w:rsidRDefault="000C7EC3" w:rsidP="000C7EC3">
      <w:pPr>
        <w:rPr>
          <w:b/>
          <w:bCs/>
          <w:lang w:val="en-AU"/>
        </w:rPr>
      </w:pPr>
      <w:r w:rsidRPr="000C7EC3">
        <w:rPr>
          <w:b/>
          <w:bCs/>
          <w:lang w:val="en-AU"/>
        </w:rPr>
        <w:t>Additional Comment, Freedom of Association Does Not Protect Organised Harm</w:t>
      </w:r>
    </w:p>
    <w:p w14:paraId="2508A98F" w14:textId="77777777" w:rsidR="000C7EC3" w:rsidRPr="000C7EC3" w:rsidRDefault="000C7EC3" w:rsidP="000C7EC3">
      <w:pPr>
        <w:rPr>
          <w:bCs/>
          <w:lang w:val="en-AU"/>
        </w:rPr>
      </w:pPr>
      <w:r w:rsidRPr="000C7EC3">
        <w:rPr>
          <w:bCs/>
          <w:lang w:val="en-AU"/>
        </w:rPr>
        <w:t>Freedom of association is fundamental in democratic societies. However, it should not be interpreted as a shield for collectives whose dominant purpose or operational activity is the facilitation of criminal conduct, violence, trafficking, coordinated harassment, or systematic abuse of the rights of others.</w:t>
      </w:r>
    </w:p>
    <w:p w14:paraId="585DAA64" w14:textId="77777777" w:rsidR="000C7EC3" w:rsidRPr="000C7EC3" w:rsidRDefault="000C7EC3" w:rsidP="000C7EC3">
      <w:pPr>
        <w:rPr>
          <w:bCs/>
          <w:lang w:val="en-AU"/>
        </w:rPr>
      </w:pPr>
      <w:r w:rsidRPr="000C7EC3">
        <w:rPr>
          <w:bCs/>
          <w:lang w:val="en-AU"/>
        </w:rPr>
        <w:t>In digital environments, some networks may present as communities while functioning in practice as spaces that normalise sexual violence, coordinate targeted abuse, encourage coercive conduct, identify targets, or facilitate offending.</w:t>
      </w:r>
    </w:p>
    <w:p w14:paraId="1C5E9732" w14:textId="77777777" w:rsidR="000C7EC3" w:rsidRPr="000C7EC3" w:rsidRDefault="000C7EC3" w:rsidP="000C7EC3">
      <w:pPr>
        <w:rPr>
          <w:bCs/>
          <w:lang w:val="en-AU"/>
        </w:rPr>
      </w:pPr>
      <w:r w:rsidRPr="000C7EC3">
        <w:rPr>
          <w:bCs/>
          <w:lang w:val="en-AU"/>
        </w:rPr>
        <w:t>For example, online communities that exchange operational guidance to facilitate sexual offending or evade consent safeguards should not be treated as equivalent to lawful civic associations merely because they gather participants.</w:t>
      </w:r>
    </w:p>
    <w:p w14:paraId="73DB1CF9" w14:textId="77777777" w:rsidR="000C7EC3" w:rsidRPr="000C7EC3" w:rsidRDefault="000C7EC3" w:rsidP="000C7EC3">
      <w:pPr>
        <w:rPr>
          <w:bCs/>
          <w:lang w:val="en-AU"/>
        </w:rPr>
      </w:pPr>
      <w:r w:rsidRPr="000C7EC3">
        <w:rPr>
          <w:bCs/>
          <w:lang w:val="en-AU"/>
        </w:rPr>
        <w:t>The Committee may wish to clarify that proportionate, lawful, and rights-consistent measures aimed at disrupting such conduct are compatible with Article 22, subject always to legality, necessity, proportionality, due process, and independent oversight.</w:t>
      </w:r>
    </w:p>
    <w:p w14:paraId="37F3650F" w14:textId="77777777" w:rsidR="000C7EC3" w:rsidRPr="000C7EC3" w:rsidRDefault="000C7EC3" w:rsidP="000C7EC3">
      <w:pPr>
        <w:rPr>
          <w:bCs/>
          <w:lang w:val="en-AU"/>
        </w:rPr>
      </w:pPr>
      <w:r w:rsidRPr="000C7EC3">
        <w:rPr>
          <w:bCs/>
          <w:lang w:val="en-AU"/>
        </w:rPr>
        <w:t>This clarification would protect legitimate association while preventing misuse of rights language to shield organised harm.</w:t>
      </w:r>
    </w:p>
    <w:p w14:paraId="0F78B9CF" w14:textId="77777777" w:rsidR="000C7EC3" w:rsidRPr="000C7EC3" w:rsidRDefault="000C7EC3" w:rsidP="000C7EC3">
      <w:pPr>
        <w:rPr>
          <w:b/>
          <w:bCs/>
          <w:lang w:val="en-AU"/>
        </w:rPr>
      </w:pPr>
      <w:r w:rsidRPr="000C7EC3">
        <w:rPr>
          <w:b/>
          <w:bCs/>
          <w:lang w:val="en-AU"/>
        </w:rPr>
        <w:t>Additional Comment, Storage, Amplification and Effective Remedy</w:t>
      </w:r>
    </w:p>
    <w:p w14:paraId="257CE702" w14:textId="77777777" w:rsidR="000C7EC3" w:rsidRPr="000C7EC3" w:rsidRDefault="000C7EC3" w:rsidP="000C7EC3">
      <w:pPr>
        <w:rPr>
          <w:bCs/>
          <w:lang w:val="en-AU"/>
        </w:rPr>
      </w:pPr>
      <w:r w:rsidRPr="000C7EC3">
        <w:rPr>
          <w:bCs/>
          <w:lang w:val="en-AU"/>
        </w:rPr>
        <w:t>In contemporary environments, harms may be intensified not only through association itself, but through digital systems that store, replicate, recommend, monetise, or amplify abusive material at scale.</w:t>
      </w:r>
    </w:p>
    <w:p w14:paraId="43B70308" w14:textId="77777777" w:rsidR="000C7EC3" w:rsidRPr="000C7EC3" w:rsidRDefault="000C7EC3" w:rsidP="000C7EC3">
      <w:pPr>
        <w:rPr>
          <w:bCs/>
          <w:lang w:val="en-AU"/>
        </w:rPr>
      </w:pPr>
      <w:r w:rsidRPr="000C7EC3">
        <w:rPr>
          <w:bCs/>
          <w:lang w:val="en-AU"/>
        </w:rPr>
        <w:lastRenderedPageBreak/>
        <w:t>For example, defamatory or abusive content targeting a civic leader may remain searchable for years, repeatedly reposted, and surfaced to hostile audiences across platforms. What begins as a single incident may become chronic exclusionary harm.</w:t>
      </w:r>
    </w:p>
    <w:p w14:paraId="5EFC126F" w14:textId="77777777" w:rsidR="000C7EC3" w:rsidRPr="000C7EC3" w:rsidRDefault="000C7EC3" w:rsidP="000C7EC3">
      <w:pPr>
        <w:rPr>
          <w:bCs/>
          <w:lang w:val="en-AU"/>
        </w:rPr>
      </w:pPr>
      <w:r w:rsidRPr="000C7EC3">
        <w:rPr>
          <w:bCs/>
          <w:lang w:val="en-AU"/>
        </w:rPr>
        <w:t>States Parties should consider whether affected individuals have access to:</w:t>
      </w:r>
    </w:p>
    <w:p w14:paraId="075C25F0" w14:textId="77777777" w:rsidR="000C7EC3" w:rsidRPr="000C7EC3" w:rsidRDefault="000C7EC3" w:rsidP="000C7EC3">
      <w:pPr>
        <w:numPr>
          <w:ilvl w:val="0"/>
          <w:numId w:val="14"/>
        </w:numPr>
        <w:rPr>
          <w:bCs/>
          <w:lang w:val="en-AU"/>
        </w:rPr>
      </w:pPr>
      <w:r w:rsidRPr="000C7EC3">
        <w:rPr>
          <w:bCs/>
          <w:lang w:val="en-AU"/>
        </w:rPr>
        <w:t>effective reporting pathways</w:t>
      </w:r>
    </w:p>
    <w:p w14:paraId="75281418" w14:textId="77777777" w:rsidR="000C7EC3" w:rsidRPr="000C7EC3" w:rsidRDefault="000C7EC3" w:rsidP="000C7EC3">
      <w:pPr>
        <w:numPr>
          <w:ilvl w:val="0"/>
          <w:numId w:val="14"/>
        </w:numPr>
        <w:rPr>
          <w:bCs/>
          <w:lang w:val="en-AU"/>
        </w:rPr>
      </w:pPr>
      <w:r w:rsidRPr="000C7EC3">
        <w:rPr>
          <w:bCs/>
          <w:lang w:val="en-AU"/>
        </w:rPr>
        <w:t>timely review of severe harms</w:t>
      </w:r>
    </w:p>
    <w:p w14:paraId="1D97C77E" w14:textId="77777777" w:rsidR="000C7EC3" w:rsidRPr="000C7EC3" w:rsidRDefault="000C7EC3" w:rsidP="000C7EC3">
      <w:pPr>
        <w:numPr>
          <w:ilvl w:val="0"/>
          <w:numId w:val="14"/>
        </w:numPr>
        <w:rPr>
          <w:bCs/>
          <w:lang w:val="en-AU"/>
        </w:rPr>
      </w:pPr>
      <w:r w:rsidRPr="000C7EC3">
        <w:rPr>
          <w:bCs/>
          <w:lang w:val="en-AU"/>
        </w:rPr>
        <w:t>meaningful appeal mechanisms</w:t>
      </w:r>
    </w:p>
    <w:p w14:paraId="62CD0077" w14:textId="77777777" w:rsidR="000C7EC3" w:rsidRPr="000C7EC3" w:rsidRDefault="000C7EC3" w:rsidP="000C7EC3">
      <w:pPr>
        <w:numPr>
          <w:ilvl w:val="0"/>
          <w:numId w:val="14"/>
        </w:numPr>
        <w:rPr>
          <w:bCs/>
          <w:lang w:val="en-AU"/>
        </w:rPr>
      </w:pPr>
      <w:r w:rsidRPr="000C7EC3">
        <w:rPr>
          <w:bCs/>
          <w:lang w:val="en-AU"/>
        </w:rPr>
        <w:t>transparency regarding enforcement processes</w:t>
      </w:r>
    </w:p>
    <w:p w14:paraId="6D97D14F" w14:textId="77777777" w:rsidR="000C7EC3" w:rsidRPr="000C7EC3" w:rsidRDefault="000C7EC3" w:rsidP="000C7EC3">
      <w:pPr>
        <w:numPr>
          <w:ilvl w:val="0"/>
          <w:numId w:val="14"/>
        </w:numPr>
        <w:rPr>
          <w:bCs/>
          <w:lang w:val="en-AU"/>
        </w:rPr>
      </w:pPr>
      <w:r w:rsidRPr="000C7EC3">
        <w:rPr>
          <w:bCs/>
          <w:lang w:val="en-AU"/>
        </w:rPr>
        <w:t xml:space="preserve">evidence preservation </w:t>
      </w:r>
      <w:proofErr w:type="gramStart"/>
      <w:r w:rsidRPr="000C7EC3">
        <w:rPr>
          <w:bCs/>
          <w:lang w:val="en-AU"/>
        </w:rPr>
        <w:t>where</w:t>
      </w:r>
      <w:proofErr w:type="gramEnd"/>
      <w:r w:rsidRPr="000C7EC3">
        <w:rPr>
          <w:bCs/>
          <w:lang w:val="en-AU"/>
        </w:rPr>
        <w:t xml:space="preserve"> lawful and necessary</w:t>
      </w:r>
    </w:p>
    <w:p w14:paraId="7445BC1B" w14:textId="77777777" w:rsidR="000C7EC3" w:rsidRPr="000C7EC3" w:rsidRDefault="000C7EC3" w:rsidP="000C7EC3">
      <w:pPr>
        <w:numPr>
          <w:ilvl w:val="0"/>
          <w:numId w:val="14"/>
        </w:numPr>
        <w:rPr>
          <w:bCs/>
          <w:lang w:val="en-AU"/>
        </w:rPr>
      </w:pPr>
      <w:r w:rsidRPr="000C7EC3">
        <w:rPr>
          <w:bCs/>
          <w:lang w:val="en-AU"/>
        </w:rPr>
        <w:t>appropriate remedies where rights are violated</w:t>
      </w:r>
    </w:p>
    <w:p w14:paraId="324E541E" w14:textId="77777777" w:rsidR="000C7EC3" w:rsidRPr="000C7EC3" w:rsidRDefault="000C7EC3" w:rsidP="000C7EC3">
      <w:pPr>
        <w:rPr>
          <w:b/>
          <w:bCs/>
          <w:lang w:val="en-AU"/>
        </w:rPr>
      </w:pPr>
      <w:r w:rsidRPr="000C7EC3">
        <w:rPr>
          <w:b/>
          <w:bCs/>
          <w:lang w:val="en-AU"/>
        </w:rPr>
        <w:t>Paragraph 38, Equality and Structural Barriers</w:t>
      </w:r>
    </w:p>
    <w:p w14:paraId="01FDC391" w14:textId="77777777" w:rsidR="000C7EC3" w:rsidRPr="000C7EC3" w:rsidRDefault="000C7EC3" w:rsidP="000C7EC3">
      <w:pPr>
        <w:rPr>
          <w:bCs/>
          <w:lang w:val="en-AU"/>
        </w:rPr>
      </w:pPr>
      <w:r w:rsidRPr="000C7EC3">
        <w:rPr>
          <w:bCs/>
          <w:lang w:val="en-AU"/>
        </w:rPr>
        <w:t>I welcome the intersectional framing.</w:t>
      </w:r>
    </w:p>
    <w:p w14:paraId="7F443BC8" w14:textId="77777777" w:rsidR="000C7EC3" w:rsidRPr="000C7EC3" w:rsidRDefault="000C7EC3" w:rsidP="000C7EC3">
      <w:pPr>
        <w:rPr>
          <w:bCs/>
          <w:lang w:val="en-AU"/>
        </w:rPr>
      </w:pPr>
      <w:r w:rsidRPr="000C7EC3">
        <w:rPr>
          <w:bCs/>
          <w:lang w:val="en-AU"/>
        </w:rPr>
        <w:t>I respectfully suggest explicit recognition that barriers are often cumulative. A rural woman with disability, caring responsibilities, low income, and limited digital literacy may face multiple simultaneous obstacles to participation.</w:t>
      </w:r>
    </w:p>
    <w:p w14:paraId="77B66B01" w14:textId="77777777" w:rsidR="000C7EC3" w:rsidRPr="000C7EC3" w:rsidRDefault="000C7EC3" w:rsidP="000C7EC3">
      <w:pPr>
        <w:rPr>
          <w:bCs/>
          <w:lang w:val="en-AU"/>
        </w:rPr>
      </w:pPr>
      <w:r w:rsidRPr="000C7EC3">
        <w:rPr>
          <w:bCs/>
          <w:lang w:val="en-AU"/>
        </w:rPr>
        <w:t>These may include lack of connectivity, inaccessible interfaces, privacy constraints within the home, transport barriers, lack of respite care, or heightened exposure to online abuse.</w:t>
      </w:r>
    </w:p>
    <w:p w14:paraId="2C34062B" w14:textId="77777777" w:rsidR="000C7EC3" w:rsidRPr="000C7EC3" w:rsidRDefault="000C7EC3" w:rsidP="000C7EC3">
      <w:pPr>
        <w:rPr>
          <w:bCs/>
          <w:lang w:val="en-AU"/>
        </w:rPr>
      </w:pPr>
      <w:r w:rsidRPr="000C7EC3">
        <w:rPr>
          <w:bCs/>
          <w:lang w:val="en-AU"/>
        </w:rPr>
        <w:t>Formal equality may therefore be insufficient where practical participation remains inaccessible.</w:t>
      </w:r>
    </w:p>
    <w:p w14:paraId="62DD5C63" w14:textId="77777777" w:rsidR="000C7EC3" w:rsidRPr="000C7EC3" w:rsidRDefault="000C7EC3" w:rsidP="000C7EC3">
      <w:pPr>
        <w:rPr>
          <w:bCs/>
          <w:lang w:val="en-AU"/>
        </w:rPr>
      </w:pPr>
      <w:r w:rsidRPr="000C7EC3">
        <w:rPr>
          <w:bCs/>
          <w:lang w:val="en-AU"/>
        </w:rPr>
        <w:t>Suggested addition:</w:t>
      </w:r>
    </w:p>
    <w:p w14:paraId="612E27B7" w14:textId="77777777" w:rsidR="000C7EC3" w:rsidRPr="000C7EC3" w:rsidRDefault="000C7EC3" w:rsidP="000C7EC3">
      <w:pPr>
        <w:rPr>
          <w:bCs/>
          <w:lang w:val="en-AU"/>
        </w:rPr>
      </w:pPr>
      <w:r w:rsidRPr="000C7EC3">
        <w:rPr>
          <w:bCs/>
          <w:lang w:val="en-AU"/>
        </w:rPr>
        <w:t>States Parties should consider compounding barriers that may render formal rights ineffective in practice.</w:t>
      </w:r>
    </w:p>
    <w:p w14:paraId="42B68AF2" w14:textId="77777777" w:rsidR="000C7EC3" w:rsidRPr="000C7EC3" w:rsidRDefault="000C7EC3" w:rsidP="000C7EC3">
      <w:pPr>
        <w:rPr>
          <w:b/>
          <w:bCs/>
          <w:lang w:val="en-AU"/>
        </w:rPr>
      </w:pPr>
      <w:r w:rsidRPr="000C7EC3">
        <w:rPr>
          <w:b/>
          <w:bCs/>
          <w:lang w:val="en-AU"/>
        </w:rPr>
        <w:t>Paragraphs 41 to 50, Restrictions</w:t>
      </w:r>
    </w:p>
    <w:p w14:paraId="6FFD3C3B" w14:textId="77777777" w:rsidR="000C7EC3" w:rsidRPr="000C7EC3" w:rsidRDefault="000C7EC3" w:rsidP="000C7EC3">
      <w:pPr>
        <w:rPr>
          <w:bCs/>
          <w:lang w:val="en-AU"/>
        </w:rPr>
      </w:pPr>
      <w:r w:rsidRPr="000C7EC3">
        <w:rPr>
          <w:bCs/>
          <w:lang w:val="en-AU"/>
        </w:rPr>
        <w:t>I welcome the emphasis on legality, legitimacy, necessity, and proportionality.</w:t>
      </w:r>
    </w:p>
    <w:p w14:paraId="60FC86DD" w14:textId="77777777" w:rsidR="000C7EC3" w:rsidRPr="000C7EC3" w:rsidRDefault="000C7EC3" w:rsidP="000C7EC3">
      <w:pPr>
        <w:rPr>
          <w:bCs/>
          <w:lang w:val="en-AU"/>
        </w:rPr>
      </w:pPr>
      <w:r w:rsidRPr="000C7EC3">
        <w:rPr>
          <w:bCs/>
          <w:lang w:val="en-AU"/>
        </w:rPr>
        <w:t>I respectfully suggest caution against overbroad reliance on national security, anti-extremism, anti-money laundering, foreign influence, or public order frameworks in ways that unduly burden legitimate civil society activity.</w:t>
      </w:r>
    </w:p>
    <w:p w14:paraId="52CEA79F" w14:textId="77777777" w:rsidR="000C7EC3" w:rsidRPr="000C7EC3" w:rsidRDefault="000C7EC3" w:rsidP="000C7EC3">
      <w:pPr>
        <w:rPr>
          <w:bCs/>
          <w:lang w:val="en-AU"/>
        </w:rPr>
      </w:pPr>
      <w:r w:rsidRPr="000C7EC3">
        <w:rPr>
          <w:bCs/>
          <w:lang w:val="en-AU"/>
        </w:rPr>
        <w:lastRenderedPageBreak/>
        <w:t>Modern restrictions may appear administrative rather than punitive, yet still suppress association through cost, uncertainty, delay, stigma, or excessive compliance burden.</w:t>
      </w:r>
    </w:p>
    <w:p w14:paraId="5D0168B5" w14:textId="77777777" w:rsidR="000C7EC3" w:rsidRPr="000C7EC3" w:rsidRDefault="000C7EC3" w:rsidP="000C7EC3">
      <w:pPr>
        <w:rPr>
          <w:bCs/>
          <w:lang w:val="en-AU"/>
        </w:rPr>
      </w:pPr>
      <w:r w:rsidRPr="000C7EC3">
        <w:rPr>
          <w:bCs/>
          <w:lang w:val="en-AU"/>
        </w:rPr>
        <w:t>For example, a small volunteer-run women’s safety charity may face complex reporting requirements designed for large institutions, resulting in burnout, closure risk, or withdrawal from public engagement.</w:t>
      </w:r>
    </w:p>
    <w:p w14:paraId="1A1AE1D1" w14:textId="77777777" w:rsidR="000C7EC3" w:rsidRPr="000C7EC3" w:rsidRDefault="000C7EC3" w:rsidP="000C7EC3">
      <w:pPr>
        <w:rPr>
          <w:bCs/>
          <w:lang w:val="en-AU"/>
        </w:rPr>
      </w:pPr>
      <w:r w:rsidRPr="000C7EC3">
        <w:rPr>
          <w:bCs/>
          <w:lang w:val="en-AU"/>
        </w:rPr>
        <w:t>Suggested addition:</w:t>
      </w:r>
    </w:p>
    <w:p w14:paraId="1455BE49" w14:textId="77777777" w:rsidR="000C7EC3" w:rsidRPr="000C7EC3" w:rsidRDefault="000C7EC3" w:rsidP="000C7EC3">
      <w:pPr>
        <w:rPr>
          <w:bCs/>
          <w:lang w:val="en-AU"/>
        </w:rPr>
      </w:pPr>
      <w:r w:rsidRPr="000C7EC3">
        <w:rPr>
          <w:bCs/>
          <w:lang w:val="en-AU"/>
        </w:rPr>
        <w:t xml:space="preserve">Administrative or compliance measures that cumulatively deter lawful civic participation should be assessed for compatibility with Article 22, including </w:t>
      </w:r>
      <w:proofErr w:type="gramStart"/>
      <w:r w:rsidRPr="000C7EC3">
        <w:rPr>
          <w:bCs/>
          <w:lang w:val="en-AU"/>
        </w:rPr>
        <w:t>where</w:t>
      </w:r>
      <w:proofErr w:type="gramEnd"/>
      <w:r w:rsidRPr="000C7EC3">
        <w:rPr>
          <w:bCs/>
          <w:lang w:val="en-AU"/>
        </w:rPr>
        <w:t xml:space="preserve"> framed as technical regulatory requirements.</w:t>
      </w:r>
    </w:p>
    <w:p w14:paraId="3871A234" w14:textId="77777777" w:rsidR="000C7EC3" w:rsidRPr="000C7EC3" w:rsidRDefault="000C7EC3" w:rsidP="000C7EC3">
      <w:pPr>
        <w:rPr>
          <w:b/>
          <w:bCs/>
          <w:lang w:val="en-AU"/>
        </w:rPr>
      </w:pPr>
      <w:r w:rsidRPr="000C7EC3">
        <w:rPr>
          <w:b/>
          <w:bCs/>
          <w:lang w:val="en-AU"/>
        </w:rPr>
        <w:t>Children and Young People</w:t>
      </w:r>
    </w:p>
    <w:p w14:paraId="7A687AC1" w14:textId="77777777" w:rsidR="000C7EC3" w:rsidRPr="000C7EC3" w:rsidRDefault="000C7EC3" w:rsidP="000C7EC3">
      <w:pPr>
        <w:rPr>
          <w:bCs/>
          <w:lang w:val="en-AU"/>
        </w:rPr>
      </w:pPr>
      <w:r w:rsidRPr="000C7EC3">
        <w:rPr>
          <w:bCs/>
          <w:lang w:val="en-AU"/>
        </w:rPr>
        <w:t>Given the increasing role of youth-led organising, peer support communities, student networks, and digital activism, I encourage stronger recognition of children and young people as rights-holders under Article 22.</w:t>
      </w:r>
    </w:p>
    <w:p w14:paraId="153A4476" w14:textId="77777777" w:rsidR="000C7EC3" w:rsidRPr="000C7EC3" w:rsidRDefault="000C7EC3" w:rsidP="000C7EC3">
      <w:pPr>
        <w:rPr>
          <w:bCs/>
          <w:lang w:val="en-AU"/>
        </w:rPr>
      </w:pPr>
      <w:r w:rsidRPr="000C7EC3">
        <w:rPr>
          <w:bCs/>
          <w:lang w:val="en-AU"/>
        </w:rPr>
        <w:t xml:space="preserve">Young people increasingly associate through digital means for education, wellbeing, inclusion, and democratic participation. Protective measures should be age-appropriate and </w:t>
      </w:r>
      <w:proofErr w:type="gramStart"/>
      <w:r w:rsidRPr="000C7EC3">
        <w:rPr>
          <w:bCs/>
          <w:lang w:val="en-AU"/>
        </w:rPr>
        <w:t>proportionate, and</w:t>
      </w:r>
      <w:proofErr w:type="gramEnd"/>
      <w:r w:rsidRPr="000C7EC3">
        <w:rPr>
          <w:bCs/>
          <w:lang w:val="en-AU"/>
        </w:rPr>
        <w:t xml:space="preserve"> should not unnecessarily suppress lawful participation.</w:t>
      </w:r>
    </w:p>
    <w:p w14:paraId="77613091" w14:textId="77777777" w:rsidR="000C7EC3" w:rsidRPr="000C7EC3" w:rsidRDefault="000C7EC3" w:rsidP="000C7EC3">
      <w:pPr>
        <w:rPr>
          <w:b/>
          <w:bCs/>
          <w:lang w:val="en-AU"/>
        </w:rPr>
      </w:pPr>
      <w:r w:rsidRPr="000C7EC3">
        <w:rPr>
          <w:b/>
          <w:bCs/>
          <w:lang w:val="en-AU"/>
        </w:rPr>
        <w:t>Preventative and Safety by Design Approaches</w:t>
      </w:r>
    </w:p>
    <w:p w14:paraId="66911260" w14:textId="77777777" w:rsidR="000C7EC3" w:rsidRPr="000C7EC3" w:rsidRDefault="000C7EC3" w:rsidP="000C7EC3">
      <w:pPr>
        <w:rPr>
          <w:bCs/>
          <w:lang w:val="en-AU"/>
        </w:rPr>
      </w:pPr>
      <w:r w:rsidRPr="000C7EC3">
        <w:rPr>
          <w:bCs/>
          <w:lang w:val="en-AU"/>
        </w:rPr>
        <w:t>The Committee may also wish to acknowledge the value of preventative approaches.</w:t>
      </w:r>
    </w:p>
    <w:p w14:paraId="667AD5B3" w14:textId="77777777" w:rsidR="000C7EC3" w:rsidRPr="000C7EC3" w:rsidRDefault="000C7EC3" w:rsidP="000C7EC3">
      <w:pPr>
        <w:rPr>
          <w:bCs/>
          <w:lang w:val="en-AU"/>
        </w:rPr>
      </w:pPr>
      <w:r w:rsidRPr="000C7EC3">
        <w:rPr>
          <w:bCs/>
          <w:lang w:val="en-AU"/>
        </w:rPr>
        <w:t>Freedom of association is better protected where systems are designed to reduce foreseeable harm rather than relying solely on downstream remedies after harm has occurred.</w:t>
      </w:r>
    </w:p>
    <w:p w14:paraId="1165124A" w14:textId="77777777" w:rsidR="000C7EC3" w:rsidRPr="000C7EC3" w:rsidRDefault="000C7EC3" w:rsidP="000C7EC3">
      <w:pPr>
        <w:rPr>
          <w:bCs/>
          <w:lang w:val="en-AU"/>
        </w:rPr>
      </w:pPr>
      <w:r w:rsidRPr="000C7EC3">
        <w:rPr>
          <w:bCs/>
          <w:lang w:val="en-AU"/>
        </w:rPr>
        <w:t>This may include privacy by design, accessible interfaces, reporting tools, anti-harassment functions, transparent moderation systems, and rights-respecting product design.</w:t>
      </w:r>
    </w:p>
    <w:p w14:paraId="6D7B67B0" w14:textId="77777777" w:rsidR="000C7EC3" w:rsidRPr="000C7EC3" w:rsidRDefault="000C7EC3" w:rsidP="000C7EC3">
      <w:pPr>
        <w:rPr>
          <w:bCs/>
          <w:lang w:val="en-AU"/>
        </w:rPr>
      </w:pPr>
      <w:r w:rsidRPr="000C7EC3">
        <w:rPr>
          <w:bCs/>
          <w:lang w:val="en-AU"/>
        </w:rPr>
        <w:t>For example, a platform launched without reporting tools, blocking functions, moderation escalation pathways, or privacy safeguards may predictably become hostile to vulnerable users, thereby undermining meaningful participation.</w:t>
      </w:r>
    </w:p>
    <w:p w14:paraId="3245BDBB" w14:textId="77777777" w:rsidR="000C7EC3" w:rsidRPr="000C7EC3" w:rsidRDefault="000C7EC3" w:rsidP="000C7EC3">
      <w:pPr>
        <w:rPr>
          <w:b/>
          <w:bCs/>
          <w:lang w:val="en-AU"/>
        </w:rPr>
      </w:pPr>
      <w:r w:rsidRPr="000C7EC3">
        <w:rPr>
          <w:b/>
          <w:bCs/>
          <w:lang w:val="en-AU"/>
        </w:rPr>
        <w:t>Conclusion</w:t>
      </w:r>
    </w:p>
    <w:p w14:paraId="388C6CE6" w14:textId="77777777" w:rsidR="000C7EC3" w:rsidRPr="000C7EC3" w:rsidRDefault="000C7EC3" w:rsidP="000C7EC3">
      <w:pPr>
        <w:rPr>
          <w:bCs/>
          <w:lang w:val="en-AU"/>
        </w:rPr>
      </w:pPr>
      <w:r w:rsidRPr="000C7EC3">
        <w:rPr>
          <w:bCs/>
          <w:lang w:val="en-AU"/>
        </w:rPr>
        <w:t>The Draft General Comment is a significant and welcome contribution.</w:t>
      </w:r>
    </w:p>
    <w:p w14:paraId="7E3A95B5" w14:textId="77777777" w:rsidR="000C7EC3" w:rsidRPr="000C7EC3" w:rsidRDefault="000C7EC3" w:rsidP="000C7EC3">
      <w:pPr>
        <w:rPr>
          <w:bCs/>
          <w:lang w:val="en-AU"/>
        </w:rPr>
      </w:pPr>
      <w:r w:rsidRPr="000C7EC3">
        <w:rPr>
          <w:bCs/>
          <w:lang w:val="en-AU"/>
        </w:rPr>
        <w:lastRenderedPageBreak/>
        <w:t>I respectfully encourage the Committee to ensure the final text fully reflects the realities of association in the digital age.</w:t>
      </w:r>
    </w:p>
    <w:p w14:paraId="288E3F03" w14:textId="77777777" w:rsidR="000C7EC3" w:rsidRPr="000C7EC3" w:rsidRDefault="000C7EC3" w:rsidP="000C7EC3">
      <w:pPr>
        <w:rPr>
          <w:bCs/>
          <w:lang w:val="en-AU"/>
        </w:rPr>
      </w:pPr>
      <w:r w:rsidRPr="000C7EC3">
        <w:rPr>
          <w:bCs/>
          <w:lang w:val="en-AU"/>
        </w:rPr>
        <w:t>Today, exclusion from association may arise not only through prohibition, but through friction, opacity, intimidation, surveillance, discriminatory systems, financial disruption, or cumulative disadvantage.</w:t>
      </w:r>
    </w:p>
    <w:p w14:paraId="74140C1C" w14:textId="77777777" w:rsidR="000C7EC3" w:rsidRPr="000C7EC3" w:rsidRDefault="000C7EC3" w:rsidP="000C7EC3">
      <w:pPr>
        <w:rPr>
          <w:bCs/>
          <w:lang w:val="en-AU"/>
        </w:rPr>
      </w:pPr>
      <w:r w:rsidRPr="000C7EC3">
        <w:rPr>
          <w:bCs/>
          <w:lang w:val="en-AU"/>
        </w:rPr>
        <w:t>Equally, freedom of association should not be misused to legitimise organised abuse or systems that facilitate violence against others.</w:t>
      </w:r>
    </w:p>
    <w:p w14:paraId="40218CF3" w14:textId="77777777" w:rsidR="000C7EC3" w:rsidRPr="000C7EC3" w:rsidRDefault="000C7EC3" w:rsidP="000C7EC3">
      <w:pPr>
        <w:rPr>
          <w:bCs/>
          <w:lang w:val="en-AU"/>
        </w:rPr>
      </w:pPr>
      <w:r w:rsidRPr="000C7EC3">
        <w:rPr>
          <w:bCs/>
          <w:lang w:val="en-AU"/>
        </w:rPr>
        <w:t>Protecting Article 22 now requires attention to both civic law and civic infrastructure.</w:t>
      </w:r>
    </w:p>
    <w:p w14:paraId="62292D01" w14:textId="77777777" w:rsidR="000C7EC3" w:rsidRPr="000C7EC3" w:rsidRDefault="000C7EC3" w:rsidP="000C7EC3">
      <w:pPr>
        <w:rPr>
          <w:bCs/>
          <w:lang w:val="en-AU"/>
        </w:rPr>
      </w:pPr>
      <w:r w:rsidRPr="000C7EC3">
        <w:rPr>
          <w:bCs/>
          <w:lang w:val="en-AU"/>
        </w:rPr>
        <w:t>When people cannot safely connect, organise, participate, or belong, democratic life is diminished.</w:t>
      </w:r>
    </w:p>
    <w:p w14:paraId="60B05A53" w14:textId="77777777" w:rsidR="000C7EC3" w:rsidRDefault="000C7EC3" w:rsidP="000C7EC3">
      <w:pPr>
        <w:rPr>
          <w:bCs/>
          <w:lang w:val="en-AU"/>
        </w:rPr>
      </w:pPr>
      <w:r w:rsidRPr="000C7EC3">
        <w:rPr>
          <w:bCs/>
          <w:lang w:val="en-AU"/>
        </w:rPr>
        <w:t>A contemporary interpretation of Article 22 should ensure that freedom of association remains real, inclusive, and effective for all.</w:t>
      </w:r>
    </w:p>
    <w:p w14:paraId="0289861F" w14:textId="77777777" w:rsidR="000C7EC3" w:rsidRDefault="000C7EC3" w:rsidP="000C7EC3">
      <w:pPr>
        <w:rPr>
          <w:bCs/>
          <w:lang w:val="en-A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5"/>
        <w:gridCol w:w="2158"/>
        <w:gridCol w:w="2661"/>
        <w:gridCol w:w="2386"/>
      </w:tblGrid>
      <w:tr w:rsidR="000C7EC3" w:rsidRPr="000C7EC3" w14:paraId="44ADE221" w14:textId="77777777">
        <w:trPr>
          <w:tblHeader/>
          <w:tblCellSpacing w:w="15" w:type="dxa"/>
        </w:trPr>
        <w:tc>
          <w:tcPr>
            <w:tcW w:w="0" w:type="auto"/>
            <w:vAlign w:val="center"/>
            <w:hideMark/>
          </w:tcPr>
          <w:p w14:paraId="021278C7" w14:textId="77777777" w:rsidR="000C7EC3" w:rsidRPr="000C7EC3" w:rsidRDefault="000C7EC3" w:rsidP="000C7EC3">
            <w:pPr>
              <w:rPr>
                <w:b/>
                <w:bCs/>
                <w:lang w:val="en-AU"/>
              </w:rPr>
            </w:pPr>
            <w:r w:rsidRPr="000C7EC3">
              <w:rPr>
                <w:b/>
                <w:bCs/>
                <w:lang w:val="en-AU"/>
              </w:rPr>
              <w:t>Draft Paragraph</w:t>
            </w:r>
          </w:p>
        </w:tc>
        <w:tc>
          <w:tcPr>
            <w:tcW w:w="0" w:type="auto"/>
            <w:vAlign w:val="center"/>
            <w:hideMark/>
          </w:tcPr>
          <w:p w14:paraId="19B01275" w14:textId="77777777" w:rsidR="000C7EC3" w:rsidRPr="000C7EC3" w:rsidRDefault="000C7EC3" w:rsidP="000C7EC3">
            <w:pPr>
              <w:rPr>
                <w:b/>
                <w:bCs/>
                <w:lang w:val="en-AU"/>
              </w:rPr>
            </w:pPr>
            <w:r w:rsidRPr="000C7EC3">
              <w:rPr>
                <w:b/>
                <w:bCs/>
                <w:lang w:val="en-AU"/>
              </w:rPr>
              <w:t>Current Text Focus</w:t>
            </w:r>
          </w:p>
        </w:tc>
        <w:tc>
          <w:tcPr>
            <w:tcW w:w="0" w:type="auto"/>
            <w:vAlign w:val="center"/>
            <w:hideMark/>
          </w:tcPr>
          <w:p w14:paraId="12C0D3C6" w14:textId="77777777" w:rsidR="000C7EC3" w:rsidRPr="000C7EC3" w:rsidRDefault="000C7EC3" w:rsidP="000C7EC3">
            <w:pPr>
              <w:rPr>
                <w:b/>
                <w:bCs/>
                <w:lang w:val="en-AU"/>
              </w:rPr>
            </w:pPr>
            <w:r w:rsidRPr="000C7EC3">
              <w:rPr>
                <w:b/>
                <w:bCs/>
                <w:lang w:val="en-AU"/>
              </w:rPr>
              <w:t>Recommended Change</w:t>
            </w:r>
          </w:p>
        </w:tc>
        <w:tc>
          <w:tcPr>
            <w:tcW w:w="0" w:type="auto"/>
            <w:vAlign w:val="center"/>
            <w:hideMark/>
          </w:tcPr>
          <w:p w14:paraId="0A88FF11" w14:textId="77777777" w:rsidR="000C7EC3" w:rsidRPr="000C7EC3" w:rsidRDefault="000C7EC3" w:rsidP="000C7EC3">
            <w:pPr>
              <w:rPr>
                <w:b/>
                <w:bCs/>
                <w:lang w:val="en-AU"/>
              </w:rPr>
            </w:pPr>
            <w:r w:rsidRPr="000C7EC3">
              <w:rPr>
                <w:b/>
                <w:bCs/>
                <w:lang w:val="en-AU"/>
              </w:rPr>
              <w:t>Justification</w:t>
            </w:r>
          </w:p>
        </w:tc>
      </w:tr>
      <w:tr w:rsidR="000C7EC3" w:rsidRPr="000C7EC3" w14:paraId="1E827923" w14:textId="77777777">
        <w:trPr>
          <w:tblCellSpacing w:w="15" w:type="dxa"/>
        </w:trPr>
        <w:tc>
          <w:tcPr>
            <w:tcW w:w="0" w:type="auto"/>
            <w:vAlign w:val="center"/>
            <w:hideMark/>
          </w:tcPr>
          <w:p w14:paraId="5DC8D33E" w14:textId="77777777" w:rsidR="000C7EC3" w:rsidRPr="000C7EC3" w:rsidRDefault="000C7EC3" w:rsidP="000C7EC3">
            <w:pPr>
              <w:rPr>
                <w:bCs/>
                <w:lang w:val="en-AU"/>
              </w:rPr>
            </w:pPr>
            <w:r w:rsidRPr="000C7EC3">
              <w:rPr>
                <w:b/>
                <w:bCs/>
                <w:lang w:val="en-AU"/>
              </w:rPr>
              <w:t>Para 11</w:t>
            </w:r>
          </w:p>
        </w:tc>
        <w:tc>
          <w:tcPr>
            <w:tcW w:w="0" w:type="auto"/>
            <w:vAlign w:val="center"/>
            <w:hideMark/>
          </w:tcPr>
          <w:p w14:paraId="7C5CE7C2" w14:textId="77777777" w:rsidR="000C7EC3" w:rsidRPr="000C7EC3" w:rsidRDefault="000C7EC3" w:rsidP="000C7EC3">
            <w:pPr>
              <w:rPr>
                <w:bCs/>
                <w:lang w:val="en-AU"/>
              </w:rPr>
            </w:pPr>
            <w:r w:rsidRPr="000C7EC3">
              <w:rPr>
                <w:bCs/>
                <w:lang w:val="en-AU"/>
              </w:rPr>
              <w:t>Recognises Article 22 applies online and offline. Notes digital surveillance, shutdowns, monitoring, and chilling effects.</w:t>
            </w:r>
          </w:p>
        </w:tc>
        <w:tc>
          <w:tcPr>
            <w:tcW w:w="0" w:type="auto"/>
            <w:vAlign w:val="center"/>
            <w:hideMark/>
          </w:tcPr>
          <w:p w14:paraId="1333EF72" w14:textId="77777777" w:rsidR="000C7EC3" w:rsidRPr="000C7EC3" w:rsidRDefault="000C7EC3" w:rsidP="000C7EC3">
            <w:pPr>
              <w:rPr>
                <w:bCs/>
                <w:lang w:val="en-AU"/>
              </w:rPr>
            </w:pPr>
            <w:r w:rsidRPr="000C7EC3">
              <w:rPr>
                <w:bCs/>
                <w:lang w:val="en-AU"/>
              </w:rPr>
              <w:t xml:space="preserve">Expand to recognise that for many people online association is the </w:t>
            </w:r>
            <w:r w:rsidRPr="000C7EC3">
              <w:rPr>
                <w:b/>
                <w:bCs/>
                <w:lang w:val="en-AU"/>
              </w:rPr>
              <w:t>primary practical mode</w:t>
            </w:r>
            <w:r w:rsidRPr="000C7EC3">
              <w:rPr>
                <w:bCs/>
                <w:lang w:val="en-AU"/>
              </w:rPr>
              <w:t xml:space="preserve"> of exercising the right. Add safe digital access, accessibility, and fair participation environments as essential conditions.</w:t>
            </w:r>
          </w:p>
        </w:tc>
        <w:tc>
          <w:tcPr>
            <w:tcW w:w="0" w:type="auto"/>
            <w:vAlign w:val="center"/>
            <w:hideMark/>
          </w:tcPr>
          <w:p w14:paraId="4A75A688" w14:textId="77777777" w:rsidR="000C7EC3" w:rsidRPr="000C7EC3" w:rsidRDefault="000C7EC3" w:rsidP="000C7EC3">
            <w:pPr>
              <w:rPr>
                <w:bCs/>
                <w:lang w:val="en-AU"/>
              </w:rPr>
            </w:pPr>
            <w:r w:rsidRPr="000C7EC3">
              <w:rPr>
                <w:bCs/>
                <w:lang w:val="en-AU"/>
              </w:rPr>
              <w:t>Current text acknowledges digital harms but understates dependence on digital spaces for rural communities, carers, disabled people, migrants, youth, and survivors. Strengthens real-world applicability.</w:t>
            </w:r>
          </w:p>
        </w:tc>
      </w:tr>
      <w:tr w:rsidR="000C7EC3" w:rsidRPr="000C7EC3" w14:paraId="72EF1771" w14:textId="77777777">
        <w:trPr>
          <w:tblCellSpacing w:w="15" w:type="dxa"/>
        </w:trPr>
        <w:tc>
          <w:tcPr>
            <w:tcW w:w="0" w:type="auto"/>
            <w:vAlign w:val="center"/>
            <w:hideMark/>
          </w:tcPr>
          <w:p w14:paraId="0E6E035E" w14:textId="77777777" w:rsidR="000C7EC3" w:rsidRPr="000C7EC3" w:rsidRDefault="000C7EC3" w:rsidP="000C7EC3">
            <w:pPr>
              <w:rPr>
                <w:bCs/>
                <w:lang w:val="en-AU"/>
              </w:rPr>
            </w:pPr>
            <w:r w:rsidRPr="000C7EC3">
              <w:rPr>
                <w:b/>
                <w:bCs/>
                <w:lang w:val="en-AU"/>
              </w:rPr>
              <w:t>Paras 30–32</w:t>
            </w:r>
          </w:p>
        </w:tc>
        <w:tc>
          <w:tcPr>
            <w:tcW w:w="0" w:type="auto"/>
            <w:vAlign w:val="center"/>
            <w:hideMark/>
          </w:tcPr>
          <w:p w14:paraId="2D83E3D9" w14:textId="77777777" w:rsidR="000C7EC3" w:rsidRPr="000C7EC3" w:rsidRDefault="000C7EC3" w:rsidP="000C7EC3">
            <w:pPr>
              <w:rPr>
                <w:bCs/>
                <w:lang w:val="en-AU"/>
              </w:rPr>
            </w:pPr>
            <w:r w:rsidRPr="000C7EC3">
              <w:rPr>
                <w:bCs/>
                <w:lang w:val="en-AU"/>
              </w:rPr>
              <w:t xml:space="preserve">Lists state interference such as refusal to register, surveillance, raids, reprisals, misuse of </w:t>
            </w:r>
            <w:r w:rsidRPr="000C7EC3">
              <w:rPr>
                <w:bCs/>
                <w:lang w:val="en-AU"/>
              </w:rPr>
              <w:lastRenderedPageBreak/>
              <w:t>laws, transnational repression.</w:t>
            </w:r>
          </w:p>
        </w:tc>
        <w:tc>
          <w:tcPr>
            <w:tcW w:w="0" w:type="auto"/>
            <w:vAlign w:val="center"/>
            <w:hideMark/>
          </w:tcPr>
          <w:p w14:paraId="37C8C63D" w14:textId="77777777" w:rsidR="000C7EC3" w:rsidRPr="000C7EC3" w:rsidRDefault="000C7EC3" w:rsidP="000C7EC3">
            <w:pPr>
              <w:rPr>
                <w:bCs/>
                <w:lang w:val="en-AU"/>
              </w:rPr>
            </w:pPr>
            <w:r w:rsidRPr="000C7EC3">
              <w:rPr>
                <w:bCs/>
                <w:lang w:val="en-AU"/>
              </w:rPr>
              <w:lastRenderedPageBreak/>
              <w:t xml:space="preserve">Explicitly include algorithmic suppression, coordinated false reporting, doxxing, arbitrary account suspension, cyber harassment, digital attacks </w:t>
            </w:r>
            <w:r w:rsidRPr="000C7EC3">
              <w:rPr>
                <w:bCs/>
                <w:lang w:val="en-AU"/>
              </w:rPr>
              <w:lastRenderedPageBreak/>
              <w:t>on fundraising or communications.</w:t>
            </w:r>
          </w:p>
        </w:tc>
        <w:tc>
          <w:tcPr>
            <w:tcW w:w="0" w:type="auto"/>
            <w:vAlign w:val="center"/>
            <w:hideMark/>
          </w:tcPr>
          <w:p w14:paraId="2C69D3CD" w14:textId="77777777" w:rsidR="000C7EC3" w:rsidRPr="000C7EC3" w:rsidRDefault="000C7EC3" w:rsidP="000C7EC3">
            <w:pPr>
              <w:rPr>
                <w:bCs/>
                <w:lang w:val="en-AU"/>
              </w:rPr>
            </w:pPr>
            <w:r w:rsidRPr="000C7EC3">
              <w:rPr>
                <w:bCs/>
                <w:lang w:val="en-AU"/>
              </w:rPr>
              <w:lastRenderedPageBreak/>
              <w:t xml:space="preserve">Modern suppression often occurs invisibly through systems rather than formal state bans. Closes gap between classic repression </w:t>
            </w:r>
            <w:r w:rsidRPr="000C7EC3">
              <w:rPr>
                <w:bCs/>
                <w:lang w:val="en-AU"/>
              </w:rPr>
              <w:lastRenderedPageBreak/>
              <w:t>models and platform-era realities.</w:t>
            </w:r>
          </w:p>
        </w:tc>
      </w:tr>
      <w:tr w:rsidR="000C7EC3" w:rsidRPr="000C7EC3" w14:paraId="695542C2" w14:textId="77777777">
        <w:trPr>
          <w:tblCellSpacing w:w="15" w:type="dxa"/>
        </w:trPr>
        <w:tc>
          <w:tcPr>
            <w:tcW w:w="0" w:type="auto"/>
            <w:vAlign w:val="center"/>
            <w:hideMark/>
          </w:tcPr>
          <w:p w14:paraId="59633E30" w14:textId="77777777" w:rsidR="000C7EC3" w:rsidRPr="000C7EC3" w:rsidRDefault="000C7EC3" w:rsidP="000C7EC3">
            <w:pPr>
              <w:rPr>
                <w:bCs/>
                <w:lang w:val="en-AU"/>
              </w:rPr>
            </w:pPr>
            <w:r w:rsidRPr="000C7EC3">
              <w:rPr>
                <w:b/>
                <w:bCs/>
                <w:lang w:val="en-AU"/>
              </w:rPr>
              <w:lastRenderedPageBreak/>
              <w:t>Para 35</w:t>
            </w:r>
          </w:p>
        </w:tc>
        <w:tc>
          <w:tcPr>
            <w:tcW w:w="0" w:type="auto"/>
            <w:vAlign w:val="center"/>
            <w:hideMark/>
          </w:tcPr>
          <w:p w14:paraId="4F55A641" w14:textId="77777777" w:rsidR="000C7EC3" w:rsidRPr="000C7EC3" w:rsidRDefault="000C7EC3" w:rsidP="000C7EC3">
            <w:pPr>
              <w:rPr>
                <w:bCs/>
                <w:lang w:val="en-AU"/>
              </w:rPr>
            </w:pPr>
            <w:r w:rsidRPr="000C7EC3">
              <w:rPr>
                <w:bCs/>
                <w:lang w:val="en-AU"/>
              </w:rPr>
              <w:t>States must address hostile actions, discourses, and narratives against associations and members.</w:t>
            </w:r>
          </w:p>
        </w:tc>
        <w:tc>
          <w:tcPr>
            <w:tcW w:w="0" w:type="auto"/>
            <w:vAlign w:val="center"/>
            <w:hideMark/>
          </w:tcPr>
          <w:p w14:paraId="23D7FE41" w14:textId="77777777" w:rsidR="000C7EC3" w:rsidRPr="000C7EC3" w:rsidRDefault="000C7EC3" w:rsidP="000C7EC3">
            <w:pPr>
              <w:rPr>
                <w:bCs/>
                <w:lang w:val="en-AU"/>
              </w:rPr>
            </w:pPr>
            <w:r w:rsidRPr="000C7EC3">
              <w:rPr>
                <w:bCs/>
                <w:lang w:val="en-AU"/>
              </w:rPr>
              <w:t>Add targeted online harassment campaigns that disproportionately exclude women, minorities, LGBTQI+ groups, defenders, and civic leaders.</w:t>
            </w:r>
          </w:p>
        </w:tc>
        <w:tc>
          <w:tcPr>
            <w:tcW w:w="0" w:type="auto"/>
            <w:vAlign w:val="center"/>
            <w:hideMark/>
          </w:tcPr>
          <w:p w14:paraId="3041DA02" w14:textId="77777777" w:rsidR="000C7EC3" w:rsidRPr="000C7EC3" w:rsidRDefault="000C7EC3" w:rsidP="000C7EC3">
            <w:pPr>
              <w:rPr>
                <w:bCs/>
                <w:lang w:val="en-AU"/>
              </w:rPr>
            </w:pPr>
            <w:r w:rsidRPr="000C7EC3">
              <w:rPr>
                <w:bCs/>
                <w:lang w:val="en-AU"/>
              </w:rPr>
              <w:t>Converts abstract hostility into participation analysis. Shows abuse can remove people from public life and weaken pluralism.</w:t>
            </w:r>
          </w:p>
        </w:tc>
      </w:tr>
      <w:tr w:rsidR="000C7EC3" w:rsidRPr="000C7EC3" w14:paraId="45B96178" w14:textId="77777777">
        <w:trPr>
          <w:tblCellSpacing w:w="15" w:type="dxa"/>
        </w:trPr>
        <w:tc>
          <w:tcPr>
            <w:tcW w:w="0" w:type="auto"/>
            <w:vAlign w:val="center"/>
            <w:hideMark/>
          </w:tcPr>
          <w:p w14:paraId="06EF09FC" w14:textId="77777777" w:rsidR="000C7EC3" w:rsidRPr="000C7EC3" w:rsidRDefault="000C7EC3" w:rsidP="000C7EC3">
            <w:pPr>
              <w:rPr>
                <w:bCs/>
                <w:lang w:val="en-AU"/>
              </w:rPr>
            </w:pPr>
            <w:r w:rsidRPr="000C7EC3">
              <w:rPr>
                <w:b/>
                <w:bCs/>
                <w:lang w:val="en-AU"/>
              </w:rPr>
              <w:t>Para 37</w:t>
            </w:r>
          </w:p>
        </w:tc>
        <w:tc>
          <w:tcPr>
            <w:tcW w:w="0" w:type="auto"/>
            <w:vAlign w:val="center"/>
            <w:hideMark/>
          </w:tcPr>
          <w:p w14:paraId="1B5EC58B" w14:textId="77777777" w:rsidR="000C7EC3" w:rsidRPr="000C7EC3" w:rsidRDefault="000C7EC3" w:rsidP="000C7EC3">
            <w:pPr>
              <w:rPr>
                <w:bCs/>
                <w:lang w:val="en-AU"/>
              </w:rPr>
            </w:pPr>
            <w:r w:rsidRPr="000C7EC3">
              <w:rPr>
                <w:bCs/>
                <w:lang w:val="en-AU"/>
              </w:rPr>
              <w:t>States should require business enterprises to undertake human rights due diligence and investigate abuses.</w:t>
            </w:r>
          </w:p>
        </w:tc>
        <w:tc>
          <w:tcPr>
            <w:tcW w:w="0" w:type="auto"/>
            <w:vAlign w:val="center"/>
            <w:hideMark/>
          </w:tcPr>
          <w:p w14:paraId="1DCD136E" w14:textId="77777777" w:rsidR="000C7EC3" w:rsidRPr="000C7EC3" w:rsidRDefault="000C7EC3" w:rsidP="000C7EC3">
            <w:pPr>
              <w:rPr>
                <w:bCs/>
                <w:lang w:val="en-AU"/>
              </w:rPr>
            </w:pPr>
            <w:r w:rsidRPr="000C7EC3">
              <w:rPr>
                <w:bCs/>
                <w:lang w:val="en-AU"/>
              </w:rPr>
              <w:t>Recognise private platforms, payment processors, hosts, and digital intermediaries as civic gatekeepers. Require measures against arbitrary or discriminatory interference.</w:t>
            </w:r>
          </w:p>
        </w:tc>
        <w:tc>
          <w:tcPr>
            <w:tcW w:w="0" w:type="auto"/>
            <w:vAlign w:val="center"/>
            <w:hideMark/>
          </w:tcPr>
          <w:p w14:paraId="5F6F23B3" w14:textId="77777777" w:rsidR="000C7EC3" w:rsidRPr="000C7EC3" w:rsidRDefault="000C7EC3" w:rsidP="000C7EC3">
            <w:pPr>
              <w:rPr>
                <w:bCs/>
                <w:lang w:val="en-AU"/>
              </w:rPr>
            </w:pPr>
            <w:r w:rsidRPr="000C7EC3">
              <w:rPr>
                <w:bCs/>
                <w:lang w:val="en-AU"/>
              </w:rPr>
              <w:t>Current text is broad. Your change gives operational meaning to HRDD where private actors control discoverability, donations, communication, and continuity of associations.</w:t>
            </w:r>
          </w:p>
        </w:tc>
      </w:tr>
      <w:tr w:rsidR="000C7EC3" w:rsidRPr="000C7EC3" w14:paraId="2FB6956B" w14:textId="77777777">
        <w:trPr>
          <w:tblCellSpacing w:w="15" w:type="dxa"/>
        </w:trPr>
        <w:tc>
          <w:tcPr>
            <w:tcW w:w="0" w:type="auto"/>
            <w:vAlign w:val="center"/>
            <w:hideMark/>
          </w:tcPr>
          <w:p w14:paraId="73DD1175" w14:textId="77777777" w:rsidR="000C7EC3" w:rsidRPr="000C7EC3" w:rsidRDefault="000C7EC3" w:rsidP="000C7EC3">
            <w:pPr>
              <w:rPr>
                <w:bCs/>
                <w:lang w:val="en-AU"/>
              </w:rPr>
            </w:pPr>
            <w:r w:rsidRPr="000C7EC3">
              <w:rPr>
                <w:b/>
                <w:bCs/>
                <w:lang w:val="en-AU"/>
              </w:rPr>
              <w:t>Para 38</w:t>
            </w:r>
          </w:p>
        </w:tc>
        <w:tc>
          <w:tcPr>
            <w:tcW w:w="0" w:type="auto"/>
            <w:vAlign w:val="center"/>
            <w:hideMark/>
          </w:tcPr>
          <w:p w14:paraId="02F39FAE" w14:textId="77777777" w:rsidR="000C7EC3" w:rsidRPr="000C7EC3" w:rsidRDefault="000C7EC3" w:rsidP="000C7EC3">
            <w:pPr>
              <w:rPr>
                <w:bCs/>
                <w:lang w:val="en-AU"/>
              </w:rPr>
            </w:pPr>
            <w:r w:rsidRPr="000C7EC3">
              <w:rPr>
                <w:bCs/>
                <w:lang w:val="en-AU"/>
              </w:rPr>
              <w:t>Positive obligations linked to equality and structural barriers faced by marginalised groups.</w:t>
            </w:r>
          </w:p>
        </w:tc>
        <w:tc>
          <w:tcPr>
            <w:tcW w:w="0" w:type="auto"/>
            <w:vAlign w:val="center"/>
            <w:hideMark/>
          </w:tcPr>
          <w:p w14:paraId="57419885" w14:textId="77777777" w:rsidR="000C7EC3" w:rsidRPr="000C7EC3" w:rsidRDefault="000C7EC3" w:rsidP="000C7EC3">
            <w:pPr>
              <w:rPr>
                <w:bCs/>
                <w:lang w:val="en-AU"/>
              </w:rPr>
            </w:pPr>
            <w:r w:rsidRPr="000C7EC3">
              <w:rPr>
                <w:bCs/>
                <w:lang w:val="en-AU"/>
              </w:rPr>
              <w:t xml:space="preserve">Add explicit reference to </w:t>
            </w:r>
            <w:r w:rsidRPr="000C7EC3">
              <w:rPr>
                <w:b/>
                <w:bCs/>
                <w:lang w:val="en-AU"/>
              </w:rPr>
              <w:t>compounding barriers</w:t>
            </w:r>
            <w:r w:rsidRPr="000C7EC3">
              <w:rPr>
                <w:bCs/>
                <w:lang w:val="en-AU"/>
              </w:rPr>
              <w:t xml:space="preserve"> that render formal rights ineffective in practice.</w:t>
            </w:r>
          </w:p>
        </w:tc>
        <w:tc>
          <w:tcPr>
            <w:tcW w:w="0" w:type="auto"/>
            <w:vAlign w:val="center"/>
            <w:hideMark/>
          </w:tcPr>
          <w:p w14:paraId="0A851D02" w14:textId="77777777" w:rsidR="000C7EC3" w:rsidRPr="000C7EC3" w:rsidRDefault="000C7EC3" w:rsidP="000C7EC3">
            <w:pPr>
              <w:rPr>
                <w:bCs/>
                <w:lang w:val="en-AU"/>
              </w:rPr>
            </w:pPr>
            <w:r w:rsidRPr="000C7EC3">
              <w:rPr>
                <w:bCs/>
                <w:lang w:val="en-AU"/>
              </w:rPr>
              <w:t>Moves from equality in principle to participation in practice. Important for intersectional exclusion.</w:t>
            </w:r>
          </w:p>
        </w:tc>
      </w:tr>
      <w:tr w:rsidR="000C7EC3" w:rsidRPr="000C7EC3" w14:paraId="248FC40C" w14:textId="77777777">
        <w:trPr>
          <w:tblCellSpacing w:w="15" w:type="dxa"/>
        </w:trPr>
        <w:tc>
          <w:tcPr>
            <w:tcW w:w="0" w:type="auto"/>
            <w:vAlign w:val="center"/>
            <w:hideMark/>
          </w:tcPr>
          <w:p w14:paraId="0A8EEC7C" w14:textId="77777777" w:rsidR="000C7EC3" w:rsidRPr="000C7EC3" w:rsidRDefault="000C7EC3" w:rsidP="000C7EC3">
            <w:pPr>
              <w:rPr>
                <w:bCs/>
                <w:lang w:val="en-AU"/>
              </w:rPr>
            </w:pPr>
            <w:r w:rsidRPr="000C7EC3">
              <w:rPr>
                <w:b/>
                <w:bCs/>
                <w:lang w:val="en-AU"/>
              </w:rPr>
              <w:t>Paras 41–42</w:t>
            </w:r>
          </w:p>
        </w:tc>
        <w:tc>
          <w:tcPr>
            <w:tcW w:w="0" w:type="auto"/>
            <w:vAlign w:val="center"/>
            <w:hideMark/>
          </w:tcPr>
          <w:p w14:paraId="281316E2" w14:textId="77777777" w:rsidR="000C7EC3" w:rsidRPr="000C7EC3" w:rsidRDefault="000C7EC3" w:rsidP="000C7EC3">
            <w:pPr>
              <w:rPr>
                <w:bCs/>
                <w:lang w:val="en-AU"/>
              </w:rPr>
            </w:pPr>
            <w:r w:rsidRPr="000C7EC3">
              <w:rPr>
                <w:bCs/>
                <w:lang w:val="en-AU"/>
              </w:rPr>
              <w:t>Restrictions must be lawful, legitimate, necessary, proportionate. Presumption in favour of association.</w:t>
            </w:r>
          </w:p>
        </w:tc>
        <w:tc>
          <w:tcPr>
            <w:tcW w:w="0" w:type="auto"/>
            <w:vAlign w:val="center"/>
            <w:hideMark/>
          </w:tcPr>
          <w:p w14:paraId="7F619AAA" w14:textId="77777777" w:rsidR="000C7EC3" w:rsidRPr="000C7EC3" w:rsidRDefault="000C7EC3" w:rsidP="000C7EC3">
            <w:pPr>
              <w:rPr>
                <w:bCs/>
                <w:lang w:val="en-AU"/>
              </w:rPr>
            </w:pPr>
            <w:r w:rsidRPr="000C7EC3">
              <w:rPr>
                <w:bCs/>
                <w:lang w:val="en-AU"/>
              </w:rPr>
              <w:t>Add that cumulative administrative or compliance burdens can amount to restrictions even when framed as technical regulation.</w:t>
            </w:r>
          </w:p>
        </w:tc>
        <w:tc>
          <w:tcPr>
            <w:tcW w:w="0" w:type="auto"/>
            <w:vAlign w:val="center"/>
            <w:hideMark/>
          </w:tcPr>
          <w:p w14:paraId="5E775F4C" w14:textId="77777777" w:rsidR="000C7EC3" w:rsidRPr="000C7EC3" w:rsidRDefault="000C7EC3" w:rsidP="000C7EC3">
            <w:pPr>
              <w:rPr>
                <w:bCs/>
                <w:lang w:val="en-AU"/>
              </w:rPr>
            </w:pPr>
            <w:r w:rsidRPr="000C7EC3">
              <w:rPr>
                <w:bCs/>
                <w:lang w:val="en-AU"/>
              </w:rPr>
              <w:t>Many modern burdens suppress civil society without direct bans. This strengthens anti-evasion protection.</w:t>
            </w:r>
          </w:p>
        </w:tc>
      </w:tr>
      <w:tr w:rsidR="000C7EC3" w:rsidRPr="000C7EC3" w14:paraId="5C1C1F0D" w14:textId="77777777">
        <w:trPr>
          <w:tblCellSpacing w:w="15" w:type="dxa"/>
        </w:trPr>
        <w:tc>
          <w:tcPr>
            <w:tcW w:w="0" w:type="auto"/>
            <w:vAlign w:val="center"/>
            <w:hideMark/>
          </w:tcPr>
          <w:p w14:paraId="3A60C73E" w14:textId="77777777" w:rsidR="000C7EC3" w:rsidRPr="000C7EC3" w:rsidRDefault="000C7EC3" w:rsidP="000C7EC3">
            <w:pPr>
              <w:rPr>
                <w:bCs/>
                <w:lang w:val="en-AU"/>
              </w:rPr>
            </w:pPr>
            <w:r w:rsidRPr="000C7EC3">
              <w:rPr>
                <w:b/>
                <w:bCs/>
                <w:lang w:val="en-AU"/>
              </w:rPr>
              <w:lastRenderedPageBreak/>
              <w:t>Paras 43–50</w:t>
            </w:r>
          </w:p>
        </w:tc>
        <w:tc>
          <w:tcPr>
            <w:tcW w:w="0" w:type="auto"/>
            <w:vAlign w:val="center"/>
            <w:hideMark/>
          </w:tcPr>
          <w:p w14:paraId="2DC868EC" w14:textId="77777777" w:rsidR="000C7EC3" w:rsidRPr="000C7EC3" w:rsidRDefault="000C7EC3" w:rsidP="000C7EC3">
            <w:pPr>
              <w:rPr>
                <w:bCs/>
                <w:lang w:val="en-AU"/>
              </w:rPr>
            </w:pPr>
            <w:r w:rsidRPr="000C7EC3">
              <w:rPr>
                <w:bCs/>
                <w:lang w:val="en-AU"/>
              </w:rPr>
              <w:t>Details legality, legitimate aims, national security, public order, morals, and proportionality tests.</w:t>
            </w:r>
          </w:p>
        </w:tc>
        <w:tc>
          <w:tcPr>
            <w:tcW w:w="0" w:type="auto"/>
            <w:vAlign w:val="center"/>
            <w:hideMark/>
          </w:tcPr>
          <w:p w14:paraId="7C6DDF93" w14:textId="77777777" w:rsidR="000C7EC3" w:rsidRPr="000C7EC3" w:rsidRDefault="000C7EC3" w:rsidP="000C7EC3">
            <w:pPr>
              <w:rPr>
                <w:bCs/>
                <w:lang w:val="en-AU"/>
              </w:rPr>
            </w:pPr>
            <w:r w:rsidRPr="000C7EC3">
              <w:rPr>
                <w:bCs/>
                <w:lang w:val="en-AU"/>
              </w:rPr>
              <w:t>Caution against misuse of AML/CTF, foreign influence, anti-extremism, and public order frameworks to burden legitimate civic groups.</w:t>
            </w:r>
          </w:p>
        </w:tc>
        <w:tc>
          <w:tcPr>
            <w:tcW w:w="0" w:type="auto"/>
            <w:vAlign w:val="center"/>
            <w:hideMark/>
          </w:tcPr>
          <w:p w14:paraId="1E27134C" w14:textId="77777777" w:rsidR="000C7EC3" w:rsidRPr="000C7EC3" w:rsidRDefault="000C7EC3" w:rsidP="000C7EC3">
            <w:pPr>
              <w:rPr>
                <w:bCs/>
                <w:lang w:val="en-AU"/>
              </w:rPr>
            </w:pPr>
            <w:r w:rsidRPr="000C7EC3">
              <w:rPr>
                <w:bCs/>
                <w:lang w:val="en-AU"/>
              </w:rPr>
              <w:t>Highly contemporary concern globally. Protects against pretextual restrictions.</w:t>
            </w:r>
          </w:p>
        </w:tc>
      </w:tr>
      <w:tr w:rsidR="000C7EC3" w:rsidRPr="000C7EC3" w14:paraId="6A955634" w14:textId="77777777">
        <w:trPr>
          <w:tblCellSpacing w:w="15" w:type="dxa"/>
        </w:trPr>
        <w:tc>
          <w:tcPr>
            <w:tcW w:w="0" w:type="auto"/>
            <w:vAlign w:val="center"/>
            <w:hideMark/>
          </w:tcPr>
          <w:p w14:paraId="3DE02AC3" w14:textId="77777777" w:rsidR="000C7EC3" w:rsidRPr="000C7EC3" w:rsidRDefault="000C7EC3" w:rsidP="000C7EC3">
            <w:pPr>
              <w:rPr>
                <w:bCs/>
                <w:lang w:val="en-AU"/>
              </w:rPr>
            </w:pPr>
            <w:r w:rsidRPr="000C7EC3">
              <w:rPr>
                <w:b/>
                <w:bCs/>
                <w:lang w:val="en-AU"/>
              </w:rPr>
              <w:t>New Section after Para 37</w:t>
            </w:r>
          </w:p>
        </w:tc>
        <w:tc>
          <w:tcPr>
            <w:tcW w:w="0" w:type="auto"/>
            <w:vAlign w:val="center"/>
            <w:hideMark/>
          </w:tcPr>
          <w:p w14:paraId="5BD54A0A" w14:textId="77777777" w:rsidR="000C7EC3" w:rsidRPr="000C7EC3" w:rsidRDefault="000C7EC3" w:rsidP="000C7EC3">
            <w:pPr>
              <w:rPr>
                <w:bCs/>
                <w:lang w:val="en-AU"/>
              </w:rPr>
            </w:pPr>
            <w:r w:rsidRPr="000C7EC3">
              <w:rPr>
                <w:bCs/>
                <w:lang w:val="en-AU"/>
              </w:rPr>
              <w:t>No specific clause on organised harmful associations in digital environments.</w:t>
            </w:r>
          </w:p>
        </w:tc>
        <w:tc>
          <w:tcPr>
            <w:tcW w:w="0" w:type="auto"/>
            <w:vAlign w:val="center"/>
            <w:hideMark/>
          </w:tcPr>
          <w:p w14:paraId="20863B40" w14:textId="77777777" w:rsidR="000C7EC3" w:rsidRPr="000C7EC3" w:rsidRDefault="000C7EC3" w:rsidP="000C7EC3">
            <w:pPr>
              <w:rPr>
                <w:bCs/>
                <w:lang w:val="en-AU"/>
              </w:rPr>
            </w:pPr>
            <w:r w:rsidRPr="000C7EC3">
              <w:rPr>
                <w:bCs/>
                <w:lang w:val="en-AU"/>
              </w:rPr>
              <w:t>Clarify Article 22 does not shield collectives whose dominant purpose is criminal facilitation, trafficking, coordinated harassment, violence, or organised gender-based harm.</w:t>
            </w:r>
          </w:p>
        </w:tc>
        <w:tc>
          <w:tcPr>
            <w:tcW w:w="0" w:type="auto"/>
            <w:vAlign w:val="center"/>
            <w:hideMark/>
          </w:tcPr>
          <w:p w14:paraId="589BC304" w14:textId="77777777" w:rsidR="000C7EC3" w:rsidRPr="000C7EC3" w:rsidRDefault="000C7EC3" w:rsidP="000C7EC3">
            <w:pPr>
              <w:rPr>
                <w:bCs/>
                <w:lang w:val="en-AU"/>
              </w:rPr>
            </w:pPr>
            <w:r w:rsidRPr="000C7EC3">
              <w:rPr>
                <w:bCs/>
                <w:lang w:val="en-AU"/>
              </w:rPr>
              <w:t>Balances rights protection with protection of victims. Prevents misuse of association language to defend abuse networks.</w:t>
            </w:r>
          </w:p>
        </w:tc>
      </w:tr>
      <w:tr w:rsidR="000C7EC3" w:rsidRPr="000C7EC3" w14:paraId="2D9E5E90" w14:textId="77777777">
        <w:trPr>
          <w:tblCellSpacing w:w="15" w:type="dxa"/>
        </w:trPr>
        <w:tc>
          <w:tcPr>
            <w:tcW w:w="0" w:type="auto"/>
            <w:vAlign w:val="center"/>
            <w:hideMark/>
          </w:tcPr>
          <w:p w14:paraId="7E18FC5A" w14:textId="77777777" w:rsidR="000C7EC3" w:rsidRPr="000C7EC3" w:rsidRDefault="000C7EC3" w:rsidP="000C7EC3">
            <w:pPr>
              <w:rPr>
                <w:bCs/>
                <w:lang w:val="en-AU"/>
              </w:rPr>
            </w:pPr>
            <w:r w:rsidRPr="000C7EC3">
              <w:rPr>
                <w:b/>
                <w:bCs/>
                <w:lang w:val="en-AU"/>
              </w:rPr>
              <w:t>New Section after Para 37</w:t>
            </w:r>
          </w:p>
        </w:tc>
        <w:tc>
          <w:tcPr>
            <w:tcW w:w="0" w:type="auto"/>
            <w:vAlign w:val="center"/>
            <w:hideMark/>
          </w:tcPr>
          <w:p w14:paraId="1F960561" w14:textId="77777777" w:rsidR="000C7EC3" w:rsidRPr="000C7EC3" w:rsidRDefault="000C7EC3" w:rsidP="000C7EC3">
            <w:pPr>
              <w:rPr>
                <w:bCs/>
                <w:lang w:val="en-AU"/>
              </w:rPr>
            </w:pPr>
            <w:r w:rsidRPr="000C7EC3">
              <w:rPr>
                <w:bCs/>
                <w:lang w:val="en-AU"/>
              </w:rPr>
              <w:t>No explicit discussion of storage, recommendation, replication, or persistent abuse harms.</w:t>
            </w:r>
          </w:p>
        </w:tc>
        <w:tc>
          <w:tcPr>
            <w:tcW w:w="0" w:type="auto"/>
            <w:vAlign w:val="center"/>
            <w:hideMark/>
          </w:tcPr>
          <w:p w14:paraId="5959174E" w14:textId="77777777" w:rsidR="000C7EC3" w:rsidRPr="000C7EC3" w:rsidRDefault="000C7EC3" w:rsidP="000C7EC3">
            <w:pPr>
              <w:rPr>
                <w:bCs/>
                <w:lang w:val="en-AU"/>
              </w:rPr>
            </w:pPr>
            <w:r w:rsidRPr="000C7EC3">
              <w:rPr>
                <w:bCs/>
                <w:lang w:val="en-AU"/>
              </w:rPr>
              <w:t>Add recognition that systems storing, amplifying, monetising, or repeatedly surfacing abusive material can create chronic exclusionary harm.</w:t>
            </w:r>
          </w:p>
        </w:tc>
        <w:tc>
          <w:tcPr>
            <w:tcW w:w="0" w:type="auto"/>
            <w:vAlign w:val="center"/>
            <w:hideMark/>
          </w:tcPr>
          <w:p w14:paraId="49DFE699" w14:textId="77777777" w:rsidR="000C7EC3" w:rsidRPr="000C7EC3" w:rsidRDefault="000C7EC3" w:rsidP="000C7EC3">
            <w:pPr>
              <w:rPr>
                <w:bCs/>
                <w:lang w:val="en-AU"/>
              </w:rPr>
            </w:pPr>
            <w:r w:rsidRPr="000C7EC3">
              <w:rPr>
                <w:bCs/>
                <w:lang w:val="en-AU"/>
              </w:rPr>
              <w:t>Current doctrine focuses on prohibition. Modern harms often scale through persistence and algorithmic amplification.</w:t>
            </w:r>
          </w:p>
        </w:tc>
      </w:tr>
      <w:tr w:rsidR="000C7EC3" w:rsidRPr="000C7EC3" w14:paraId="5BD5FC64" w14:textId="77777777">
        <w:trPr>
          <w:tblCellSpacing w:w="15" w:type="dxa"/>
        </w:trPr>
        <w:tc>
          <w:tcPr>
            <w:tcW w:w="0" w:type="auto"/>
            <w:vAlign w:val="center"/>
            <w:hideMark/>
          </w:tcPr>
          <w:p w14:paraId="2F9E9221" w14:textId="77777777" w:rsidR="000C7EC3" w:rsidRPr="000C7EC3" w:rsidRDefault="000C7EC3" w:rsidP="000C7EC3">
            <w:pPr>
              <w:rPr>
                <w:bCs/>
                <w:lang w:val="en-AU"/>
              </w:rPr>
            </w:pPr>
            <w:r w:rsidRPr="000C7EC3">
              <w:rPr>
                <w:b/>
                <w:bCs/>
                <w:lang w:val="en-AU"/>
              </w:rPr>
              <w:t>Children / Youth</w:t>
            </w:r>
          </w:p>
        </w:tc>
        <w:tc>
          <w:tcPr>
            <w:tcW w:w="0" w:type="auto"/>
            <w:vAlign w:val="center"/>
            <w:hideMark/>
          </w:tcPr>
          <w:p w14:paraId="7158D154" w14:textId="77777777" w:rsidR="000C7EC3" w:rsidRPr="000C7EC3" w:rsidRDefault="000C7EC3" w:rsidP="000C7EC3">
            <w:pPr>
              <w:rPr>
                <w:bCs/>
                <w:lang w:val="en-AU"/>
              </w:rPr>
            </w:pPr>
            <w:r w:rsidRPr="000C7EC3">
              <w:rPr>
                <w:bCs/>
                <w:lang w:val="en-AU"/>
              </w:rPr>
              <w:t>Youth mentioned among affected groups but not developed.</w:t>
            </w:r>
          </w:p>
        </w:tc>
        <w:tc>
          <w:tcPr>
            <w:tcW w:w="0" w:type="auto"/>
            <w:vAlign w:val="center"/>
            <w:hideMark/>
          </w:tcPr>
          <w:p w14:paraId="77637F72" w14:textId="77777777" w:rsidR="000C7EC3" w:rsidRPr="000C7EC3" w:rsidRDefault="000C7EC3" w:rsidP="000C7EC3">
            <w:pPr>
              <w:rPr>
                <w:bCs/>
                <w:lang w:val="en-AU"/>
              </w:rPr>
            </w:pPr>
            <w:r w:rsidRPr="000C7EC3">
              <w:rPr>
                <w:bCs/>
                <w:lang w:val="en-AU"/>
              </w:rPr>
              <w:t>Recognise children and young people as rights-holders who increasingly associate digitally for lawful civic, peer, and wellbeing purposes.</w:t>
            </w:r>
          </w:p>
        </w:tc>
        <w:tc>
          <w:tcPr>
            <w:tcW w:w="0" w:type="auto"/>
            <w:vAlign w:val="center"/>
            <w:hideMark/>
          </w:tcPr>
          <w:p w14:paraId="3F1D230A" w14:textId="77777777" w:rsidR="000C7EC3" w:rsidRPr="000C7EC3" w:rsidRDefault="000C7EC3" w:rsidP="000C7EC3">
            <w:pPr>
              <w:rPr>
                <w:bCs/>
                <w:lang w:val="en-AU"/>
              </w:rPr>
            </w:pPr>
            <w:r w:rsidRPr="000C7EC3">
              <w:rPr>
                <w:bCs/>
                <w:lang w:val="en-AU"/>
              </w:rPr>
              <w:t>Balances child protection with participation rights. Important contemporary issue.</w:t>
            </w:r>
          </w:p>
        </w:tc>
      </w:tr>
      <w:tr w:rsidR="000C7EC3" w:rsidRPr="000C7EC3" w14:paraId="36D20619" w14:textId="77777777">
        <w:trPr>
          <w:tblCellSpacing w:w="15" w:type="dxa"/>
        </w:trPr>
        <w:tc>
          <w:tcPr>
            <w:tcW w:w="0" w:type="auto"/>
            <w:vAlign w:val="center"/>
            <w:hideMark/>
          </w:tcPr>
          <w:p w14:paraId="3B40664A" w14:textId="77777777" w:rsidR="000C7EC3" w:rsidRPr="000C7EC3" w:rsidRDefault="000C7EC3" w:rsidP="000C7EC3">
            <w:pPr>
              <w:rPr>
                <w:bCs/>
                <w:lang w:val="en-AU"/>
              </w:rPr>
            </w:pPr>
            <w:r w:rsidRPr="000C7EC3">
              <w:rPr>
                <w:b/>
                <w:bCs/>
                <w:lang w:val="en-AU"/>
              </w:rPr>
              <w:t>Preventative Design</w:t>
            </w:r>
          </w:p>
        </w:tc>
        <w:tc>
          <w:tcPr>
            <w:tcW w:w="0" w:type="auto"/>
            <w:vAlign w:val="center"/>
            <w:hideMark/>
          </w:tcPr>
          <w:p w14:paraId="30A0F62E" w14:textId="77777777" w:rsidR="000C7EC3" w:rsidRPr="000C7EC3" w:rsidRDefault="000C7EC3" w:rsidP="000C7EC3">
            <w:pPr>
              <w:rPr>
                <w:bCs/>
                <w:lang w:val="en-AU"/>
              </w:rPr>
            </w:pPr>
            <w:r w:rsidRPr="000C7EC3">
              <w:rPr>
                <w:bCs/>
                <w:lang w:val="en-AU"/>
              </w:rPr>
              <w:t xml:space="preserve">No express recognition of Safety by Design style </w:t>
            </w:r>
            <w:r w:rsidRPr="000C7EC3">
              <w:rPr>
                <w:bCs/>
                <w:lang w:val="en-AU"/>
              </w:rPr>
              <w:lastRenderedPageBreak/>
              <w:t>prevention approaches.</w:t>
            </w:r>
          </w:p>
        </w:tc>
        <w:tc>
          <w:tcPr>
            <w:tcW w:w="0" w:type="auto"/>
            <w:vAlign w:val="center"/>
            <w:hideMark/>
          </w:tcPr>
          <w:p w14:paraId="2A111FA0" w14:textId="77777777" w:rsidR="000C7EC3" w:rsidRPr="000C7EC3" w:rsidRDefault="000C7EC3" w:rsidP="000C7EC3">
            <w:pPr>
              <w:rPr>
                <w:bCs/>
                <w:lang w:val="en-AU"/>
              </w:rPr>
            </w:pPr>
            <w:r w:rsidRPr="000C7EC3">
              <w:rPr>
                <w:bCs/>
                <w:lang w:val="en-AU"/>
              </w:rPr>
              <w:lastRenderedPageBreak/>
              <w:t xml:space="preserve">Encourage privacy by design, reporting tools, anti-harassment features, </w:t>
            </w:r>
            <w:r w:rsidRPr="000C7EC3">
              <w:rPr>
                <w:bCs/>
                <w:lang w:val="en-AU"/>
              </w:rPr>
              <w:lastRenderedPageBreak/>
              <w:t>accessible interfaces, transparent moderation.</w:t>
            </w:r>
          </w:p>
        </w:tc>
        <w:tc>
          <w:tcPr>
            <w:tcW w:w="0" w:type="auto"/>
            <w:vAlign w:val="center"/>
            <w:hideMark/>
          </w:tcPr>
          <w:p w14:paraId="6DF6F997" w14:textId="77777777" w:rsidR="000C7EC3" w:rsidRPr="000C7EC3" w:rsidRDefault="000C7EC3" w:rsidP="000C7EC3">
            <w:pPr>
              <w:rPr>
                <w:bCs/>
                <w:lang w:val="en-AU"/>
              </w:rPr>
            </w:pPr>
            <w:r w:rsidRPr="000C7EC3">
              <w:rPr>
                <w:bCs/>
                <w:lang w:val="en-AU"/>
              </w:rPr>
              <w:lastRenderedPageBreak/>
              <w:t xml:space="preserve">Moves from reactive remedy model to prevention model. </w:t>
            </w:r>
            <w:r w:rsidRPr="000C7EC3">
              <w:rPr>
                <w:bCs/>
                <w:lang w:val="en-AU"/>
              </w:rPr>
              <w:lastRenderedPageBreak/>
              <w:t>Strong modern governance addition.</w:t>
            </w:r>
          </w:p>
        </w:tc>
      </w:tr>
    </w:tbl>
    <w:p w14:paraId="0123ECB9" w14:textId="77777777" w:rsidR="000C7EC3" w:rsidRPr="000C7EC3" w:rsidRDefault="000C7EC3" w:rsidP="000C7EC3">
      <w:pPr>
        <w:rPr>
          <w:bCs/>
          <w:lang w:val="en-AU"/>
        </w:rPr>
      </w:pPr>
    </w:p>
    <w:p w14:paraId="6F93DD2B" w14:textId="7B722BE9" w:rsidR="00661D01" w:rsidRDefault="00661D01" w:rsidP="00661D01">
      <w:pPr>
        <w:rPr>
          <w:bCs/>
          <w:lang w:val="en-AU"/>
        </w:rPr>
      </w:pPr>
      <w:r>
        <w:rPr>
          <w:noProof/>
          <w:lang w:val="en-AU"/>
        </w:rPr>
        <w:drawing>
          <wp:anchor distT="0" distB="0" distL="114300" distR="114300" simplePos="0" relativeHeight="251658240" behindDoc="1" locked="0" layoutInCell="1" allowOverlap="1" wp14:anchorId="67D6873E" wp14:editId="357D731D">
            <wp:simplePos x="0" y="0"/>
            <wp:positionH relativeFrom="column">
              <wp:posOffset>-428625</wp:posOffset>
            </wp:positionH>
            <wp:positionV relativeFrom="paragraph">
              <wp:posOffset>244475</wp:posOffset>
            </wp:positionV>
            <wp:extent cx="1390650" cy="336550"/>
            <wp:effectExtent l="0" t="0" r="0" b="0"/>
            <wp:wrapNone/>
            <wp:docPr id="103710172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01727" name="Picture 1" descr="A black background with a black square&#10;&#10;AI-generated content may be incorrect."/>
                    <pic:cNvPicPr/>
                  </pic:nvPicPr>
                  <pic:blipFill>
                    <a:blip r:embed="rId8"/>
                    <a:stretch>
                      <a:fillRect/>
                    </a:stretch>
                  </pic:blipFill>
                  <pic:spPr>
                    <a:xfrm>
                      <a:off x="0" y="0"/>
                      <a:ext cx="1390650" cy="336550"/>
                    </a:xfrm>
                    <a:prstGeom prst="rect">
                      <a:avLst/>
                    </a:prstGeom>
                  </pic:spPr>
                </pic:pic>
              </a:graphicData>
            </a:graphic>
            <wp14:sizeRelH relativeFrom="page">
              <wp14:pctWidth>0</wp14:pctWidth>
            </wp14:sizeRelH>
            <wp14:sizeRelV relativeFrom="page">
              <wp14:pctHeight>0</wp14:pctHeight>
            </wp14:sizeRelV>
          </wp:anchor>
        </w:drawing>
      </w:r>
      <w:r w:rsidRPr="00661D01">
        <w:rPr>
          <w:bCs/>
          <w:lang w:val="en-AU"/>
        </w:rPr>
        <w:t>Warm regards,</w:t>
      </w:r>
    </w:p>
    <w:p w14:paraId="64D0AED9" w14:textId="77777777" w:rsidR="00661D01" w:rsidRPr="00661D01" w:rsidRDefault="00661D01" w:rsidP="00661D01">
      <w:pPr>
        <w:rPr>
          <w:bCs/>
          <w:lang w:val="en-AU"/>
        </w:rPr>
      </w:pPr>
    </w:p>
    <w:p w14:paraId="5ED2719F" w14:textId="1698B55B" w:rsidR="00714B6A" w:rsidRDefault="00661D01">
      <w:r w:rsidRPr="00661D01">
        <w:rPr>
          <w:bCs/>
          <w:lang w:val="en-AU"/>
        </w:rPr>
        <w:t>Sarah Barnbrook</w:t>
      </w:r>
      <w:r w:rsidRPr="00661D01">
        <w:rPr>
          <w:bCs/>
          <w:lang w:val="en-AU"/>
        </w:rPr>
        <w:br/>
        <w:t>Founder and CEO</w:t>
      </w:r>
      <w:r w:rsidRPr="00661D01">
        <w:rPr>
          <w:bCs/>
          <w:lang w:val="en-AU"/>
        </w:rPr>
        <w:br/>
        <w:t>Away from Keyboard (AFK) Inc.</w:t>
      </w:r>
    </w:p>
    <w:sectPr w:rsidR="00714B6A" w:rsidSect="000D4C4B">
      <w:headerReference w:type="default" r:id="rId9"/>
      <w:footerReference w:type="default" r:id="rId10"/>
      <w:pgSz w:w="12240" w:h="15840"/>
      <w:pgMar w:top="2882" w:right="1800" w:bottom="1440" w:left="180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961F9" w14:textId="77777777" w:rsidR="00D62555" w:rsidRDefault="00D62555" w:rsidP="00D95647">
      <w:pPr>
        <w:spacing w:after="0" w:line="240" w:lineRule="auto"/>
      </w:pPr>
      <w:r>
        <w:separator/>
      </w:r>
    </w:p>
  </w:endnote>
  <w:endnote w:type="continuationSeparator" w:id="0">
    <w:p w14:paraId="4F23D835" w14:textId="77777777" w:rsidR="00D62555" w:rsidRDefault="00D62555" w:rsidP="00D95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E0D2" w14:textId="0A2FE92C" w:rsidR="00D95647" w:rsidRPr="00D95647" w:rsidRDefault="00D95647" w:rsidP="00D95647">
    <w:pPr>
      <w:pStyle w:val="Footer"/>
      <w:tabs>
        <w:tab w:val="clear" w:pos="4680"/>
        <w:tab w:val="clear" w:pos="9360"/>
      </w:tabs>
      <w:rPr>
        <w:rFonts w:ascii="Times New Roman" w:hAnsi="Times New Roman" w:cs="Times New Roman"/>
        <w:caps/>
        <w:noProof/>
        <w:color w:val="4F81BD" w:themeColor="accent1"/>
      </w:rPr>
    </w:pPr>
    <w:r w:rsidRPr="00D95647">
      <w:rPr>
        <w:rFonts w:ascii="Times New Roman" w:hAnsi="Times New Roman" w:cs="Times New Roman"/>
        <w:caps/>
        <w:color w:val="4F81BD" w:themeColor="accent1"/>
      </w:rPr>
      <w:fldChar w:fldCharType="begin"/>
    </w:r>
    <w:r w:rsidRPr="00D95647">
      <w:rPr>
        <w:rFonts w:ascii="Times New Roman" w:hAnsi="Times New Roman" w:cs="Times New Roman"/>
        <w:caps/>
        <w:color w:val="4F81BD" w:themeColor="accent1"/>
      </w:rPr>
      <w:instrText xml:space="preserve"> PAGE   \* MERGEFORMAT </w:instrText>
    </w:r>
    <w:r w:rsidRPr="00D95647">
      <w:rPr>
        <w:rFonts w:ascii="Times New Roman" w:hAnsi="Times New Roman" w:cs="Times New Roman"/>
        <w:caps/>
        <w:color w:val="4F81BD" w:themeColor="accent1"/>
      </w:rPr>
      <w:fldChar w:fldCharType="separate"/>
    </w:r>
    <w:r w:rsidRPr="00D95647">
      <w:rPr>
        <w:rFonts w:ascii="Times New Roman" w:hAnsi="Times New Roman" w:cs="Times New Roman"/>
        <w:caps/>
        <w:noProof/>
        <w:color w:val="4F81BD" w:themeColor="accent1"/>
      </w:rPr>
      <w:t>2</w:t>
    </w:r>
    <w:r w:rsidRPr="00D95647">
      <w:rPr>
        <w:rFonts w:ascii="Times New Roman" w:hAnsi="Times New Roman" w:cs="Times New Roman"/>
        <w:caps/>
        <w:noProof/>
        <w:color w:val="4F81BD" w:themeColor="accent1"/>
      </w:rPr>
      <w:fldChar w:fldCharType="end"/>
    </w:r>
    <w:r w:rsidRPr="00D95647">
      <w:rPr>
        <w:rFonts w:ascii="Times New Roman" w:hAnsi="Times New Roman" w:cs="Times New Roman"/>
        <w:caps/>
        <w:noProof/>
        <w:color w:val="4F81BD" w:themeColor="accent1"/>
      </w:rPr>
      <w:tab/>
    </w:r>
    <w:r w:rsidRPr="00D95647">
      <w:rPr>
        <w:rFonts w:ascii="Times New Roman" w:hAnsi="Times New Roman" w:cs="Times New Roman"/>
        <w:caps/>
        <w:noProof/>
        <w:color w:val="4F81BD" w:themeColor="accent1"/>
      </w:rPr>
      <w:tab/>
    </w:r>
    <w:r w:rsidRPr="00D95647">
      <w:rPr>
        <w:rFonts w:ascii="Times New Roman" w:hAnsi="Times New Roman" w:cs="Times New Roman"/>
        <w:caps/>
        <w:noProof/>
        <w:color w:val="4F81BD" w:themeColor="accent1"/>
      </w:rPr>
      <w:tab/>
      <w:t xml:space="preserve">Away from keyboard | abn: 44 667 764 941 </w:t>
    </w:r>
  </w:p>
  <w:p w14:paraId="3A5ABB5C" w14:textId="77777777" w:rsidR="00D95647" w:rsidRDefault="00D95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5B583" w14:textId="77777777" w:rsidR="00D62555" w:rsidRDefault="00D62555" w:rsidP="00D95647">
      <w:pPr>
        <w:spacing w:after="0" w:line="240" w:lineRule="auto"/>
      </w:pPr>
      <w:r>
        <w:separator/>
      </w:r>
    </w:p>
  </w:footnote>
  <w:footnote w:type="continuationSeparator" w:id="0">
    <w:p w14:paraId="6CD14006" w14:textId="77777777" w:rsidR="00D62555" w:rsidRDefault="00D62555" w:rsidP="00D95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DB4D" w14:textId="10C8DC42" w:rsidR="00661D01" w:rsidRDefault="00661D01" w:rsidP="00661D01">
    <w:r>
      <w:rPr>
        <w:noProof/>
      </w:rPr>
      <w:drawing>
        <wp:anchor distT="0" distB="0" distL="114300" distR="114300" simplePos="0" relativeHeight="251658240" behindDoc="0" locked="0" layoutInCell="1" allowOverlap="1" wp14:anchorId="3A0781AA" wp14:editId="2F107D31">
          <wp:simplePos x="0" y="0"/>
          <wp:positionH relativeFrom="column">
            <wp:posOffset>0</wp:posOffset>
          </wp:positionH>
          <wp:positionV relativeFrom="paragraph">
            <wp:posOffset>0</wp:posOffset>
          </wp:positionV>
          <wp:extent cx="1645920" cy="1314004"/>
          <wp:effectExtent l="0" t="0" r="0" b="0"/>
          <wp:wrapThrough wrapText="bothSides">
            <wp:wrapPolygon edited="0">
              <wp:start x="10000" y="313"/>
              <wp:lineTo x="7000" y="2506"/>
              <wp:lineTo x="6000" y="3758"/>
              <wp:lineTo x="6000" y="5951"/>
              <wp:lineTo x="4500" y="10962"/>
              <wp:lineTo x="2750" y="14094"/>
              <wp:lineTo x="2250" y="19731"/>
              <wp:lineTo x="18750" y="19731"/>
              <wp:lineTo x="19000" y="15973"/>
              <wp:lineTo x="17500" y="10962"/>
              <wp:lineTo x="18750" y="10335"/>
              <wp:lineTo x="18250" y="9083"/>
              <wp:lineTo x="15250" y="5951"/>
              <wp:lineTo x="15500" y="4385"/>
              <wp:lineTo x="14250" y="2506"/>
              <wp:lineTo x="11750" y="313"/>
              <wp:lineTo x="10000" y="313"/>
            </wp:wrapPolygon>
          </wp:wrapThrough>
          <wp:docPr id="1889803409" name="Picture 188980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K Logo Colour.png"/>
                  <pic:cNvPicPr/>
                </pic:nvPicPr>
                <pic:blipFill>
                  <a:blip r:embed="rId1"/>
                  <a:stretch>
                    <a:fillRect/>
                  </a:stretch>
                </pic:blipFill>
                <pic:spPr>
                  <a:xfrm>
                    <a:off x="0" y="0"/>
                    <a:ext cx="1645920" cy="1314004"/>
                  </a:xfrm>
                  <a:prstGeom prst="rect">
                    <a:avLst/>
                  </a:prstGeom>
                </pic:spPr>
              </pic:pic>
            </a:graphicData>
          </a:graphic>
          <wp14:sizeRelH relativeFrom="page">
            <wp14:pctWidth>0</wp14:pctWidth>
          </wp14:sizeRelH>
          <wp14:sizeRelV relativeFrom="page">
            <wp14:pctHeight>0</wp14:pctHeight>
          </wp14:sizeRelV>
        </wp:anchor>
      </w:drawing>
    </w:r>
  </w:p>
  <w:p w14:paraId="4737D24B" w14:textId="77777777" w:rsidR="00661D01" w:rsidRDefault="00661D01" w:rsidP="00661D01">
    <w:pPr>
      <w:pStyle w:val="NoSpacing"/>
      <w:jc w:val="right"/>
    </w:pPr>
    <w:r>
      <w:t>www.afk.org.au</w:t>
    </w:r>
  </w:p>
  <w:p w14:paraId="438B5F5D" w14:textId="77777777" w:rsidR="00661D01" w:rsidRPr="00661D01" w:rsidRDefault="00661D01" w:rsidP="00661D01">
    <w:pPr>
      <w:pStyle w:val="NoSpacing"/>
      <w:jc w:val="right"/>
      <w:rPr>
        <w:bCs/>
      </w:rPr>
    </w:pPr>
    <w:r w:rsidRPr="00661D01">
      <w:rPr>
        <w:bCs/>
      </w:rPr>
      <w:t xml:space="preserve">Away From Keyboard Inc. | ABN: 44 667 764 941 </w:t>
    </w:r>
  </w:p>
  <w:p w14:paraId="4F539E4E" w14:textId="0774395A" w:rsidR="00661D01" w:rsidRDefault="00661D01">
    <w:pPr>
      <w:pStyle w:val="Header"/>
    </w:pPr>
  </w:p>
  <w:p w14:paraId="38C24546" w14:textId="77777777" w:rsidR="00661D01" w:rsidRDefault="00661D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0023D3"/>
    <w:multiLevelType w:val="multilevel"/>
    <w:tmpl w:val="040C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B24A28"/>
    <w:multiLevelType w:val="multilevel"/>
    <w:tmpl w:val="4B7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B665F9"/>
    <w:multiLevelType w:val="multilevel"/>
    <w:tmpl w:val="930E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66A17"/>
    <w:multiLevelType w:val="multilevel"/>
    <w:tmpl w:val="954C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A6D44"/>
    <w:multiLevelType w:val="multilevel"/>
    <w:tmpl w:val="2F30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3706432">
    <w:abstractNumId w:val="8"/>
  </w:num>
  <w:num w:numId="2" w16cid:durableId="1709649269">
    <w:abstractNumId w:val="6"/>
  </w:num>
  <w:num w:numId="3" w16cid:durableId="1806241267">
    <w:abstractNumId w:val="5"/>
  </w:num>
  <w:num w:numId="4" w16cid:durableId="702898307">
    <w:abstractNumId w:val="4"/>
  </w:num>
  <w:num w:numId="5" w16cid:durableId="1107651086">
    <w:abstractNumId w:val="7"/>
  </w:num>
  <w:num w:numId="6" w16cid:durableId="51122736">
    <w:abstractNumId w:val="3"/>
  </w:num>
  <w:num w:numId="7" w16cid:durableId="685331027">
    <w:abstractNumId w:val="2"/>
  </w:num>
  <w:num w:numId="8" w16cid:durableId="1187330964">
    <w:abstractNumId w:val="1"/>
  </w:num>
  <w:num w:numId="9" w16cid:durableId="1121268965">
    <w:abstractNumId w:val="0"/>
  </w:num>
  <w:num w:numId="10" w16cid:durableId="1239438099">
    <w:abstractNumId w:val="9"/>
  </w:num>
  <w:num w:numId="11" w16cid:durableId="420107897">
    <w:abstractNumId w:val="11"/>
  </w:num>
  <w:num w:numId="12" w16cid:durableId="1448508448">
    <w:abstractNumId w:val="10"/>
  </w:num>
  <w:num w:numId="13" w16cid:durableId="1441148445">
    <w:abstractNumId w:val="13"/>
  </w:num>
  <w:num w:numId="14" w16cid:durableId="10894724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7EC3"/>
    <w:rsid w:val="000D4C4B"/>
    <w:rsid w:val="0015074B"/>
    <w:rsid w:val="00156FD0"/>
    <w:rsid w:val="00182FAD"/>
    <w:rsid w:val="00214AAC"/>
    <w:rsid w:val="0029448E"/>
    <w:rsid w:val="0029639D"/>
    <w:rsid w:val="002C5EC2"/>
    <w:rsid w:val="00326F90"/>
    <w:rsid w:val="00555944"/>
    <w:rsid w:val="00643550"/>
    <w:rsid w:val="00661D01"/>
    <w:rsid w:val="006F2C2F"/>
    <w:rsid w:val="00714B6A"/>
    <w:rsid w:val="007C58DF"/>
    <w:rsid w:val="00AA1D8D"/>
    <w:rsid w:val="00B10084"/>
    <w:rsid w:val="00B47730"/>
    <w:rsid w:val="00BB47D9"/>
    <w:rsid w:val="00BC17D5"/>
    <w:rsid w:val="00C66495"/>
    <w:rsid w:val="00CB0664"/>
    <w:rsid w:val="00CB241B"/>
    <w:rsid w:val="00D62555"/>
    <w:rsid w:val="00D95647"/>
    <w:rsid w:val="00E30CA9"/>
    <w:rsid w:val="00E66EDA"/>
    <w:rsid w:val="00EC7655"/>
    <w:rsid w:val="00ED4DF0"/>
    <w:rsid w:val="00FC33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69B5E6"/>
  <w14:defaultImageDpi w14:val="330"/>
  <w15:docId w15:val="{8B1E2C81-7ED8-4EFB-B5A5-6C191F389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B241B"/>
    <w:rPr>
      <w:rFonts w:ascii="Times New Roman" w:hAnsi="Times New Roman" w:cs="Times New Roman"/>
      <w:sz w:val="24"/>
      <w:szCs w:val="24"/>
    </w:rPr>
  </w:style>
  <w:style w:type="character" w:styleId="Hyperlink">
    <w:name w:val="Hyperlink"/>
    <w:basedOn w:val="DefaultParagraphFont"/>
    <w:uiPriority w:val="99"/>
    <w:unhideWhenUsed/>
    <w:rsid w:val="000D4C4B"/>
    <w:rPr>
      <w:color w:val="0000FF" w:themeColor="hyperlink"/>
      <w:u w:val="single"/>
    </w:rPr>
  </w:style>
  <w:style w:type="character" w:styleId="UnresolvedMention">
    <w:name w:val="Unresolved Mention"/>
    <w:basedOn w:val="DefaultParagraphFont"/>
    <w:uiPriority w:val="99"/>
    <w:semiHidden/>
    <w:unhideWhenUsed/>
    <w:rsid w:val="000D4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842C200-0D71-4731-B9B2-70791979E233}"/>
</file>

<file path=customXml/itemProps3.xml><?xml version="1.0" encoding="utf-8"?>
<ds:datastoreItem xmlns:ds="http://schemas.openxmlformats.org/officeDocument/2006/customXml" ds:itemID="{DE81902E-A73D-4536-8218-8AA78C55E7CB}"/>
</file>

<file path=customXml/itemProps4.xml><?xml version="1.0" encoding="utf-8"?>
<ds:datastoreItem xmlns:ds="http://schemas.openxmlformats.org/officeDocument/2006/customXml" ds:itemID="{21687277-1D5B-4065-B4DF-15A2CA19D7D9}"/>
</file>

<file path=docProps/app.xml><?xml version="1.0" encoding="utf-8"?>
<Properties xmlns="http://schemas.openxmlformats.org/officeDocument/2006/extended-properties" xmlns:vt="http://schemas.openxmlformats.org/officeDocument/2006/docPropsVTypes">
  <Template>Normal</Template>
  <TotalTime>4</TotalTime>
  <Pages>10</Pages>
  <Words>2196</Words>
  <Characters>14606</Characters>
  <Application>Microsoft Office Word</Application>
  <DocSecurity>0</DocSecurity>
  <Lines>417</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Barnbrook</cp:lastModifiedBy>
  <cp:revision>3</cp:revision>
  <dcterms:created xsi:type="dcterms:W3CDTF">2026-04-26T01:53:00Z</dcterms:created>
  <dcterms:modified xsi:type="dcterms:W3CDTF">2026-06-25T21:50:00Z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26ea847a-ceeb-4ffa-9030-fa65dd4629c3</vt:lpwstr>
  </property>
  <property fmtid="{D5CDD505-2E9C-101B-9397-08002B2CF9AE}" pid="3" name="ContentTypeId">
    <vt:lpwstr>0x010100F5AB59289BFBAB4F9FD152C776C60BDD</vt:lpwstr>
  </property>
  <property fmtid="{D5CDD505-2E9C-101B-9397-08002B2CF9AE}" pid="4" name="MediaServiceImageTags">
    <vt:lpwstr/>
  </property>
</Properties>
</file>