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0C471" w14:textId="07D50BB5" w:rsidR="001963D4" w:rsidRDefault="001963D4" w:rsidP="001963D4">
      <w:pPr>
        <w:pStyle w:val="aa"/>
        <w:jc w:val="both"/>
        <w:rPr>
          <w:rtl/>
        </w:rPr>
      </w:pPr>
      <w:r w:rsidRPr="001963D4">
        <w:rPr>
          <w:noProof/>
        </w:rPr>
        <w:drawing>
          <wp:inline distT="0" distB="0" distL="0" distR="0" wp14:anchorId="2F4CB113" wp14:editId="7A2C9650">
            <wp:extent cx="6015990" cy="2091690"/>
            <wp:effectExtent l="0" t="0" r="3810" b="3810"/>
            <wp:docPr id="92979673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15990" cy="2091690"/>
                    </a:xfrm>
                    <a:prstGeom prst="rect">
                      <a:avLst/>
                    </a:prstGeom>
                    <a:noFill/>
                    <a:ln>
                      <a:noFill/>
                    </a:ln>
                  </pic:spPr>
                </pic:pic>
              </a:graphicData>
            </a:graphic>
          </wp:inline>
        </w:drawing>
      </w:r>
    </w:p>
    <w:p w14:paraId="7E7DF9CF" w14:textId="3108FEB9" w:rsidR="001963D4" w:rsidRPr="001963D4" w:rsidRDefault="001963D4" w:rsidP="001963D4">
      <w:pPr>
        <w:pStyle w:val="aa"/>
        <w:jc w:val="center"/>
        <w:rPr>
          <w:u w:val="single"/>
        </w:rPr>
      </w:pPr>
      <w:r w:rsidRPr="001963D4">
        <w:rPr>
          <w:u w:val="single"/>
        </w:rPr>
        <w:t xml:space="preserve">Written Comments Submitted by AIDL International Foundation and the Alliance </w:t>
      </w:r>
      <w:proofErr w:type="spellStart"/>
      <w:r w:rsidRPr="001963D4">
        <w:rPr>
          <w:u w:val="single"/>
        </w:rPr>
        <w:t>Internationale</w:t>
      </w:r>
      <w:proofErr w:type="spellEnd"/>
      <w:r w:rsidRPr="001963D4">
        <w:rPr>
          <w:u w:val="single"/>
        </w:rPr>
        <w:t xml:space="preserve"> pour la Défense des Droits et des </w:t>
      </w:r>
      <w:proofErr w:type="spellStart"/>
      <w:r w:rsidRPr="001963D4">
        <w:rPr>
          <w:u w:val="single"/>
        </w:rPr>
        <w:t>Libertés</w:t>
      </w:r>
      <w:proofErr w:type="spellEnd"/>
      <w:r w:rsidRPr="001963D4">
        <w:rPr>
          <w:u w:val="single"/>
        </w:rPr>
        <w:t>, AIDL, on Draft General Comment No. 38 on Article 22 of the International Covenant on Civil and Political Rights.</w:t>
      </w:r>
    </w:p>
    <w:p w14:paraId="41E588B7" w14:textId="77777777" w:rsidR="001963D4" w:rsidRDefault="001963D4" w:rsidP="001963D4">
      <w:pPr>
        <w:pStyle w:val="aa"/>
        <w:jc w:val="center"/>
      </w:pPr>
      <w:r>
        <w:t>Submitted to the Human Rights Committee.</w:t>
      </w:r>
    </w:p>
    <w:p w14:paraId="1DBA9A8A" w14:textId="77777777" w:rsidR="001963D4" w:rsidRDefault="001963D4" w:rsidP="001963D4">
      <w:pPr>
        <w:pStyle w:val="aa"/>
        <w:jc w:val="center"/>
      </w:pPr>
      <w:r>
        <w:t>Subject.</w:t>
      </w:r>
    </w:p>
    <w:p w14:paraId="1AC7739B" w14:textId="77777777" w:rsidR="001963D4" w:rsidRDefault="001963D4" w:rsidP="001963D4">
      <w:pPr>
        <w:pStyle w:val="aa"/>
        <w:jc w:val="center"/>
      </w:pPr>
      <w:r>
        <w:t>Call for comments on Draft General Comment No. 38 on Article 22, the right to freedom of association.</w:t>
      </w:r>
    </w:p>
    <w:p w14:paraId="70AAC21E" w14:textId="77777777" w:rsidR="001963D4" w:rsidRPr="001963D4" w:rsidRDefault="001963D4" w:rsidP="001963D4">
      <w:pPr>
        <w:pStyle w:val="aa"/>
        <w:jc w:val="center"/>
        <w:rPr>
          <w:b/>
          <w:bCs/>
        </w:rPr>
      </w:pPr>
      <w:r w:rsidRPr="001963D4">
        <w:rPr>
          <w:b/>
          <w:bCs/>
        </w:rPr>
        <w:t>Submitting organization.</w:t>
      </w:r>
    </w:p>
    <w:p w14:paraId="61E5FDAB" w14:textId="77777777" w:rsidR="001963D4" w:rsidRPr="001963D4" w:rsidRDefault="001963D4" w:rsidP="001963D4">
      <w:pPr>
        <w:pStyle w:val="aa"/>
        <w:jc w:val="center"/>
        <w:rPr>
          <w:b/>
          <w:bCs/>
        </w:rPr>
      </w:pPr>
      <w:r w:rsidRPr="001963D4">
        <w:rPr>
          <w:b/>
          <w:bCs/>
        </w:rPr>
        <w:t>AIDL International Foundation.</w:t>
      </w:r>
    </w:p>
    <w:p w14:paraId="4F41843A" w14:textId="0811A611" w:rsidR="001963D4" w:rsidRPr="001963D4" w:rsidRDefault="001963D4" w:rsidP="001963D4">
      <w:pPr>
        <w:pStyle w:val="aa"/>
        <w:jc w:val="center"/>
        <w:rPr>
          <w:b/>
          <w:bCs/>
          <w:lang w:val="fr-FR"/>
        </w:rPr>
      </w:pPr>
      <w:r w:rsidRPr="001963D4">
        <w:rPr>
          <w:b/>
          <w:bCs/>
          <w:lang w:val="fr-FR"/>
        </w:rPr>
        <w:t>Alliance Internationale pour la Défense des Droits et des Libertés</w:t>
      </w:r>
      <w:r w:rsidRPr="001963D4">
        <w:rPr>
          <w:b/>
          <w:bCs/>
          <w:lang w:val="fr-FR"/>
        </w:rPr>
        <w:t xml:space="preserve"> </w:t>
      </w:r>
      <w:r w:rsidRPr="001963D4">
        <w:rPr>
          <w:b/>
          <w:bCs/>
          <w:lang w:val="fr-FR"/>
        </w:rPr>
        <w:t>AIDL.</w:t>
      </w:r>
    </w:p>
    <w:p w14:paraId="3BE4857A" w14:textId="4553BE8E" w:rsidR="001963D4" w:rsidRDefault="001963D4" w:rsidP="001963D4">
      <w:pPr>
        <w:pStyle w:val="aa"/>
        <w:jc w:val="center"/>
      </w:pPr>
      <w:r>
        <w:t>Founded in 2009.</w:t>
      </w:r>
      <w:r>
        <w:t xml:space="preserve"> </w:t>
      </w:r>
      <w:r>
        <w:t>Officially registered in France in 2014.</w:t>
      </w:r>
    </w:p>
    <w:p w14:paraId="48E1746F" w14:textId="38C2178A" w:rsidR="001963D4" w:rsidRDefault="001963D4" w:rsidP="001963D4">
      <w:pPr>
        <w:pStyle w:val="aa"/>
        <w:jc w:val="center"/>
      </w:pPr>
      <w:r>
        <w:t>Special consultative status with the United Nations Economic and Social Council 2017.</w:t>
      </w:r>
    </w:p>
    <w:p w14:paraId="644E1F5F" w14:textId="612FBCD8" w:rsidR="001963D4" w:rsidRPr="001963D4" w:rsidRDefault="001963D4" w:rsidP="001963D4">
      <w:pPr>
        <w:pStyle w:val="aa"/>
        <w:jc w:val="center"/>
        <w:rPr>
          <w:b/>
          <w:bCs/>
          <w:u w:val="single"/>
          <w:lang w:val="fr-FR"/>
        </w:rPr>
      </w:pPr>
      <w:proofErr w:type="spellStart"/>
      <w:r w:rsidRPr="001963D4">
        <w:rPr>
          <w:b/>
          <w:bCs/>
          <w:u w:val="single"/>
          <w:lang w:val="fr-FR"/>
        </w:rPr>
        <w:t>Website</w:t>
      </w:r>
      <w:proofErr w:type="spellEnd"/>
      <w:r w:rsidRPr="001963D4">
        <w:rPr>
          <w:b/>
          <w:bCs/>
          <w:u w:val="single"/>
          <w:lang w:val="fr-FR"/>
        </w:rPr>
        <w:t>.</w:t>
      </w:r>
      <w:r w:rsidRPr="001963D4">
        <w:rPr>
          <w:b/>
          <w:bCs/>
          <w:u w:val="single"/>
          <w:lang w:val="fr-FR"/>
        </w:rPr>
        <w:t xml:space="preserve"> </w:t>
      </w:r>
      <w:hyperlink r:id="rId5" w:history="1">
        <w:r w:rsidRPr="001963D4">
          <w:rPr>
            <w:rStyle w:val="Hyperlink"/>
            <w:b/>
            <w:bCs/>
            <w:lang w:val="fr-FR"/>
          </w:rPr>
          <w:t>www.aidl.eu</w:t>
        </w:r>
      </w:hyperlink>
      <w:r w:rsidRPr="001963D4">
        <w:rPr>
          <w:b/>
          <w:bCs/>
          <w:u w:val="single"/>
          <w:lang w:val="fr-FR"/>
        </w:rPr>
        <w:t>.</w:t>
      </w:r>
      <w:r w:rsidRPr="001963D4">
        <w:rPr>
          <w:b/>
          <w:bCs/>
          <w:u w:val="single"/>
          <w:lang w:val="fr-FR"/>
        </w:rPr>
        <w:t xml:space="preserve"> </w:t>
      </w:r>
      <w:r w:rsidRPr="001963D4">
        <w:rPr>
          <w:b/>
          <w:bCs/>
          <w:u w:val="single"/>
          <w:lang w:val="fr-FR"/>
        </w:rPr>
        <w:t>Email.</w:t>
      </w:r>
      <w:r w:rsidRPr="001963D4">
        <w:rPr>
          <w:b/>
          <w:bCs/>
          <w:u w:val="single"/>
          <w:lang w:val="fr-FR"/>
        </w:rPr>
        <w:t xml:space="preserve"> </w:t>
      </w:r>
      <w:hyperlink r:id="rId6" w:history="1">
        <w:r w:rsidRPr="001963D4">
          <w:rPr>
            <w:rStyle w:val="Hyperlink"/>
            <w:b/>
            <w:bCs/>
            <w:lang w:val="fr-FR"/>
          </w:rPr>
          <w:t>aidl@aidl.eu</w:t>
        </w:r>
      </w:hyperlink>
      <w:r w:rsidRPr="001963D4">
        <w:rPr>
          <w:b/>
          <w:bCs/>
          <w:u w:val="single"/>
          <w:lang w:val="fr-FR"/>
        </w:rPr>
        <w:t>.</w:t>
      </w:r>
      <w:r w:rsidRPr="001963D4">
        <w:rPr>
          <w:b/>
          <w:bCs/>
          <w:u w:val="single"/>
          <w:lang w:val="fr-FR"/>
        </w:rPr>
        <w:t xml:space="preserve"> </w:t>
      </w:r>
      <w:r w:rsidRPr="001963D4">
        <w:rPr>
          <w:b/>
          <w:bCs/>
          <w:u w:val="single"/>
          <w:lang w:val="fr-FR"/>
        </w:rPr>
        <w:t>Paris, France.</w:t>
      </w:r>
    </w:p>
    <w:p w14:paraId="241659E1" w14:textId="77777777" w:rsidR="001963D4" w:rsidRDefault="001963D4" w:rsidP="001963D4">
      <w:pPr>
        <w:pStyle w:val="aa"/>
        <w:jc w:val="center"/>
      </w:pPr>
      <w:r>
        <w:t>Confidentiality.</w:t>
      </w:r>
    </w:p>
    <w:p w14:paraId="0882C277" w14:textId="77777777" w:rsidR="001963D4" w:rsidRDefault="001963D4" w:rsidP="001963D4">
      <w:pPr>
        <w:pStyle w:val="aa"/>
        <w:jc w:val="center"/>
      </w:pPr>
      <w:r>
        <w:t>AIDL does not request confidentiality.</w:t>
      </w:r>
    </w:p>
    <w:p w14:paraId="1B6B0BC6" w14:textId="77777777" w:rsidR="001963D4" w:rsidRDefault="001963D4" w:rsidP="001963D4">
      <w:pPr>
        <w:pStyle w:val="aa"/>
        <w:jc w:val="center"/>
      </w:pPr>
      <w:r>
        <w:t>This submission may be published on the Committee’s website.</w:t>
      </w:r>
    </w:p>
    <w:p w14:paraId="74AF7BC6" w14:textId="77777777" w:rsidR="001963D4" w:rsidRDefault="001963D4" w:rsidP="001963D4">
      <w:pPr>
        <w:pStyle w:val="aa"/>
        <w:jc w:val="both"/>
      </w:pPr>
      <w:r>
        <w:t>I. Introduction.</w:t>
      </w:r>
    </w:p>
    <w:p w14:paraId="0B2C5AC3" w14:textId="6BDB43BE" w:rsidR="001963D4" w:rsidRDefault="001963D4" w:rsidP="001963D4">
      <w:pPr>
        <w:pStyle w:val="aa"/>
        <w:jc w:val="both"/>
      </w:pPr>
      <w:r>
        <w:t xml:space="preserve">AIDL International Foundation and the Alliance </w:t>
      </w:r>
      <w:proofErr w:type="spellStart"/>
      <w:r>
        <w:t>Internationale</w:t>
      </w:r>
      <w:proofErr w:type="spellEnd"/>
      <w:r>
        <w:t xml:space="preserve"> pour la Défense des Droits et des </w:t>
      </w:r>
      <w:proofErr w:type="spellStart"/>
      <w:r>
        <w:t>Libertés</w:t>
      </w:r>
      <w:proofErr w:type="spellEnd"/>
      <w:r>
        <w:t xml:space="preserve"> </w:t>
      </w:r>
      <w:r>
        <w:t>AIDL, respectfully submit the present written comments on Draft General Comment No. 38 on Article 22 of the International Covenant on Civil and Political Rights.</w:t>
      </w:r>
    </w:p>
    <w:p w14:paraId="3FA299D2" w14:textId="77777777" w:rsidR="001963D4" w:rsidRDefault="001963D4" w:rsidP="001963D4">
      <w:pPr>
        <w:pStyle w:val="aa"/>
        <w:jc w:val="both"/>
      </w:pPr>
      <w:r>
        <w:t xml:space="preserve">AIDL welcomes the Draft General Comment as a major normative development for the protection of civic space, democratic participation, human rights defenders, trade unions, </w:t>
      </w:r>
      <w:proofErr w:type="spellStart"/>
      <w:r>
        <w:t xml:space="preserve">non </w:t>
      </w:r>
      <w:r>
        <w:lastRenderedPageBreak/>
        <w:t>governmental</w:t>
      </w:r>
      <w:proofErr w:type="spellEnd"/>
      <w:r>
        <w:t xml:space="preserve"> organizations, informal associations, cross border civic networks and organizations operating in restrictive or </w:t>
      </w:r>
      <w:proofErr w:type="gramStart"/>
      <w:r>
        <w:t>high risk</w:t>
      </w:r>
      <w:proofErr w:type="gramEnd"/>
      <w:r>
        <w:t xml:space="preserve"> environments.</w:t>
      </w:r>
    </w:p>
    <w:p w14:paraId="5BF3E2DB" w14:textId="77777777" w:rsidR="001963D4" w:rsidRDefault="001963D4" w:rsidP="001963D4">
      <w:pPr>
        <w:pStyle w:val="aa"/>
        <w:jc w:val="both"/>
      </w:pPr>
      <w:r>
        <w:t>AIDL considers that the Draft correctly affirms that freedom of association is not a privilege granted by the State, but a protected right under the Covenant. It also rightly recognizes that this right covers the creation, registration, legal personality, functioning, funding, autonomy, digital presence, dissolution and remedies of associations.</w:t>
      </w:r>
    </w:p>
    <w:p w14:paraId="3652D608" w14:textId="77777777" w:rsidR="001963D4" w:rsidRDefault="001963D4" w:rsidP="001963D4">
      <w:pPr>
        <w:pStyle w:val="aa"/>
        <w:jc w:val="both"/>
      </w:pPr>
      <w:r>
        <w:t>AIDL respectfully submits, however, that the final text should be further strengthened to address the practical methods through which States and private actors restrict associations without issuing a formal prohibition or dissolution decision. These methods include administrative silence, refusal to issue registration receipts, indefinite suspension of registration files, banking restrictions, stigmatization of foreign funding, abusive financial claims, strategic lawsuits against public participation, surveillance, digital harassment and cumulative restrictions that progressively weaken civil society.</w:t>
      </w:r>
    </w:p>
    <w:p w14:paraId="22E9CF05" w14:textId="77777777" w:rsidR="001963D4" w:rsidRDefault="001963D4" w:rsidP="001963D4">
      <w:pPr>
        <w:pStyle w:val="aa"/>
        <w:jc w:val="both"/>
      </w:pPr>
      <w:r>
        <w:t>AIDL’s comments are based on its institutional experience as an international human rights organization, including obstacles faced by civil society organizations in restrictive contexts.</w:t>
      </w:r>
    </w:p>
    <w:p w14:paraId="7EB7ABAF" w14:textId="77777777" w:rsidR="001963D4" w:rsidRDefault="001963D4" w:rsidP="001963D4">
      <w:pPr>
        <w:pStyle w:val="aa"/>
        <w:jc w:val="both"/>
      </w:pPr>
      <w:r>
        <w:t>II. General Position on the Draft General Comment.</w:t>
      </w:r>
    </w:p>
    <w:p w14:paraId="6742539B" w14:textId="77777777" w:rsidR="001963D4" w:rsidRDefault="001963D4" w:rsidP="001963D4">
      <w:pPr>
        <w:pStyle w:val="aa"/>
        <w:jc w:val="both"/>
      </w:pPr>
      <w:r>
        <w:t>AIDL supports the overall direction of Draft General Comment No. 38 and respectfully recommends that the Committee preserve its strong language recognizing that freedom of association applies to formal and informal associations, that registration is not a condition for the existence of the right, that legal personality must be protected under Article 22, that associations may seek, receive and use domestic, foreign and international resources, and that any restriction must be lawful, legitimate, necessary, proportionate and compatible with a democratic society.</w:t>
      </w:r>
    </w:p>
    <w:p w14:paraId="768E4509" w14:textId="77777777" w:rsidR="001963D4" w:rsidRDefault="001963D4" w:rsidP="001963D4">
      <w:pPr>
        <w:pStyle w:val="aa"/>
        <w:jc w:val="both"/>
      </w:pPr>
      <w:r>
        <w:t xml:space="preserve">AIDL further recommends that the final General Comment more explicitly address the operational reality of civil society organizations in restrictive environments. Many violations of Article 22 are not implemented through a formal legal ban. They occur through administrative obstruction, denial of receipts, </w:t>
      </w:r>
      <w:proofErr w:type="spellStart"/>
      <w:r>
        <w:t>non response</w:t>
      </w:r>
      <w:proofErr w:type="spellEnd"/>
      <w:r>
        <w:t>, financial pressure, hostile public narratives, selective enforcement, intimidation, abusive litigation and cumulative constraints that make lawful civic work practically impossible.</w:t>
      </w:r>
    </w:p>
    <w:p w14:paraId="4AFB6168" w14:textId="77777777" w:rsidR="001963D4" w:rsidRDefault="001963D4" w:rsidP="001963D4">
      <w:pPr>
        <w:pStyle w:val="aa"/>
        <w:jc w:val="both"/>
      </w:pPr>
      <w:r>
        <w:t>III. Comments on Paragraphs 7, 12 and 13.</w:t>
      </w:r>
    </w:p>
    <w:p w14:paraId="28D4A56E" w14:textId="77777777" w:rsidR="001963D4" w:rsidRDefault="001963D4" w:rsidP="001963D4">
      <w:pPr>
        <w:pStyle w:val="aa"/>
        <w:jc w:val="both"/>
      </w:pPr>
      <w:r>
        <w:t>Registration, Legal Personality and Administrative Obstruction.</w:t>
      </w:r>
    </w:p>
    <w:p w14:paraId="00DB2DDA" w14:textId="77777777" w:rsidR="001963D4" w:rsidRDefault="001963D4" w:rsidP="001963D4">
      <w:pPr>
        <w:pStyle w:val="aa"/>
        <w:jc w:val="both"/>
      </w:pPr>
      <w:r>
        <w:t>AIDL welcomes paragraphs 7, 12 and 13, particularly the recognition that freedom of association is not subject to prior authorization or formal recognition by the State, and that informal and unregistered associations are protected under Article 22.</w:t>
      </w:r>
    </w:p>
    <w:p w14:paraId="737AC335" w14:textId="77777777" w:rsidR="001963D4" w:rsidRDefault="001963D4" w:rsidP="001963D4">
      <w:pPr>
        <w:pStyle w:val="aa"/>
        <w:jc w:val="both"/>
      </w:pPr>
      <w:r>
        <w:t>AIDL respectfully submits that paragraph 13 should be strengthened to clarify that access to registration and legal personality is not a formal administrative issue only. It is an essential operational guarantee for the effective exercise of Article 22. In many jurisdictions, the denial or delay of a registration receipt prevents associations from opening bank accounts, renting premises, signing contracts, receiving funding, organizing activities, hiring staff, accessing courts or communicating with public authorities and international institutions.</w:t>
      </w:r>
    </w:p>
    <w:p w14:paraId="479FBF3E" w14:textId="77777777" w:rsidR="001963D4" w:rsidRDefault="001963D4" w:rsidP="001963D4">
      <w:pPr>
        <w:pStyle w:val="aa"/>
        <w:jc w:val="both"/>
      </w:pPr>
      <w:r>
        <w:lastRenderedPageBreak/>
        <w:t>Prolonged administrative silence, refusal to issue a receipt, refusal to accept a registration file, failure to provide written reasons or indefinite suspension of an application may amount to a de facto denial of freedom of association.</w:t>
      </w:r>
    </w:p>
    <w:p w14:paraId="56787D9F" w14:textId="77777777" w:rsidR="001963D4" w:rsidRDefault="001963D4" w:rsidP="001963D4">
      <w:pPr>
        <w:pStyle w:val="aa"/>
        <w:jc w:val="both"/>
      </w:pPr>
      <w:r>
        <w:t>In several countries of the Global South, particularly in parts of the Middle East, North Africa and Africa, human rights organizations face a recurring pattern of administrative obstruction. Authorities may avoid issuing a formal rejection because a formal decision could be challenged before a court. Instead, they keep the file pending, refuse to issue a receipt, request repeated documents, or leave the association in legal uncertainty for years.</w:t>
      </w:r>
    </w:p>
    <w:p w14:paraId="67781D44" w14:textId="77777777" w:rsidR="001963D4" w:rsidRDefault="001963D4" w:rsidP="001963D4">
      <w:pPr>
        <w:pStyle w:val="aa"/>
        <w:jc w:val="both"/>
      </w:pPr>
      <w:r>
        <w:t>AIDL respectfully draws the Committee’s attention to its own institutional experience in Morocco. AIDL’s branch in Morocco was established in 2016 and submitted a complete file to the competent authorities in order to obtain the legal registration receipt. To date, AIDL has not received the required receipt. This situation has placed the branch in prolonged legal uncertainty and has restricted its ability to operate normally.</w:t>
      </w:r>
    </w:p>
    <w:p w14:paraId="0607B81C" w14:textId="77777777" w:rsidR="001963D4" w:rsidRDefault="001963D4" w:rsidP="001963D4">
      <w:pPr>
        <w:pStyle w:val="aa"/>
        <w:jc w:val="both"/>
      </w:pPr>
      <w:r>
        <w:t>AIDL submits that this experience is not isolated. Similar obstacles have affected many associations and human rights groups in Morocco and in other African contexts, where the withholding of registration receipts, refusal to accept files, or indefinite delay of administrative procedures can prevent organizations from functioning effectively, accessing resources and engaging with official bodies.</w:t>
      </w:r>
    </w:p>
    <w:p w14:paraId="712ECE0E" w14:textId="77777777" w:rsidR="001963D4" w:rsidRDefault="001963D4" w:rsidP="001963D4">
      <w:pPr>
        <w:pStyle w:val="aa"/>
        <w:jc w:val="both"/>
      </w:pPr>
      <w:r>
        <w:t>AIDL therefore recommends that the final General Comment expressly state that administrative inaction, refusal to issue receipts, excessive delays and indefinite suspension of registration files may constitute violations of Article 22 where they impair the ability of an association to exist, operate, receive resources or obtain legal personality.</w:t>
      </w:r>
    </w:p>
    <w:p w14:paraId="2BA3DEA8" w14:textId="77777777" w:rsidR="001963D4" w:rsidRDefault="001963D4" w:rsidP="001963D4">
      <w:pPr>
        <w:pStyle w:val="aa"/>
        <w:jc w:val="both"/>
      </w:pPr>
      <w:r>
        <w:t>Proposed addition to paragraph 13.</w:t>
      </w:r>
    </w:p>
    <w:p w14:paraId="48A19857" w14:textId="77777777" w:rsidR="001963D4" w:rsidRDefault="001963D4" w:rsidP="001963D4">
      <w:pPr>
        <w:pStyle w:val="aa"/>
        <w:jc w:val="both"/>
      </w:pPr>
      <w:r>
        <w:t xml:space="preserve">The Committee should clarify that access to registration and legal personality under Article 22 requires not only the absence of arbitrary refusal, but also the existence of a prompt, transparent, accessible, </w:t>
      </w:r>
      <w:proofErr w:type="spellStart"/>
      <w:r>
        <w:t>non discriminatory</w:t>
      </w:r>
      <w:proofErr w:type="spellEnd"/>
      <w:r>
        <w:t>, low cost and judicially reviewable procedure. Prolonged administrative silence, unjustified delays, refusal to issue registration receipts or certificates, refusal to accept registration files, or indefinite suspension of registration procedures may constitute a de facto restriction on freedom of association and may amount to a violation of Article 22, even in the absence of a formal prohibition or dissolution decision. States parties must ensure that associations are able to obtain proof of registration within a reasonable and clearly defined period and must provide effective remedies against refusals, delays or administrative inaction.</w:t>
      </w:r>
    </w:p>
    <w:p w14:paraId="7A5E1C1E" w14:textId="77777777" w:rsidR="001963D4" w:rsidRDefault="001963D4" w:rsidP="001963D4">
      <w:pPr>
        <w:pStyle w:val="aa"/>
        <w:jc w:val="both"/>
      </w:pPr>
      <w:r>
        <w:t>IV. Comment on Paragraph 14.</w:t>
      </w:r>
    </w:p>
    <w:p w14:paraId="076994ED" w14:textId="77777777" w:rsidR="001963D4" w:rsidRDefault="001963D4" w:rsidP="001963D4">
      <w:pPr>
        <w:pStyle w:val="aa"/>
        <w:jc w:val="both"/>
      </w:pPr>
      <w:r>
        <w:t>Access to Funding and International Resources.</w:t>
      </w:r>
    </w:p>
    <w:p w14:paraId="7882FC78" w14:textId="77777777" w:rsidR="001963D4" w:rsidRDefault="001963D4" w:rsidP="001963D4">
      <w:pPr>
        <w:pStyle w:val="aa"/>
        <w:jc w:val="both"/>
      </w:pPr>
      <w:r>
        <w:t>AIDL welcomes paragraph 14, especially its recognition that Article 22 protects the right of associations to seek, receive and use funds and other resources, including from outside the State party.</w:t>
      </w:r>
    </w:p>
    <w:p w14:paraId="541C8685" w14:textId="77777777" w:rsidR="001963D4" w:rsidRDefault="001963D4" w:rsidP="001963D4">
      <w:pPr>
        <w:pStyle w:val="aa"/>
        <w:jc w:val="both"/>
      </w:pPr>
      <w:r>
        <w:t xml:space="preserve">AIDL respectfully submits that access to resources is not secondary to freedom of association. It is one of the conditions of its effectiveness. An association that cannot receive </w:t>
      </w:r>
      <w:r>
        <w:lastRenderedPageBreak/>
        <w:t>resources, maintain accounts, pay staff, rent premises, implement activities or receive technical support is formally tolerated but practically disabled.</w:t>
      </w:r>
    </w:p>
    <w:p w14:paraId="65619121" w14:textId="77777777" w:rsidR="001963D4" w:rsidRDefault="001963D4" w:rsidP="001963D4">
      <w:pPr>
        <w:pStyle w:val="aa"/>
        <w:jc w:val="both"/>
      </w:pPr>
      <w:r>
        <w:t>Proposed addition to paragraph 14.</w:t>
      </w:r>
    </w:p>
    <w:p w14:paraId="6B097FA5" w14:textId="77777777" w:rsidR="001963D4" w:rsidRDefault="001963D4" w:rsidP="001963D4">
      <w:pPr>
        <w:pStyle w:val="aa"/>
        <w:jc w:val="both"/>
      </w:pPr>
      <w:r>
        <w:t xml:space="preserve">The Committee should explicitly affirm that the right to seek, receive and use resources includes access to domestic, foreign and international funding, in kind support, technical cooperation, digital tools, training, research support and institutional partnerships. Restrictions on such resources must comply strictly with Article 22 paragraph 2 and must not be used to financially suffocate associations, prevent international cooperation or stigmatize organizations engaged in human rights, humanitarian, environmental, refugee protection, </w:t>
      </w:r>
      <w:proofErr w:type="spellStart"/>
      <w:r>
        <w:t>anti corruption</w:t>
      </w:r>
      <w:proofErr w:type="spellEnd"/>
      <w:r>
        <w:t>, peacebuilding or accountability work.</w:t>
      </w:r>
    </w:p>
    <w:p w14:paraId="6672C2EB" w14:textId="77777777" w:rsidR="001963D4" w:rsidRDefault="001963D4" w:rsidP="001963D4">
      <w:pPr>
        <w:pStyle w:val="aa"/>
        <w:jc w:val="both"/>
      </w:pPr>
      <w:r>
        <w:t>V. Comment on Paragraph 15.</w:t>
      </w:r>
    </w:p>
    <w:p w14:paraId="5BAC9373" w14:textId="77777777" w:rsidR="001963D4" w:rsidRDefault="001963D4" w:rsidP="001963D4">
      <w:pPr>
        <w:pStyle w:val="aa"/>
        <w:jc w:val="both"/>
      </w:pPr>
      <w:r>
        <w:t xml:space="preserve">Autonomy, Independence and </w:t>
      </w:r>
      <w:proofErr w:type="gramStart"/>
      <w:r>
        <w:t>Non Interference</w:t>
      </w:r>
      <w:proofErr w:type="gramEnd"/>
      <w:r>
        <w:t>.</w:t>
      </w:r>
    </w:p>
    <w:p w14:paraId="06A19A11" w14:textId="77777777" w:rsidR="001963D4" w:rsidRDefault="001963D4" w:rsidP="001963D4">
      <w:pPr>
        <w:pStyle w:val="aa"/>
        <w:jc w:val="both"/>
      </w:pPr>
      <w:r>
        <w:t xml:space="preserve">AIDL welcomes paragraph 15 and its emphasis on independence, autonomy and </w:t>
      </w:r>
      <w:proofErr w:type="spellStart"/>
      <w:r>
        <w:t>self governance</w:t>
      </w:r>
      <w:proofErr w:type="spellEnd"/>
      <w:r>
        <w:t>.</w:t>
      </w:r>
    </w:p>
    <w:p w14:paraId="00A03840" w14:textId="77777777" w:rsidR="001963D4" w:rsidRDefault="001963D4" w:rsidP="001963D4">
      <w:pPr>
        <w:pStyle w:val="aa"/>
        <w:jc w:val="both"/>
      </w:pPr>
      <w:r>
        <w:t>AIDL recommends that this paragraph also address indirect interference. State interference does not always take the form of appointing members or directly controlling leadership. It may take the form of intimidation of members, pressure on landlords, obstruction of bank accounts, denial of permits, public stigmatization, security inquiries, surveillance, forced disclosure of donors, selective tax audits or administrative harassment.</w:t>
      </w:r>
    </w:p>
    <w:p w14:paraId="1D9A99F6" w14:textId="77777777" w:rsidR="001963D4" w:rsidRDefault="001963D4" w:rsidP="001963D4">
      <w:pPr>
        <w:pStyle w:val="aa"/>
        <w:jc w:val="both"/>
      </w:pPr>
      <w:r>
        <w:t xml:space="preserve">Such methods allow authorities to weaken an association while formally claiming that they have not prohibited it. AIDL submits that the final General Comment should adopt an </w:t>
      </w:r>
      <w:proofErr w:type="gramStart"/>
      <w:r>
        <w:t>effect based</w:t>
      </w:r>
      <w:proofErr w:type="gramEnd"/>
      <w:r>
        <w:t xml:space="preserve"> test. The relevant question should be whether State conduct, or State tolerated conduct, substantially impairs the association’s ability to govern itself, determine its membership, implement its mandate, communicate freely, access resources or participate in public affairs.</w:t>
      </w:r>
    </w:p>
    <w:p w14:paraId="4F113A60" w14:textId="77777777" w:rsidR="001963D4" w:rsidRDefault="001963D4" w:rsidP="001963D4">
      <w:pPr>
        <w:pStyle w:val="aa"/>
        <w:jc w:val="both"/>
      </w:pPr>
      <w:r>
        <w:t>Proposed addition to paragraph 15.</w:t>
      </w:r>
    </w:p>
    <w:p w14:paraId="62F94934" w14:textId="77777777" w:rsidR="001963D4" w:rsidRDefault="001963D4" w:rsidP="001963D4">
      <w:pPr>
        <w:pStyle w:val="aa"/>
        <w:jc w:val="both"/>
      </w:pPr>
      <w:r>
        <w:t xml:space="preserve">The Committee should clarify that interference with the autonomy of associations includes direct and indirect measures that impair their ability to determine their membership, leadership, internal governance, </w:t>
      </w:r>
      <w:proofErr w:type="spellStart"/>
      <w:r>
        <w:t>programmes</w:t>
      </w:r>
      <w:proofErr w:type="spellEnd"/>
      <w:r>
        <w:t>, partnerships, communications, funding, advocacy priorities and institutional strategy. Such interference may include administrative harassment, pressure on third parties, banking obstruction, intrusive reporting obligations, surveillance, intimidation of members, stigmatization and selective enforcement of regulatory, fiscal or security measures.</w:t>
      </w:r>
    </w:p>
    <w:p w14:paraId="107A4DA0" w14:textId="77777777" w:rsidR="001963D4" w:rsidRDefault="001963D4" w:rsidP="001963D4">
      <w:pPr>
        <w:pStyle w:val="aa"/>
        <w:jc w:val="both"/>
      </w:pPr>
      <w:r>
        <w:t>VI. Comment on Paragraph 30.</w:t>
      </w:r>
    </w:p>
    <w:p w14:paraId="3F009EA9" w14:textId="77777777" w:rsidR="001963D4" w:rsidRDefault="001963D4" w:rsidP="001963D4">
      <w:pPr>
        <w:pStyle w:val="aa"/>
        <w:jc w:val="both"/>
      </w:pPr>
      <w:r>
        <w:t>Abusive Litigation, SLAPPs and Private Actor Pressure.</w:t>
      </w:r>
    </w:p>
    <w:p w14:paraId="15D38154" w14:textId="77777777" w:rsidR="001963D4" w:rsidRDefault="001963D4" w:rsidP="001963D4">
      <w:pPr>
        <w:pStyle w:val="aa"/>
        <w:jc w:val="both"/>
      </w:pPr>
      <w:r>
        <w:t>AIDL strongly welcomes paragraph 30 and the inclusion of strategic lawsuits against public participation as a form of interference with freedom of association.</w:t>
      </w:r>
    </w:p>
    <w:p w14:paraId="6E153560" w14:textId="77777777" w:rsidR="001963D4" w:rsidRDefault="001963D4" w:rsidP="001963D4">
      <w:pPr>
        <w:pStyle w:val="aa"/>
        <w:jc w:val="both"/>
      </w:pPr>
      <w:r>
        <w:lastRenderedPageBreak/>
        <w:t>AIDL respectfully submits that this provision should be expanded. Human rights organizations and civil society associations are increasingly exposed not only to direct State repression, but also to legal, commercial, financial and procedural pressure initiated by private actors. These pressures may be framed as civil claims, intellectual property claims, defamation proceedings, commercial demands, debt claims, contractual disputes or reputational actions. Where such proceedings are used disproportionately to intimidate, exhaust, silence or financially weaken civic actors, they may have the same practical effect as formal State restrictions.</w:t>
      </w:r>
    </w:p>
    <w:p w14:paraId="3EAD971D" w14:textId="77777777" w:rsidR="001963D4" w:rsidRDefault="001963D4" w:rsidP="001963D4">
      <w:pPr>
        <w:pStyle w:val="aa"/>
        <w:jc w:val="both"/>
      </w:pPr>
      <w:r>
        <w:t>International and regional legal standards increasingly recognize that abusive court proceedings may target persons and organizations engaged in public participation. This reinforces the need for the Committee to address abusive litigation as a threat to Article 22 when it affects human rights organizations and civil society actors.</w:t>
      </w:r>
    </w:p>
    <w:p w14:paraId="248B1B76" w14:textId="77777777" w:rsidR="001963D4" w:rsidRDefault="001963D4" w:rsidP="001963D4">
      <w:pPr>
        <w:pStyle w:val="aa"/>
        <w:jc w:val="both"/>
      </w:pPr>
      <w:r>
        <w:t xml:space="preserve">AIDL respectfully submits, without prejudice to any pending or future legal assessment, that it has itself faced legal and financial pressure connected with claims initiated by or associated with </w:t>
      </w:r>
      <w:proofErr w:type="spellStart"/>
      <w:r>
        <w:t>PicRights</w:t>
      </w:r>
      <w:proofErr w:type="spellEnd"/>
      <w:r>
        <w:t xml:space="preserve"> Europe GmbH and related entities in different jurisdictions. AIDL considers that such situations illustrate the need for the Committee to address not only classical defamation SLAPPs, but also other forms of abusive or disproportionate legal and quasi legal demands that can drain the resources of nonprofit human rights organizations and impair their ability to continue public interest work.</w:t>
      </w:r>
    </w:p>
    <w:p w14:paraId="07A9553D" w14:textId="77777777" w:rsidR="001963D4" w:rsidRDefault="001963D4" w:rsidP="001963D4">
      <w:pPr>
        <w:pStyle w:val="aa"/>
        <w:jc w:val="both"/>
      </w:pPr>
      <w:r>
        <w:t>Proposed addition to paragraph 30.</w:t>
      </w:r>
    </w:p>
    <w:p w14:paraId="0637B0B3" w14:textId="77777777" w:rsidR="001963D4" w:rsidRDefault="001963D4" w:rsidP="001963D4">
      <w:pPr>
        <w:pStyle w:val="aa"/>
        <w:jc w:val="both"/>
      </w:pPr>
      <w:r>
        <w:t>The Committee should further clarify that strategic lawsuits against public participation and other forms of abusive legal, commercial or quasi legal proceedings may constitute unlawful interference with freedom of association when they are used to intimidate, exhaust, financially weaken, delegitimize or silence associations, human rights organizations, journalists, lawyers, trade unions, civic movements or public watchdogs. States parties have a positive obligation to protect associations against abusive litigation, including where initiated by private actors, companies or transnational legal enforcement entities, when such proceedings have a chilling effect on the exercise of rights protected under Article 22. Effective safeguards should include early dismissal mechanisms, protection against disproportionate costs, compensation for abuse of process, judicial scrutiny of bad faith claims and access to prompt and independent remedies.</w:t>
      </w:r>
    </w:p>
    <w:p w14:paraId="21826499" w14:textId="77777777" w:rsidR="001963D4" w:rsidRDefault="001963D4" w:rsidP="001963D4">
      <w:pPr>
        <w:pStyle w:val="aa"/>
        <w:jc w:val="both"/>
      </w:pPr>
      <w:r>
        <w:t>VII. Comment on Paragraph 34.</w:t>
      </w:r>
    </w:p>
    <w:p w14:paraId="225A0372" w14:textId="77777777" w:rsidR="001963D4" w:rsidRDefault="001963D4" w:rsidP="001963D4">
      <w:pPr>
        <w:pStyle w:val="aa"/>
        <w:jc w:val="both"/>
      </w:pPr>
      <w:r>
        <w:t>Cumulative Restrictions and De Facto Suppression.</w:t>
      </w:r>
    </w:p>
    <w:p w14:paraId="7242F94A" w14:textId="77777777" w:rsidR="001963D4" w:rsidRDefault="001963D4" w:rsidP="001963D4">
      <w:pPr>
        <w:pStyle w:val="aa"/>
        <w:jc w:val="both"/>
      </w:pPr>
      <w:r>
        <w:t>AIDL strongly supports paragraph 34 and its recognition that cumulative and indirect measures may violate Article 22 even if one isolated act does not appear decisive.</w:t>
      </w:r>
    </w:p>
    <w:p w14:paraId="0E6273A9" w14:textId="77777777" w:rsidR="001963D4" w:rsidRDefault="001963D4" w:rsidP="001963D4">
      <w:pPr>
        <w:pStyle w:val="aa"/>
        <w:jc w:val="both"/>
      </w:pPr>
      <w:r>
        <w:t xml:space="preserve">Civil society organizations in restrictive environments rarely </w:t>
      </w:r>
      <w:proofErr w:type="gramStart"/>
      <w:r>
        <w:t>face</w:t>
      </w:r>
      <w:proofErr w:type="gramEnd"/>
      <w:r>
        <w:t xml:space="preserve"> a single measure. They often face an accumulation of obstacles, including registration delays, denial of receipts, banking difficulties, burdensome reporting, denial of public venues, surveillance, hostile media campaigns, intimidation, foreign funding restrictions, tax pressure, legal harassment and threats of prosecution.</w:t>
      </w:r>
    </w:p>
    <w:p w14:paraId="71FBE3E5" w14:textId="77777777" w:rsidR="001963D4" w:rsidRDefault="001963D4" w:rsidP="001963D4">
      <w:pPr>
        <w:pStyle w:val="aa"/>
        <w:jc w:val="both"/>
      </w:pPr>
      <w:r>
        <w:lastRenderedPageBreak/>
        <w:t>AIDL recommends that the final General Comment expressly adopt a cumulative impact test. States should not be allowed to fragment restrictions and defend each measure separately while the overall result is the effective paralysis of the association.</w:t>
      </w:r>
    </w:p>
    <w:p w14:paraId="6762CFA9" w14:textId="77777777" w:rsidR="001963D4" w:rsidRDefault="001963D4" w:rsidP="001963D4">
      <w:pPr>
        <w:pStyle w:val="aa"/>
        <w:jc w:val="both"/>
      </w:pPr>
      <w:r>
        <w:t>Proposed addition to paragraph 34.</w:t>
      </w:r>
    </w:p>
    <w:p w14:paraId="54C56FD1" w14:textId="77777777" w:rsidR="001963D4" w:rsidRDefault="001963D4" w:rsidP="001963D4">
      <w:pPr>
        <w:pStyle w:val="aa"/>
        <w:jc w:val="both"/>
      </w:pPr>
      <w:r>
        <w:t>The Committee should emphasize that cumulative restrictions must be assessed according to their overall practical effect. Measures such as delayed registration, denial of registration receipts, banking restrictions, burdensome reporting requirements, limitations on foreign funding, public stigmatization, surveillance, harassment, abusive litigation, administrative uncertainty and pressure on third parties may, taken together, amount to a serious restriction or de facto suppression of freedom of association under Article 22, even where each measure is formally presented as an isolated administrative, financial or legal act.</w:t>
      </w:r>
    </w:p>
    <w:p w14:paraId="355F9492" w14:textId="77777777" w:rsidR="001963D4" w:rsidRDefault="001963D4" w:rsidP="001963D4">
      <w:pPr>
        <w:pStyle w:val="aa"/>
        <w:jc w:val="both"/>
      </w:pPr>
      <w:r>
        <w:t>VIII. Comment on Paragraphs 35, 36 and 37.</w:t>
      </w:r>
    </w:p>
    <w:p w14:paraId="2ED3713E" w14:textId="77777777" w:rsidR="001963D4" w:rsidRDefault="001963D4" w:rsidP="001963D4">
      <w:pPr>
        <w:pStyle w:val="aa"/>
        <w:jc w:val="both"/>
      </w:pPr>
      <w:r>
        <w:t>Hostile Narratives, Digital Repression and Private Platforms.</w:t>
      </w:r>
    </w:p>
    <w:p w14:paraId="00AC26F4" w14:textId="77777777" w:rsidR="001963D4" w:rsidRDefault="001963D4" w:rsidP="001963D4">
      <w:pPr>
        <w:pStyle w:val="aa"/>
        <w:jc w:val="both"/>
      </w:pPr>
      <w:r>
        <w:t xml:space="preserve">AIDL recommends strengthening paragraphs 35, 36 and 37 to address the vulnerability of human rights organizations operating across borders. Digital surveillance, </w:t>
      </w:r>
      <w:proofErr w:type="spellStart"/>
      <w:r>
        <w:t>cyber attacks</w:t>
      </w:r>
      <w:proofErr w:type="spellEnd"/>
      <w:r>
        <w:t>, online defamation, content takedowns, hacking attempts, phishing, data theft and coordinated smear campaigns can impair the ability of associations to communicate with victims, protect witnesses, document violations, mobilize resources and participate in international mechanisms.</w:t>
      </w:r>
    </w:p>
    <w:p w14:paraId="675F006E" w14:textId="77777777" w:rsidR="001963D4" w:rsidRDefault="001963D4" w:rsidP="001963D4">
      <w:pPr>
        <w:pStyle w:val="aa"/>
        <w:jc w:val="both"/>
      </w:pPr>
      <w:r>
        <w:t>Proposed addition to paragraphs 35 to 37.</w:t>
      </w:r>
    </w:p>
    <w:p w14:paraId="42A07918" w14:textId="77777777" w:rsidR="001963D4" w:rsidRDefault="001963D4" w:rsidP="001963D4">
      <w:pPr>
        <w:pStyle w:val="aa"/>
        <w:jc w:val="both"/>
      </w:pPr>
      <w:r>
        <w:t>The Committee should clarify that digital attacks, online surveillance, cyber harassment, coordinated smear campaigns, hacking, phishing, unlawful access to organizational data, arbitrary content removal and transnational digital intimidation may interfere with freedom of association when they impair associations’ ability to organize, communicate, document violations, protect sources, access resources or participate in public and international processes. States parties must adopt effective safeguards to prevent, investigate and remedy such interference, including where private technology companies or third parties are involved.</w:t>
      </w:r>
    </w:p>
    <w:p w14:paraId="215259B3" w14:textId="77777777" w:rsidR="001963D4" w:rsidRDefault="001963D4" w:rsidP="001963D4">
      <w:pPr>
        <w:pStyle w:val="aa"/>
        <w:jc w:val="both"/>
      </w:pPr>
      <w:r>
        <w:t>IX. Comment on Paragraph 38.</w:t>
      </w:r>
    </w:p>
    <w:p w14:paraId="6F47E28B" w14:textId="77777777" w:rsidR="001963D4" w:rsidRDefault="001963D4" w:rsidP="001963D4">
      <w:pPr>
        <w:pStyle w:val="aa"/>
        <w:jc w:val="both"/>
      </w:pPr>
      <w:r>
        <w:t xml:space="preserve">Associations Operating in Conflict, Humanitarian and </w:t>
      </w:r>
      <w:proofErr w:type="gramStart"/>
      <w:r>
        <w:t>High Risk</w:t>
      </w:r>
      <w:proofErr w:type="gramEnd"/>
      <w:r>
        <w:t xml:space="preserve"> Contexts.</w:t>
      </w:r>
    </w:p>
    <w:p w14:paraId="33CAE961" w14:textId="77777777" w:rsidR="001963D4" w:rsidRDefault="001963D4" w:rsidP="001963D4">
      <w:pPr>
        <w:pStyle w:val="aa"/>
        <w:jc w:val="both"/>
      </w:pPr>
      <w:r>
        <w:t>AIDL recommends expanding paragraph 38 to include organizations working on human rights documentation, protection of civilians, refugee protection, enforced disappearance, torture, climate justice in conflict affected areas, transitional justice, accountability, early warning and humanitarian advocacy.</w:t>
      </w:r>
    </w:p>
    <w:p w14:paraId="0A6803E3" w14:textId="77777777" w:rsidR="001963D4" w:rsidRDefault="001963D4" w:rsidP="001963D4">
      <w:pPr>
        <w:pStyle w:val="aa"/>
        <w:jc w:val="both"/>
      </w:pPr>
      <w:r>
        <w:t>Proposed addition to paragraph 38.</w:t>
      </w:r>
    </w:p>
    <w:p w14:paraId="5369C02E" w14:textId="77777777" w:rsidR="001963D4" w:rsidRDefault="001963D4" w:rsidP="001963D4">
      <w:pPr>
        <w:pStyle w:val="aa"/>
        <w:jc w:val="both"/>
      </w:pPr>
      <w:r>
        <w:t xml:space="preserve">The Committee should recognize that associations working in conflict, occupation, detention, humanitarian, refugee, migration, environmental, climate justice, </w:t>
      </w:r>
      <w:proofErr w:type="spellStart"/>
      <w:r>
        <w:t>anti corruption</w:t>
      </w:r>
      <w:proofErr w:type="spellEnd"/>
      <w:r>
        <w:t xml:space="preserve">, transitional justice and accountability contexts require heightened protection under Article 22. Activities </w:t>
      </w:r>
      <w:r>
        <w:lastRenderedPageBreak/>
        <w:t xml:space="preserve">such as documenting violations, receiving complaints, preserving evidence, supporting victims, engaging with United Nations mechanisms, advocating for accountability and cooperating with international partners are protected associational activities. States parties must not criminalize, stigmatize or obstruct such activities through national security, </w:t>
      </w:r>
      <w:proofErr w:type="spellStart"/>
      <w:r>
        <w:t>anti terrorism</w:t>
      </w:r>
      <w:proofErr w:type="spellEnd"/>
      <w:r>
        <w:t xml:space="preserve">, public order, foreign influence or </w:t>
      </w:r>
      <w:proofErr w:type="gramStart"/>
      <w:r>
        <w:t>sovereignty based</w:t>
      </w:r>
      <w:proofErr w:type="gramEnd"/>
      <w:r>
        <w:t xml:space="preserve"> narratives unless Article 22 paragraph 2 is strictly met.</w:t>
      </w:r>
    </w:p>
    <w:p w14:paraId="1AFE7EB4" w14:textId="77777777" w:rsidR="001963D4" w:rsidRDefault="001963D4" w:rsidP="001963D4">
      <w:pPr>
        <w:pStyle w:val="aa"/>
        <w:jc w:val="both"/>
      </w:pPr>
      <w:r>
        <w:t>X. Comment on Paragraph 49.</w:t>
      </w:r>
    </w:p>
    <w:p w14:paraId="304F78A3" w14:textId="77777777" w:rsidR="001963D4" w:rsidRDefault="001963D4" w:rsidP="001963D4">
      <w:pPr>
        <w:pStyle w:val="aa"/>
        <w:jc w:val="both"/>
      </w:pPr>
      <w:r>
        <w:t>Foreign Agent Laws, Stigmatization and Misleading Transparency Narratives.</w:t>
      </w:r>
    </w:p>
    <w:p w14:paraId="73D3D65C" w14:textId="77777777" w:rsidR="001963D4" w:rsidRDefault="001963D4" w:rsidP="001963D4">
      <w:pPr>
        <w:pStyle w:val="aa"/>
        <w:jc w:val="both"/>
      </w:pPr>
      <w:r>
        <w:t>AIDL strongly welcomes paragraph 49 and its rejection of transparency narratives used to target associations receiving foreign funding.</w:t>
      </w:r>
    </w:p>
    <w:p w14:paraId="20D37CC3" w14:textId="77777777" w:rsidR="001963D4" w:rsidRDefault="001963D4" w:rsidP="001963D4">
      <w:pPr>
        <w:pStyle w:val="aa"/>
        <w:jc w:val="both"/>
      </w:pPr>
      <w:r>
        <w:t>Many States use terms such as transparency, sovereignty, public order, social harmony, foreign influence, national values or national security to impose discriminatory burdens on independent organizations. Such language can be particularly damaging for human rights organizations because it creates public suspicion and exposes staff, members, victims and partners to threats.</w:t>
      </w:r>
    </w:p>
    <w:p w14:paraId="6C6609B2" w14:textId="77777777" w:rsidR="001963D4" w:rsidRDefault="001963D4" w:rsidP="001963D4">
      <w:pPr>
        <w:pStyle w:val="aa"/>
        <w:jc w:val="both"/>
      </w:pPr>
      <w:r>
        <w:t>Proposed addition to paragraph 49.</w:t>
      </w:r>
    </w:p>
    <w:p w14:paraId="218EEF19" w14:textId="77777777" w:rsidR="001963D4" w:rsidRDefault="001963D4" w:rsidP="001963D4">
      <w:pPr>
        <w:pStyle w:val="aa"/>
        <w:jc w:val="both"/>
      </w:pPr>
      <w:r>
        <w:t xml:space="preserve">The Committee should explicitly affirm that foreign or international funding, partnerships, technical support or participation in international networks do not in themselves constitute a legitimate ground for restricting associations under Article 22. States parties must not stigmatize, label or treat associations as foreign agents, threats to sovereignty or risks to national security merely because they receive international support or cooperate with foreign or international partners. Transparency requirements, where legitimate, must remain narrowly tailored, </w:t>
      </w:r>
      <w:proofErr w:type="spellStart"/>
      <w:r>
        <w:t>non stigmatizing</w:t>
      </w:r>
      <w:proofErr w:type="spellEnd"/>
      <w:r>
        <w:t xml:space="preserve">, proportionate, </w:t>
      </w:r>
      <w:proofErr w:type="spellStart"/>
      <w:r>
        <w:t>non discriminatory</w:t>
      </w:r>
      <w:proofErr w:type="spellEnd"/>
      <w:r>
        <w:t xml:space="preserve"> and must not be used to obstruct, delegitimize, isolate or financially suffocate civil society organizations.</w:t>
      </w:r>
    </w:p>
    <w:p w14:paraId="03774842" w14:textId="77777777" w:rsidR="001963D4" w:rsidRDefault="001963D4" w:rsidP="001963D4">
      <w:pPr>
        <w:pStyle w:val="aa"/>
        <w:jc w:val="both"/>
      </w:pPr>
      <w:r>
        <w:t>XI. Comment on Paragraphs 39 and 40.</w:t>
      </w:r>
    </w:p>
    <w:p w14:paraId="121BCBF8" w14:textId="77777777" w:rsidR="001963D4" w:rsidRDefault="001963D4" w:rsidP="001963D4">
      <w:pPr>
        <w:pStyle w:val="aa"/>
        <w:jc w:val="both"/>
      </w:pPr>
      <w:r>
        <w:t>Effective Remedies.</w:t>
      </w:r>
    </w:p>
    <w:p w14:paraId="4F6CA137" w14:textId="77777777" w:rsidR="001963D4" w:rsidRDefault="001963D4" w:rsidP="001963D4">
      <w:pPr>
        <w:pStyle w:val="aa"/>
        <w:jc w:val="both"/>
      </w:pPr>
      <w:r>
        <w:t>AIDL welcomes paragraphs 39 and 40 on remedies and recommends that the final General Comment require remedies to be rapid, practical and capable of restoring the association’s ability to operate. In cases involving denial of registration, refusal to issue receipts, bank account obstruction, freezing of assets, dissolution, suspension or abusive litigation, delayed justice may itself destroy the organization.</w:t>
      </w:r>
    </w:p>
    <w:p w14:paraId="157196B2" w14:textId="77777777" w:rsidR="001963D4" w:rsidRDefault="001963D4" w:rsidP="001963D4">
      <w:pPr>
        <w:pStyle w:val="aa"/>
        <w:jc w:val="both"/>
      </w:pPr>
      <w:r>
        <w:t>Proposed addition to paragraphs 39 and 40.</w:t>
      </w:r>
    </w:p>
    <w:p w14:paraId="41AEEABA" w14:textId="77777777" w:rsidR="001963D4" w:rsidRDefault="001963D4" w:rsidP="001963D4">
      <w:pPr>
        <w:pStyle w:val="aa"/>
        <w:jc w:val="both"/>
      </w:pPr>
      <w:r>
        <w:t xml:space="preserve">The Committee should clarify that remedies for violations of Article 22 must be prompt, practical and capable of restoring the effective functioning of the association. In cases concerning registration, legal personality, access to bank accounts, access to funding, freezing of assets, suspension, dissolution or abusive litigation, States parties must provide expedited judicial review and interim protection where necessary to prevent irreversible harm. Remedies should include registration, issuance of receipts, restoration of legal personality, lifting of unlawful restrictions, compensation, reimbursement of legal costs, </w:t>
      </w:r>
      <w:r>
        <w:lastRenderedPageBreak/>
        <w:t xml:space="preserve">guarantees of </w:t>
      </w:r>
      <w:proofErr w:type="spellStart"/>
      <w:r>
        <w:t>non repetition</w:t>
      </w:r>
      <w:proofErr w:type="spellEnd"/>
      <w:r>
        <w:t xml:space="preserve"> and legislative or administrative reform where the violation results from a structural framework.</w:t>
      </w:r>
    </w:p>
    <w:p w14:paraId="6E6FC705" w14:textId="77777777" w:rsidR="001963D4" w:rsidRPr="001963D4" w:rsidRDefault="001963D4" w:rsidP="001963D4">
      <w:pPr>
        <w:pStyle w:val="aa"/>
        <w:jc w:val="both"/>
        <w:rPr>
          <w:lang w:val="fr-FR"/>
        </w:rPr>
      </w:pPr>
      <w:r w:rsidRPr="001963D4">
        <w:rPr>
          <w:lang w:val="fr-FR"/>
        </w:rPr>
        <w:t xml:space="preserve">XII. Comment on </w:t>
      </w:r>
      <w:proofErr w:type="spellStart"/>
      <w:r w:rsidRPr="001963D4">
        <w:rPr>
          <w:lang w:val="fr-FR"/>
        </w:rPr>
        <w:t>Paragraph</w:t>
      </w:r>
      <w:proofErr w:type="spellEnd"/>
      <w:r w:rsidRPr="001963D4">
        <w:rPr>
          <w:lang w:val="fr-FR"/>
        </w:rPr>
        <w:t xml:space="preserve"> 60.</w:t>
      </w:r>
    </w:p>
    <w:p w14:paraId="513308C5" w14:textId="77777777" w:rsidR="001963D4" w:rsidRPr="001963D4" w:rsidRDefault="001963D4" w:rsidP="001963D4">
      <w:pPr>
        <w:pStyle w:val="aa"/>
        <w:jc w:val="both"/>
        <w:rPr>
          <w:lang w:val="fr-FR"/>
        </w:rPr>
      </w:pPr>
      <w:r w:rsidRPr="001963D4">
        <w:rPr>
          <w:lang w:val="fr-FR"/>
        </w:rPr>
        <w:t xml:space="preserve">Non </w:t>
      </w:r>
      <w:proofErr w:type="spellStart"/>
      <w:r w:rsidRPr="001963D4">
        <w:rPr>
          <w:lang w:val="fr-FR"/>
        </w:rPr>
        <w:t>Regression</w:t>
      </w:r>
      <w:proofErr w:type="spellEnd"/>
      <w:r w:rsidRPr="001963D4">
        <w:rPr>
          <w:lang w:val="fr-FR"/>
        </w:rPr>
        <w:t>.</w:t>
      </w:r>
    </w:p>
    <w:p w14:paraId="2DE45472" w14:textId="77777777" w:rsidR="001963D4" w:rsidRDefault="001963D4" w:rsidP="001963D4">
      <w:pPr>
        <w:pStyle w:val="aa"/>
        <w:jc w:val="both"/>
      </w:pPr>
      <w:r>
        <w:t>AIDL welcomes paragraph 60 and recommends clarifying that regression may occur through laws, administrative practice, selective enforcement, banking pressure, surveillance powers or informal instructions.</w:t>
      </w:r>
    </w:p>
    <w:p w14:paraId="2B885BF4" w14:textId="77777777" w:rsidR="001963D4" w:rsidRDefault="001963D4" w:rsidP="001963D4">
      <w:pPr>
        <w:pStyle w:val="aa"/>
        <w:jc w:val="both"/>
      </w:pPr>
      <w:r>
        <w:t>Proposed addition to paragraph 60.</w:t>
      </w:r>
    </w:p>
    <w:p w14:paraId="293C5E82" w14:textId="77777777" w:rsidR="001963D4" w:rsidRDefault="001963D4" w:rsidP="001963D4">
      <w:pPr>
        <w:pStyle w:val="aa"/>
        <w:jc w:val="both"/>
      </w:pPr>
      <w:r>
        <w:t xml:space="preserve">The Committee should clarify that retrogressive measures under Article 22 may arise from legislation, administrative practice, selective enforcement, fiscal measures, banking restrictions, surveillance practices or informal instructions that create new barriers to the existence, registration, operation, funding or public participation of associations. States parties must justify any retrogressive measure under legality, legitimate aim, necessity, proportionality, </w:t>
      </w:r>
      <w:proofErr w:type="spellStart"/>
      <w:r>
        <w:t>non discrimination</w:t>
      </w:r>
      <w:proofErr w:type="spellEnd"/>
      <w:r>
        <w:t xml:space="preserve"> and effective judicial review.</w:t>
      </w:r>
    </w:p>
    <w:p w14:paraId="0C0263EB" w14:textId="77777777" w:rsidR="001963D4" w:rsidRDefault="001963D4" w:rsidP="001963D4">
      <w:pPr>
        <w:pStyle w:val="aa"/>
        <w:jc w:val="both"/>
      </w:pPr>
      <w:r>
        <w:t>XIII. Final Recommendations.</w:t>
      </w:r>
    </w:p>
    <w:p w14:paraId="52BFD4CF" w14:textId="77777777" w:rsidR="001963D4" w:rsidRDefault="001963D4" w:rsidP="001963D4">
      <w:pPr>
        <w:pStyle w:val="aa"/>
        <w:jc w:val="both"/>
      </w:pPr>
      <w:r>
        <w:t>AIDL respectfully recommends that the Committee adopt the Draft General Comment with strengthened language in five priority areas.</w:t>
      </w:r>
    </w:p>
    <w:p w14:paraId="2453EA02" w14:textId="77777777" w:rsidR="001963D4" w:rsidRDefault="001963D4" w:rsidP="001963D4">
      <w:pPr>
        <w:pStyle w:val="aa"/>
        <w:jc w:val="both"/>
      </w:pPr>
      <w:r>
        <w:t>First.</w:t>
      </w:r>
    </w:p>
    <w:p w14:paraId="42451C47" w14:textId="77777777" w:rsidR="001963D4" w:rsidRDefault="001963D4" w:rsidP="001963D4">
      <w:pPr>
        <w:pStyle w:val="aa"/>
        <w:jc w:val="both"/>
      </w:pPr>
      <w:r>
        <w:t>Administrative silence, refusal to issue registration receipts and indefinite suspension of registration files should be expressly recognized as potential violations of Article 22.</w:t>
      </w:r>
    </w:p>
    <w:p w14:paraId="705AA98E" w14:textId="77777777" w:rsidR="001963D4" w:rsidRDefault="001963D4" w:rsidP="001963D4">
      <w:pPr>
        <w:pStyle w:val="aa"/>
        <w:jc w:val="both"/>
      </w:pPr>
      <w:r>
        <w:t>Second.</w:t>
      </w:r>
    </w:p>
    <w:p w14:paraId="61279DA7" w14:textId="77777777" w:rsidR="001963D4" w:rsidRDefault="001963D4" w:rsidP="001963D4">
      <w:pPr>
        <w:pStyle w:val="aa"/>
        <w:jc w:val="both"/>
      </w:pPr>
      <w:r>
        <w:t>Foreign and international funding, technical support and cross border cooperation should receive stronger protection.</w:t>
      </w:r>
    </w:p>
    <w:p w14:paraId="47D7ED41" w14:textId="77777777" w:rsidR="001963D4" w:rsidRDefault="001963D4" w:rsidP="001963D4">
      <w:pPr>
        <w:pStyle w:val="aa"/>
        <w:jc w:val="both"/>
      </w:pPr>
      <w:r>
        <w:t>Third.</w:t>
      </w:r>
    </w:p>
    <w:p w14:paraId="41B5AB6F" w14:textId="77777777" w:rsidR="001963D4" w:rsidRDefault="001963D4" w:rsidP="001963D4">
      <w:pPr>
        <w:pStyle w:val="aa"/>
        <w:jc w:val="both"/>
      </w:pPr>
      <w:r>
        <w:t>Abusive litigation, including SLAPPs and other disproportionate legal or quasi legal proceedings, should be treated as a potential interference with freedom of association.</w:t>
      </w:r>
    </w:p>
    <w:p w14:paraId="717E8C79" w14:textId="77777777" w:rsidR="001963D4" w:rsidRDefault="001963D4" w:rsidP="001963D4">
      <w:pPr>
        <w:pStyle w:val="aa"/>
        <w:jc w:val="both"/>
      </w:pPr>
      <w:r>
        <w:t>Fourth.</w:t>
      </w:r>
    </w:p>
    <w:p w14:paraId="1EE00548" w14:textId="77777777" w:rsidR="001963D4" w:rsidRDefault="001963D4" w:rsidP="001963D4">
      <w:pPr>
        <w:pStyle w:val="aa"/>
        <w:jc w:val="both"/>
      </w:pPr>
      <w:r>
        <w:t>The final text should adopt a cumulative impact test assessing the combined effect of administrative, financial, legal, digital and reputational restrictions.</w:t>
      </w:r>
    </w:p>
    <w:p w14:paraId="1337506F" w14:textId="77777777" w:rsidR="001963D4" w:rsidRDefault="001963D4" w:rsidP="001963D4">
      <w:pPr>
        <w:pStyle w:val="aa"/>
        <w:jc w:val="both"/>
      </w:pPr>
      <w:r>
        <w:t>Fifth.</w:t>
      </w:r>
    </w:p>
    <w:p w14:paraId="4C156B6B" w14:textId="77777777" w:rsidR="001963D4" w:rsidRDefault="001963D4" w:rsidP="001963D4">
      <w:pPr>
        <w:pStyle w:val="aa"/>
        <w:jc w:val="both"/>
      </w:pPr>
      <w:r>
        <w:t>Rapid and effective remedies should be required to restore the actual functioning of associations before irreversible institutional harm occurs.</w:t>
      </w:r>
    </w:p>
    <w:p w14:paraId="6CC6D171" w14:textId="77777777" w:rsidR="001963D4" w:rsidRDefault="001963D4" w:rsidP="001963D4">
      <w:pPr>
        <w:pStyle w:val="aa"/>
        <w:jc w:val="both"/>
      </w:pPr>
      <w:r>
        <w:lastRenderedPageBreak/>
        <w:t>XIV. Conclusion.</w:t>
      </w:r>
    </w:p>
    <w:p w14:paraId="225DD9A2" w14:textId="77777777" w:rsidR="001963D4" w:rsidRDefault="001963D4" w:rsidP="001963D4">
      <w:pPr>
        <w:pStyle w:val="aa"/>
        <w:jc w:val="both"/>
      </w:pPr>
      <w:r>
        <w:t>AIDL respectfully commends the Human Rights Committee for developing Draft General Comment No. 38 as a decisive normative instrument for protecting civic space at a time of increasing pressure on associations, human rights defenders, journalists, lawyers, trade unions and humanitarian actors.</w:t>
      </w:r>
    </w:p>
    <w:p w14:paraId="0572DFD1" w14:textId="77777777" w:rsidR="001963D4" w:rsidRDefault="001963D4" w:rsidP="001963D4">
      <w:pPr>
        <w:pStyle w:val="aa"/>
        <w:jc w:val="both"/>
      </w:pPr>
      <w:r>
        <w:t>AIDL submits that the final text should focus not only on formal restrictions, but also on the practical mechanisms by which associations are obstructed, exhausted or silenced. The reality faced by many organizations is not always a formal ban. It is often the denial of a receipt, the freezing of a file, the blocking of a bank account, the threat of an abusive lawsuit, the stigmatization of foreign support, the misuse of security narratives, the harassment of members, or the accumulation of small restrictions that gradually make civic work impossible.</w:t>
      </w:r>
    </w:p>
    <w:p w14:paraId="2300FEBD" w14:textId="77777777" w:rsidR="001963D4" w:rsidRDefault="001963D4" w:rsidP="001963D4">
      <w:pPr>
        <w:pStyle w:val="aa"/>
        <w:jc w:val="both"/>
      </w:pPr>
      <w:r>
        <w:t>For Article 22 to be effective, the Committee should make clear that States must protect the real and practical ability of associations to exist, register, operate, receive resources, communicate, litigate, advocate, document violations, cooperate internationally and participate in public life without fear, stigma or institutional exhaustion.</w:t>
      </w:r>
    </w:p>
    <w:p w14:paraId="67EC4E70" w14:textId="77777777" w:rsidR="001963D4" w:rsidRDefault="001963D4" w:rsidP="001963D4">
      <w:pPr>
        <w:pStyle w:val="aa"/>
        <w:jc w:val="both"/>
      </w:pPr>
    </w:p>
    <w:p w14:paraId="783959C5" w14:textId="77777777" w:rsidR="001963D4" w:rsidRDefault="001963D4" w:rsidP="001963D4">
      <w:pPr>
        <w:pStyle w:val="aa"/>
        <w:jc w:val="both"/>
      </w:pPr>
      <w:r>
        <w:t>AIDL remains ready to provide any further information that may assist the Committee in its consideration of Draft General Comment No. 38.</w:t>
      </w:r>
    </w:p>
    <w:p w14:paraId="1BF8FA3E" w14:textId="77777777" w:rsidR="001963D4" w:rsidRDefault="001963D4" w:rsidP="001963D4">
      <w:pPr>
        <w:pStyle w:val="aa"/>
        <w:jc w:val="both"/>
      </w:pPr>
    </w:p>
    <w:p w14:paraId="4B35D4D9" w14:textId="1103A99D" w:rsidR="001963D4" w:rsidRDefault="001963D4" w:rsidP="001963D4">
      <w:pPr>
        <w:pStyle w:val="aa"/>
        <w:jc w:val="both"/>
      </w:pPr>
      <w:r>
        <w:t>Respectfully submitted</w:t>
      </w:r>
      <w:r>
        <w:t>,</w:t>
      </w:r>
    </w:p>
    <w:p w14:paraId="6B337374" w14:textId="77777777" w:rsidR="001963D4" w:rsidRDefault="001963D4" w:rsidP="001963D4">
      <w:pPr>
        <w:pStyle w:val="aa"/>
        <w:jc w:val="both"/>
      </w:pPr>
      <w:r>
        <w:t>AIDL International Foundation.</w:t>
      </w:r>
    </w:p>
    <w:p w14:paraId="2FE11530" w14:textId="6DEA6F1A" w:rsidR="001963D4" w:rsidRPr="001963D4" w:rsidRDefault="001963D4" w:rsidP="001963D4">
      <w:pPr>
        <w:pStyle w:val="aa"/>
        <w:jc w:val="both"/>
        <w:rPr>
          <w:b/>
          <w:bCs/>
          <w:u w:val="single"/>
          <w:lang w:val="fr-FR"/>
        </w:rPr>
      </w:pPr>
      <w:r w:rsidRPr="001963D4">
        <w:rPr>
          <w:b/>
          <w:bCs/>
          <w:u w:val="single"/>
          <w:lang w:val="fr-FR"/>
        </w:rPr>
        <w:t>Alliance Internationale pour la Défense des Droits et des Libertés</w:t>
      </w:r>
      <w:r w:rsidRPr="001963D4">
        <w:rPr>
          <w:b/>
          <w:bCs/>
          <w:u w:val="single"/>
          <w:lang w:val="fr-FR"/>
        </w:rPr>
        <w:t xml:space="preserve"> </w:t>
      </w:r>
      <w:r w:rsidRPr="001963D4">
        <w:rPr>
          <w:b/>
          <w:bCs/>
          <w:u w:val="single"/>
          <w:lang w:val="fr-FR"/>
        </w:rPr>
        <w:t>AIDL.</w:t>
      </w:r>
    </w:p>
    <w:p w14:paraId="59D4761F" w14:textId="23E94E73" w:rsidR="001963D4" w:rsidRDefault="001963D4" w:rsidP="001963D4">
      <w:pPr>
        <w:pStyle w:val="aa"/>
        <w:jc w:val="both"/>
      </w:pPr>
      <w:r>
        <w:t>Founded in 2009.</w:t>
      </w:r>
      <w:r>
        <w:t xml:space="preserve"> </w:t>
      </w:r>
      <w:r>
        <w:t>Officially registered in France in 2014.</w:t>
      </w:r>
    </w:p>
    <w:p w14:paraId="46C4578E" w14:textId="77777777" w:rsidR="001963D4" w:rsidRDefault="001963D4" w:rsidP="001963D4">
      <w:pPr>
        <w:pStyle w:val="aa"/>
        <w:jc w:val="both"/>
      </w:pPr>
      <w:r>
        <w:t>Special consultative status with ECOSOC since 2017.</w:t>
      </w:r>
    </w:p>
    <w:p w14:paraId="3466F7DD" w14:textId="77777777" w:rsidR="001963D4" w:rsidRDefault="001963D4" w:rsidP="001963D4">
      <w:pPr>
        <w:pStyle w:val="aa"/>
      </w:pPr>
      <w:r>
        <w:t xml:space="preserve">Member of the </w:t>
      </w:r>
      <w:r>
        <w:rPr>
          <w:rStyle w:val="whitespace-normal"/>
        </w:rPr>
        <w:t>Coalition Against SLAPPs in Europe</w:t>
      </w:r>
      <w:r>
        <w:t>.</w:t>
      </w:r>
    </w:p>
    <w:p w14:paraId="6D3F9B72" w14:textId="77777777" w:rsidR="001963D4" w:rsidRDefault="001963D4" w:rsidP="001963D4">
      <w:pPr>
        <w:pStyle w:val="aa"/>
      </w:pPr>
      <w:r>
        <w:t xml:space="preserve">Member of the </w:t>
      </w:r>
      <w:r>
        <w:rPr>
          <w:rStyle w:val="whitespace-normal"/>
        </w:rPr>
        <w:t>UNESCO Media and Information Literacy Alliance</w:t>
      </w:r>
      <w:r>
        <w:t>.</w:t>
      </w:r>
    </w:p>
    <w:p w14:paraId="6E6F2E1C" w14:textId="47DA044D" w:rsidR="001963D4" w:rsidRDefault="001963D4" w:rsidP="001963D4">
      <w:pPr>
        <w:pStyle w:val="aa"/>
        <w:rPr>
          <w:rFonts w:hint="cs"/>
          <w:rtl/>
          <w:lang w:bidi="ar-AE"/>
        </w:rPr>
      </w:pPr>
      <w:r>
        <w:t>Website.</w:t>
      </w:r>
    </w:p>
    <w:p w14:paraId="755FC9AF" w14:textId="77777777" w:rsidR="001963D4" w:rsidRDefault="001963D4" w:rsidP="001963D4">
      <w:pPr>
        <w:pStyle w:val="aa"/>
        <w:jc w:val="both"/>
      </w:pPr>
      <w:r>
        <w:t>Website.</w:t>
      </w:r>
    </w:p>
    <w:p w14:paraId="76C93C60" w14:textId="77777777" w:rsidR="001963D4" w:rsidRDefault="001963D4" w:rsidP="001963D4">
      <w:pPr>
        <w:pStyle w:val="aa"/>
        <w:jc w:val="both"/>
      </w:pPr>
      <w:hyperlink r:id="rId7" w:history="1">
        <w:r>
          <w:rPr>
            <w:rStyle w:val="Hyperlink"/>
          </w:rPr>
          <w:t>www.aidl.eu</w:t>
        </w:r>
      </w:hyperlink>
      <w:r>
        <w:t>.</w:t>
      </w:r>
    </w:p>
    <w:p w14:paraId="211E2E2E" w14:textId="77777777" w:rsidR="001963D4" w:rsidRDefault="001963D4" w:rsidP="001963D4">
      <w:pPr>
        <w:pStyle w:val="aa"/>
        <w:jc w:val="both"/>
      </w:pPr>
      <w:r>
        <w:t>Email.</w:t>
      </w:r>
    </w:p>
    <w:p w14:paraId="1DDE6591" w14:textId="77777777" w:rsidR="001963D4" w:rsidRDefault="001963D4" w:rsidP="001963D4">
      <w:pPr>
        <w:pStyle w:val="aa"/>
        <w:jc w:val="both"/>
      </w:pPr>
      <w:hyperlink r:id="rId8" w:history="1">
        <w:r>
          <w:rPr>
            <w:rStyle w:val="Hyperlink"/>
          </w:rPr>
          <w:t>aidl@aidl.eu</w:t>
        </w:r>
      </w:hyperlink>
      <w:r>
        <w:t>.</w:t>
      </w:r>
    </w:p>
    <w:sectPr w:rsidR="001963D4" w:rsidSect="001963D4">
      <w:pgSz w:w="11906" w:h="16838"/>
      <w:pgMar w:top="1440" w:right="1274" w:bottom="1276"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2D"/>
    <w:rsid w:val="001963D4"/>
    <w:rsid w:val="002D61FE"/>
    <w:rsid w:val="005F37DF"/>
    <w:rsid w:val="00604F75"/>
    <w:rsid w:val="00F82C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7BD4"/>
  <w15:chartTrackingRefBased/>
  <w15:docId w15:val="{E5A3BC1E-38C2-478C-A51C-77F1335E7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F82C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82C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82C2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82C2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82C2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82C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82C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82C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82C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F82C2D"/>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F82C2D"/>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F82C2D"/>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F82C2D"/>
    <w:rPr>
      <w:rFonts w:eastAsiaTheme="majorEastAsia" w:cstheme="majorBidi"/>
      <w:i/>
      <w:iCs/>
      <w:color w:val="2F5496" w:themeColor="accent1" w:themeShade="BF"/>
    </w:rPr>
  </w:style>
  <w:style w:type="character" w:customStyle="1" w:styleId="5Char">
    <w:name w:val="عنوان 5 Char"/>
    <w:basedOn w:val="a0"/>
    <w:link w:val="5"/>
    <w:uiPriority w:val="9"/>
    <w:semiHidden/>
    <w:rsid w:val="00F82C2D"/>
    <w:rPr>
      <w:rFonts w:eastAsiaTheme="majorEastAsia" w:cstheme="majorBidi"/>
      <w:color w:val="2F5496" w:themeColor="accent1" w:themeShade="BF"/>
    </w:rPr>
  </w:style>
  <w:style w:type="character" w:customStyle="1" w:styleId="6Char">
    <w:name w:val="عنوان 6 Char"/>
    <w:basedOn w:val="a0"/>
    <w:link w:val="6"/>
    <w:uiPriority w:val="9"/>
    <w:semiHidden/>
    <w:rsid w:val="00F82C2D"/>
    <w:rPr>
      <w:rFonts w:eastAsiaTheme="majorEastAsia" w:cstheme="majorBidi"/>
      <w:i/>
      <w:iCs/>
      <w:color w:val="595959" w:themeColor="text1" w:themeTint="A6"/>
    </w:rPr>
  </w:style>
  <w:style w:type="character" w:customStyle="1" w:styleId="7Char">
    <w:name w:val="عنوان 7 Char"/>
    <w:basedOn w:val="a0"/>
    <w:link w:val="7"/>
    <w:uiPriority w:val="9"/>
    <w:semiHidden/>
    <w:rsid w:val="00F82C2D"/>
    <w:rPr>
      <w:rFonts w:eastAsiaTheme="majorEastAsia" w:cstheme="majorBidi"/>
      <w:color w:val="595959" w:themeColor="text1" w:themeTint="A6"/>
    </w:rPr>
  </w:style>
  <w:style w:type="character" w:customStyle="1" w:styleId="8Char">
    <w:name w:val="عنوان 8 Char"/>
    <w:basedOn w:val="a0"/>
    <w:link w:val="8"/>
    <w:uiPriority w:val="9"/>
    <w:semiHidden/>
    <w:rsid w:val="00F82C2D"/>
    <w:rPr>
      <w:rFonts w:eastAsiaTheme="majorEastAsia" w:cstheme="majorBidi"/>
      <w:i/>
      <w:iCs/>
      <w:color w:val="272727" w:themeColor="text1" w:themeTint="D8"/>
    </w:rPr>
  </w:style>
  <w:style w:type="character" w:customStyle="1" w:styleId="9Char">
    <w:name w:val="عنوان 9 Char"/>
    <w:basedOn w:val="a0"/>
    <w:link w:val="9"/>
    <w:uiPriority w:val="9"/>
    <w:semiHidden/>
    <w:rsid w:val="00F82C2D"/>
    <w:rPr>
      <w:rFonts w:eastAsiaTheme="majorEastAsia" w:cstheme="majorBidi"/>
      <w:color w:val="272727" w:themeColor="text1" w:themeTint="D8"/>
    </w:rPr>
  </w:style>
  <w:style w:type="paragraph" w:styleId="a3">
    <w:name w:val="Title"/>
    <w:basedOn w:val="a"/>
    <w:next w:val="a"/>
    <w:link w:val="Char"/>
    <w:uiPriority w:val="10"/>
    <w:qFormat/>
    <w:rsid w:val="00F82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F82C2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82C2D"/>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F82C2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82C2D"/>
    <w:pPr>
      <w:spacing w:before="160"/>
      <w:jc w:val="center"/>
    </w:pPr>
    <w:rPr>
      <w:i/>
      <w:iCs/>
      <w:color w:val="404040" w:themeColor="text1" w:themeTint="BF"/>
    </w:rPr>
  </w:style>
  <w:style w:type="character" w:customStyle="1" w:styleId="Char1">
    <w:name w:val="اقتباس Char"/>
    <w:basedOn w:val="a0"/>
    <w:link w:val="a5"/>
    <w:uiPriority w:val="29"/>
    <w:rsid w:val="00F82C2D"/>
    <w:rPr>
      <w:i/>
      <w:iCs/>
      <w:color w:val="404040" w:themeColor="text1" w:themeTint="BF"/>
    </w:rPr>
  </w:style>
  <w:style w:type="paragraph" w:styleId="a6">
    <w:name w:val="List Paragraph"/>
    <w:basedOn w:val="a"/>
    <w:uiPriority w:val="34"/>
    <w:qFormat/>
    <w:rsid w:val="00F82C2D"/>
    <w:pPr>
      <w:ind w:left="720"/>
      <w:contextualSpacing/>
    </w:pPr>
  </w:style>
  <w:style w:type="character" w:styleId="a7">
    <w:name w:val="Intense Emphasis"/>
    <w:basedOn w:val="a0"/>
    <w:uiPriority w:val="21"/>
    <w:qFormat/>
    <w:rsid w:val="00F82C2D"/>
    <w:rPr>
      <w:i/>
      <w:iCs/>
      <w:color w:val="2F5496" w:themeColor="accent1" w:themeShade="BF"/>
    </w:rPr>
  </w:style>
  <w:style w:type="paragraph" w:styleId="a8">
    <w:name w:val="Intense Quote"/>
    <w:basedOn w:val="a"/>
    <w:next w:val="a"/>
    <w:link w:val="Char2"/>
    <w:uiPriority w:val="30"/>
    <w:qFormat/>
    <w:rsid w:val="00F82C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F82C2D"/>
    <w:rPr>
      <w:i/>
      <w:iCs/>
      <w:color w:val="2F5496" w:themeColor="accent1" w:themeShade="BF"/>
    </w:rPr>
  </w:style>
  <w:style w:type="character" w:styleId="a9">
    <w:name w:val="Intense Reference"/>
    <w:basedOn w:val="a0"/>
    <w:uiPriority w:val="32"/>
    <w:qFormat/>
    <w:rsid w:val="00F82C2D"/>
    <w:rPr>
      <w:b/>
      <w:bCs/>
      <w:smallCaps/>
      <w:color w:val="2F5496" w:themeColor="accent1" w:themeShade="BF"/>
      <w:spacing w:val="5"/>
    </w:rPr>
  </w:style>
  <w:style w:type="paragraph" w:styleId="aa">
    <w:name w:val="Normal (Web)"/>
    <w:basedOn w:val="a"/>
    <w:uiPriority w:val="99"/>
    <w:semiHidden/>
    <w:unhideWhenUsed/>
    <w:rsid w:val="00F82C2D"/>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F82C2D"/>
    <w:rPr>
      <w:b/>
      <w:bCs/>
    </w:rPr>
  </w:style>
  <w:style w:type="character" w:styleId="Hyperlink">
    <w:name w:val="Hyperlink"/>
    <w:basedOn w:val="a0"/>
    <w:uiPriority w:val="99"/>
    <w:unhideWhenUsed/>
    <w:rsid w:val="00F82C2D"/>
    <w:rPr>
      <w:color w:val="0000FF"/>
      <w:u w:val="single"/>
    </w:rPr>
  </w:style>
  <w:style w:type="character" w:styleId="ac">
    <w:name w:val="Unresolved Mention"/>
    <w:basedOn w:val="a0"/>
    <w:uiPriority w:val="99"/>
    <w:semiHidden/>
    <w:unhideWhenUsed/>
    <w:rsid w:val="00F82C2D"/>
    <w:rPr>
      <w:color w:val="605E5C"/>
      <w:shd w:val="clear" w:color="auto" w:fill="E1DFDD"/>
    </w:rPr>
  </w:style>
  <w:style w:type="character" w:customStyle="1" w:styleId="whitespace-normal">
    <w:name w:val="whitespace-normal"/>
    <w:basedOn w:val="a0"/>
    <w:rsid w:val="001963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dl@aidl.eu"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www.aidl.eu/"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idl@aidl.eu" TargetMode="External"/><Relationship Id="rId11" Type="http://schemas.openxmlformats.org/officeDocument/2006/relationships/customXml" Target="../customXml/item1.xml"/><Relationship Id="rId5" Type="http://schemas.openxmlformats.org/officeDocument/2006/relationships/hyperlink" Target="http://www.aidl.eu/"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B71B053E-44C8-457B-AF69-D85B83C89F94}"/>
</file>

<file path=customXml/itemProps2.xml><?xml version="1.0" encoding="utf-8"?>
<ds:datastoreItem xmlns:ds="http://schemas.openxmlformats.org/officeDocument/2006/customXml" ds:itemID="{95E5A2DF-03B9-4E29-8832-6E5D64D437B8}"/>
</file>

<file path=customXml/itemProps3.xml><?xml version="1.0" encoding="utf-8"?>
<ds:datastoreItem xmlns:ds="http://schemas.openxmlformats.org/officeDocument/2006/customXml" ds:itemID="{27EF4E0D-D432-44DF-9136-2D287A1CB714}"/>
</file>

<file path=docProps/app.xml><?xml version="1.0" encoding="utf-8"?>
<Properties xmlns="http://schemas.openxmlformats.org/officeDocument/2006/extended-properties" xmlns:vt="http://schemas.openxmlformats.org/officeDocument/2006/docPropsVTypes">
  <Template>Normal.dotm</Template>
  <TotalTime>44</TotalTime>
  <Pages>9</Pages>
  <Words>3501</Words>
  <Characters>19962</Characters>
  <Application>Microsoft Office Word</Application>
  <DocSecurity>0</DocSecurity>
  <Lines>166</Lines>
  <Paragraphs>46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ALLIANCE INTERNATIONALE AIDL</dc:creator>
  <cp:keywords/>
  <dc:description/>
  <cp:lastModifiedBy>ALLIANCE INTERNATIONALE AIDL</cp:lastModifiedBy>
  <cp:revision>1</cp:revision>
  <cp:lastPrinted>2026-05-02T08:48:00Z</cp:lastPrinted>
  <dcterms:created xsi:type="dcterms:W3CDTF">2026-05-02T08:09:00Z</dcterms:created>
  <dcterms:modified xsi:type="dcterms:W3CDTF">2026-05-02T09:19:00Z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