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F2811" w14:textId="17C7437B" w:rsidR="008C49AE" w:rsidRPr="008C49AE" w:rsidRDefault="008C49AE" w:rsidP="008C49AE">
      <w:pPr>
        <w:spacing w:before="120" w:after="200" w:line="240" w:lineRule="auto"/>
        <w:jc w:val="both"/>
        <w:rPr>
          <w:rFonts w:ascii="Times New Roman" w:eastAsia="Times New Roman" w:hAnsi="Times New Roman" w:cs="Times New Roman"/>
          <w:kern w:val="0"/>
          <w14:ligatures w14:val="none"/>
        </w:rPr>
      </w:pPr>
      <w:r w:rsidRPr="008C49AE">
        <w:rPr>
          <w:rFonts w:ascii="Times New Roman" w:eastAsia="Times New Roman" w:hAnsi="Times New Roman" w:cs="Times New Roman"/>
          <w:color w:val="000000"/>
          <w:kern w:val="0"/>
          <w:sz w:val="22"/>
          <w:szCs w:val="22"/>
          <w14:ligatures w14:val="none"/>
        </w:rPr>
        <w:t>This joint submission is made by the International Trade Union Confederation (ITUC) and the International Lawyers Assisting Workers (ILAW) Network. The focus of these comments will be on ensuring synergy between this General Comment and international labour standards, particularly with respect to ILO Conventions 87 and 98. The explicit recognition of the ILO Conventions and interpretations as authoritative throughout the General Comment is welcome and necessary to ensure cohesion and uniformity across international legal regimes.  </w:t>
      </w:r>
    </w:p>
    <w:p w14:paraId="10010313" w14:textId="77777777" w:rsidR="008C49AE" w:rsidRPr="008C49AE" w:rsidRDefault="008C49AE" w:rsidP="008C49AE">
      <w:pPr>
        <w:spacing w:before="120" w:after="200" w:line="240" w:lineRule="auto"/>
        <w:jc w:val="both"/>
        <w:rPr>
          <w:rFonts w:ascii="Times New Roman" w:eastAsia="Times New Roman" w:hAnsi="Times New Roman" w:cs="Times New Roman"/>
          <w:kern w:val="0"/>
          <w14:ligatures w14:val="none"/>
        </w:rPr>
      </w:pPr>
      <w:r w:rsidRPr="008C49AE">
        <w:rPr>
          <w:rFonts w:ascii="Times New Roman" w:eastAsia="Times New Roman" w:hAnsi="Times New Roman" w:cs="Times New Roman"/>
          <w:color w:val="000000"/>
          <w:kern w:val="0"/>
          <w:sz w:val="22"/>
          <w:szCs w:val="22"/>
          <w14:ligatures w14:val="none"/>
        </w:rPr>
        <w:t xml:space="preserve">Given the recent Advisory Opinion by the International Court of Justice, regarding whether the right to strike of workers and their organizations is protected under the Freedom of Association and Protection of the Right to </w:t>
      </w:r>
      <w:proofErr w:type="spellStart"/>
      <w:r w:rsidRPr="008C49AE">
        <w:rPr>
          <w:rFonts w:ascii="Times New Roman" w:eastAsia="Times New Roman" w:hAnsi="Times New Roman" w:cs="Times New Roman"/>
          <w:color w:val="000000"/>
          <w:kern w:val="0"/>
          <w:sz w:val="22"/>
          <w:szCs w:val="22"/>
          <w14:ligatures w14:val="none"/>
        </w:rPr>
        <w:t>Organise</w:t>
      </w:r>
      <w:proofErr w:type="spellEnd"/>
      <w:r w:rsidRPr="008C49AE">
        <w:rPr>
          <w:rFonts w:ascii="Times New Roman" w:eastAsia="Times New Roman" w:hAnsi="Times New Roman" w:cs="Times New Roman"/>
          <w:color w:val="000000"/>
          <w:kern w:val="0"/>
          <w:sz w:val="22"/>
          <w:szCs w:val="22"/>
          <w14:ligatures w14:val="none"/>
        </w:rPr>
        <w:t xml:space="preserve"> Convention, 1948 (No. 87), where it found that the right to strike is protected under ILO Convention 87, it is imperative that it is included in the references throughout as well as more broadly incorporated in the General Comment. In its Advisory Opinion, the Court notes “that strike action is one of the main activities engaged in and tools used by workers and their organizations to promote their interests and improve conditions of labour, thereby ensuring the effective exercise of the freedom of association protected under Convention No. 87. At the same time, freedom of association is instrumental in facilitating workers’ organizations to take collective action to further and defend the interests of their members, including through the exercise of the right to strike. Therefore, the protection of the right to strike is in line with the object and purpose of Convention No. 87.”</w:t>
      </w:r>
    </w:p>
    <w:p w14:paraId="11DF9CCA" w14:textId="77777777" w:rsidR="008C49AE" w:rsidRPr="008C49AE" w:rsidRDefault="008C49AE" w:rsidP="008C49AE">
      <w:pPr>
        <w:spacing w:before="120" w:after="200" w:line="240" w:lineRule="auto"/>
        <w:jc w:val="both"/>
        <w:rPr>
          <w:rFonts w:ascii="Times New Roman" w:eastAsia="Times New Roman" w:hAnsi="Times New Roman" w:cs="Times New Roman"/>
          <w:kern w:val="0"/>
          <w14:ligatures w14:val="none"/>
        </w:rPr>
      </w:pPr>
      <w:r w:rsidRPr="008C49AE">
        <w:rPr>
          <w:rFonts w:ascii="Times New Roman" w:eastAsia="Times New Roman" w:hAnsi="Times New Roman" w:cs="Times New Roman"/>
          <w:color w:val="000000"/>
          <w:kern w:val="0"/>
          <w:sz w:val="22"/>
          <w:szCs w:val="22"/>
          <w14:ligatures w14:val="none"/>
        </w:rPr>
        <w:t>Below are some specific comments on various paragraphs of the Draft General Comment:</w:t>
      </w:r>
    </w:p>
    <w:p w14:paraId="4A8E9D4A" w14:textId="77777777" w:rsidR="008C49AE" w:rsidRPr="008C49AE" w:rsidRDefault="008C49AE" w:rsidP="008C49AE">
      <w:pPr>
        <w:spacing w:before="120" w:after="200" w:line="240" w:lineRule="auto"/>
        <w:jc w:val="both"/>
        <w:rPr>
          <w:rFonts w:ascii="Times New Roman" w:eastAsia="Times New Roman" w:hAnsi="Times New Roman" w:cs="Times New Roman"/>
          <w:kern w:val="0"/>
          <w14:ligatures w14:val="none"/>
        </w:rPr>
      </w:pPr>
      <w:r w:rsidRPr="008C49AE">
        <w:rPr>
          <w:rFonts w:ascii="Times New Roman" w:eastAsia="Times New Roman" w:hAnsi="Times New Roman" w:cs="Times New Roman"/>
          <w:b/>
          <w:bCs/>
          <w:color w:val="000000"/>
          <w:kern w:val="0"/>
          <w:sz w:val="22"/>
          <w:szCs w:val="22"/>
          <w14:ligatures w14:val="none"/>
        </w:rPr>
        <w:t>Paragraph 2:</w:t>
      </w:r>
      <w:r w:rsidRPr="008C49AE">
        <w:rPr>
          <w:rFonts w:ascii="Times New Roman" w:eastAsia="Times New Roman" w:hAnsi="Times New Roman" w:cs="Times New Roman"/>
          <w:color w:val="000000"/>
          <w:kern w:val="0"/>
          <w:sz w:val="22"/>
          <w:szCs w:val="22"/>
          <w14:ligatures w14:val="none"/>
        </w:rPr>
        <w:t xml:space="preserve"> The reference to workplaces and trade union rights is not authoritative enough, given the importance of the right to freedom of association for workers and within workplaces. The suggestion would be to re-write that: “Regarding the workplace, the right to form and join unions and collectively bargain is vital for protecting individuals and is an enabling right to achieve other workplace protections.”</w:t>
      </w:r>
    </w:p>
    <w:p w14:paraId="5C350AA7" w14:textId="77777777" w:rsidR="008C49AE" w:rsidRPr="008C49AE" w:rsidRDefault="008C49AE" w:rsidP="008C49AE">
      <w:pPr>
        <w:spacing w:before="120" w:after="200" w:line="240" w:lineRule="auto"/>
        <w:jc w:val="both"/>
        <w:rPr>
          <w:rFonts w:ascii="Times New Roman" w:eastAsia="Times New Roman" w:hAnsi="Times New Roman" w:cs="Times New Roman"/>
          <w:kern w:val="0"/>
          <w14:ligatures w14:val="none"/>
        </w:rPr>
      </w:pPr>
      <w:r w:rsidRPr="008C49AE">
        <w:rPr>
          <w:rFonts w:ascii="Times New Roman" w:eastAsia="Times New Roman" w:hAnsi="Times New Roman" w:cs="Times New Roman"/>
          <w:b/>
          <w:bCs/>
          <w:color w:val="000000"/>
          <w:kern w:val="0"/>
          <w:sz w:val="22"/>
          <w:szCs w:val="22"/>
          <w14:ligatures w14:val="none"/>
        </w:rPr>
        <w:t>Paragraph 4:</w:t>
      </w:r>
      <w:r w:rsidRPr="008C49AE">
        <w:rPr>
          <w:rFonts w:ascii="Times New Roman" w:eastAsia="Times New Roman" w:hAnsi="Times New Roman" w:cs="Times New Roman"/>
          <w:color w:val="000000"/>
          <w:kern w:val="0"/>
          <w:sz w:val="22"/>
          <w:szCs w:val="22"/>
          <w14:ligatures w14:val="none"/>
        </w:rPr>
        <w:t xml:space="preserve"> In the references in Footnote 15, the ICJ Advisory Opinion on the Right to Strike needs to be added</w:t>
      </w:r>
    </w:p>
    <w:p w14:paraId="79E6A2A6" w14:textId="77777777" w:rsidR="008C49AE" w:rsidRPr="008C49AE" w:rsidRDefault="008C49AE" w:rsidP="008C49AE">
      <w:pPr>
        <w:spacing w:before="120" w:after="200" w:line="240" w:lineRule="auto"/>
        <w:jc w:val="both"/>
        <w:rPr>
          <w:rFonts w:ascii="Times New Roman" w:eastAsia="Times New Roman" w:hAnsi="Times New Roman" w:cs="Times New Roman"/>
          <w:kern w:val="0"/>
          <w14:ligatures w14:val="none"/>
        </w:rPr>
      </w:pPr>
      <w:r w:rsidRPr="008C49AE">
        <w:rPr>
          <w:rFonts w:ascii="Times New Roman" w:eastAsia="Times New Roman" w:hAnsi="Times New Roman" w:cs="Times New Roman"/>
          <w:b/>
          <w:bCs/>
          <w:color w:val="000000"/>
          <w:kern w:val="0"/>
          <w:sz w:val="22"/>
          <w:szCs w:val="22"/>
          <w14:ligatures w14:val="none"/>
        </w:rPr>
        <w:t>Paragraph 9:</w:t>
      </w:r>
      <w:r w:rsidRPr="008C49AE">
        <w:rPr>
          <w:rFonts w:ascii="Times New Roman" w:eastAsia="Times New Roman" w:hAnsi="Times New Roman" w:cs="Times New Roman"/>
          <w:color w:val="000000"/>
          <w:kern w:val="0"/>
          <w:sz w:val="22"/>
          <w:szCs w:val="22"/>
          <w14:ligatures w14:val="none"/>
        </w:rPr>
        <w:t xml:space="preserve"> In the list of marginalized persons or groups, there should be reference to workers in the informal economy, and workers in misclassified employment status. This is because these workers are further disenfranchised and often discriminated against with respect to forming or joining a trade union under national law, where these workers are often excluded.  </w:t>
      </w:r>
    </w:p>
    <w:p w14:paraId="1FFAAF6B" w14:textId="77777777" w:rsidR="008C49AE" w:rsidRPr="008C49AE" w:rsidRDefault="008C49AE" w:rsidP="008C49AE">
      <w:pPr>
        <w:spacing w:before="120" w:after="200" w:line="240" w:lineRule="auto"/>
        <w:jc w:val="both"/>
        <w:rPr>
          <w:rFonts w:ascii="Times New Roman" w:eastAsia="Times New Roman" w:hAnsi="Times New Roman" w:cs="Times New Roman"/>
          <w:kern w:val="0"/>
          <w14:ligatures w14:val="none"/>
        </w:rPr>
      </w:pPr>
      <w:r w:rsidRPr="008C49AE">
        <w:rPr>
          <w:rFonts w:ascii="Times New Roman" w:eastAsia="Times New Roman" w:hAnsi="Times New Roman" w:cs="Times New Roman"/>
          <w:b/>
          <w:bCs/>
          <w:color w:val="000000"/>
          <w:kern w:val="0"/>
          <w:sz w:val="22"/>
          <w:szCs w:val="22"/>
          <w14:ligatures w14:val="none"/>
        </w:rPr>
        <w:t>Paragraph 10:</w:t>
      </w:r>
      <w:r w:rsidRPr="008C49AE">
        <w:rPr>
          <w:rFonts w:ascii="Times New Roman" w:eastAsia="Times New Roman" w:hAnsi="Times New Roman" w:cs="Times New Roman"/>
          <w:color w:val="000000"/>
          <w:kern w:val="0"/>
          <w:sz w:val="22"/>
          <w:szCs w:val="22"/>
          <w14:ligatures w14:val="none"/>
        </w:rPr>
        <w:t xml:space="preserve"> In the discussion regarding the need to protect against controversial ideas, the list of examples should be expanded to include ‘possible negative economic consequences or interests’ which is often used against workers who are protesting or striking against development projects, workplaces, or a particular employer/corporation. This framing is often used by State Parties to limit the protection and exercise of the right to freedom of association when it ‘harms economic interests.’ </w:t>
      </w:r>
    </w:p>
    <w:p w14:paraId="6F28721C" w14:textId="77777777" w:rsidR="008C49AE" w:rsidRPr="008C49AE" w:rsidRDefault="008C49AE" w:rsidP="008C49AE">
      <w:pPr>
        <w:spacing w:before="120" w:after="200" w:line="240" w:lineRule="auto"/>
        <w:jc w:val="both"/>
        <w:rPr>
          <w:rFonts w:ascii="Times New Roman" w:eastAsia="Times New Roman" w:hAnsi="Times New Roman" w:cs="Times New Roman"/>
          <w:kern w:val="0"/>
          <w14:ligatures w14:val="none"/>
        </w:rPr>
      </w:pPr>
      <w:r w:rsidRPr="008C49AE">
        <w:rPr>
          <w:rFonts w:ascii="Times New Roman" w:eastAsia="Times New Roman" w:hAnsi="Times New Roman" w:cs="Times New Roman"/>
          <w:b/>
          <w:bCs/>
          <w:color w:val="000000"/>
          <w:kern w:val="0"/>
          <w:sz w:val="22"/>
          <w:szCs w:val="22"/>
          <w14:ligatures w14:val="none"/>
        </w:rPr>
        <w:t>Paragraph 13:</w:t>
      </w:r>
      <w:r w:rsidRPr="008C49AE">
        <w:rPr>
          <w:rFonts w:ascii="Times New Roman" w:eastAsia="Times New Roman" w:hAnsi="Times New Roman" w:cs="Times New Roman"/>
          <w:color w:val="000000"/>
          <w:kern w:val="0"/>
          <w:sz w:val="22"/>
          <w:szCs w:val="22"/>
          <w14:ligatures w14:val="none"/>
        </w:rPr>
        <w:t xml:space="preserve"> The restrictions on foreign funding should be added to statement regarding onerous requirements being incompatible with Art. 22. </w:t>
      </w:r>
    </w:p>
    <w:p w14:paraId="7DAE9EFE" w14:textId="77777777" w:rsidR="008C49AE" w:rsidRPr="008C49AE" w:rsidRDefault="008C49AE" w:rsidP="008C49AE">
      <w:pPr>
        <w:spacing w:before="120" w:after="200" w:line="240" w:lineRule="auto"/>
        <w:jc w:val="both"/>
        <w:rPr>
          <w:rFonts w:ascii="Times New Roman" w:eastAsia="Times New Roman" w:hAnsi="Times New Roman" w:cs="Times New Roman"/>
          <w:kern w:val="0"/>
          <w14:ligatures w14:val="none"/>
        </w:rPr>
      </w:pPr>
      <w:r w:rsidRPr="008C49AE">
        <w:rPr>
          <w:rFonts w:ascii="Times New Roman" w:eastAsia="Times New Roman" w:hAnsi="Times New Roman" w:cs="Times New Roman"/>
          <w:b/>
          <w:bCs/>
          <w:color w:val="000000"/>
          <w:kern w:val="0"/>
          <w:sz w:val="22"/>
          <w:szCs w:val="22"/>
          <w14:ligatures w14:val="none"/>
        </w:rPr>
        <w:t>Paragraph 14:</w:t>
      </w:r>
      <w:r w:rsidRPr="008C49AE">
        <w:rPr>
          <w:rFonts w:ascii="Times New Roman" w:eastAsia="Times New Roman" w:hAnsi="Times New Roman" w:cs="Times New Roman"/>
          <w:color w:val="000000"/>
          <w:kern w:val="0"/>
          <w:sz w:val="22"/>
          <w:szCs w:val="22"/>
          <w14:ligatures w14:val="none"/>
        </w:rPr>
        <w:t xml:space="preserve"> The discussion on foreign funding restrictions needs to include onerous auditing and annual review requirements, as well as vague and overly broad definitions of the types of activities that are excluded. All of which creates undue </w:t>
      </w:r>
      <w:proofErr w:type="gramStart"/>
      <w:r w:rsidRPr="008C49AE">
        <w:rPr>
          <w:rFonts w:ascii="Times New Roman" w:eastAsia="Times New Roman" w:hAnsi="Times New Roman" w:cs="Times New Roman"/>
          <w:color w:val="000000"/>
          <w:kern w:val="0"/>
          <w:sz w:val="22"/>
          <w:szCs w:val="22"/>
          <w14:ligatures w14:val="none"/>
        </w:rPr>
        <w:t>burden, and</w:t>
      </w:r>
      <w:proofErr w:type="gramEnd"/>
      <w:r w:rsidRPr="008C49AE">
        <w:rPr>
          <w:rFonts w:ascii="Times New Roman" w:eastAsia="Times New Roman" w:hAnsi="Times New Roman" w:cs="Times New Roman"/>
          <w:color w:val="000000"/>
          <w:kern w:val="0"/>
          <w:sz w:val="22"/>
          <w:szCs w:val="22"/>
          <w14:ligatures w14:val="none"/>
        </w:rPr>
        <w:t xml:space="preserve"> is not strictly necessary or proportional as required when </w:t>
      </w:r>
      <w:r w:rsidRPr="008C49AE">
        <w:rPr>
          <w:rFonts w:ascii="Times New Roman" w:eastAsia="Times New Roman" w:hAnsi="Times New Roman" w:cs="Times New Roman"/>
          <w:color w:val="000000"/>
          <w:kern w:val="0"/>
          <w:sz w:val="22"/>
          <w:szCs w:val="22"/>
          <w14:ligatures w14:val="none"/>
        </w:rPr>
        <w:lastRenderedPageBreak/>
        <w:t>limiting this right. Additionally, there should be a reference to the UN Special Rapporteur on freedom of association and assembly’s (UNSR FOAA) reports regarding restrictions on foreign funding and onerous registration requirements for civil society and trade unions. The foundational report is Maina Kiai, A/HRC/23/39 (24 April 2013), which is already cited in the draft. However, the reports of successor mandate-holders should also be referenced, e.g. Clément Voule, A/HRC/56/50 (2024), and the current Special Rapporteur Gina Romero, A/80/219 (22 July 2025), which documents the recent proliferation of “foreign agent” and “foreign influence” laws. </w:t>
      </w:r>
    </w:p>
    <w:p w14:paraId="2F167C06" w14:textId="77777777" w:rsidR="008C49AE" w:rsidRPr="008C49AE" w:rsidRDefault="008C49AE" w:rsidP="008C49AE">
      <w:pPr>
        <w:spacing w:before="120" w:after="200" w:line="240" w:lineRule="auto"/>
        <w:jc w:val="both"/>
        <w:rPr>
          <w:rFonts w:ascii="Times New Roman" w:eastAsia="Times New Roman" w:hAnsi="Times New Roman" w:cs="Times New Roman"/>
          <w:kern w:val="0"/>
          <w14:ligatures w14:val="none"/>
        </w:rPr>
      </w:pPr>
      <w:r w:rsidRPr="008C49AE">
        <w:rPr>
          <w:rFonts w:ascii="Times New Roman" w:eastAsia="Times New Roman" w:hAnsi="Times New Roman" w:cs="Times New Roman"/>
          <w:b/>
          <w:bCs/>
          <w:color w:val="000000"/>
          <w:kern w:val="0"/>
          <w:sz w:val="22"/>
          <w:szCs w:val="22"/>
          <w14:ligatures w14:val="none"/>
        </w:rPr>
        <w:t>Paragraph 23:</w:t>
      </w:r>
      <w:r w:rsidRPr="008C49AE">
        <w:rPr>
          <w:rFonts w:ascii="Times New Roman" w:eastAsia="Times New Roman" w:hAnsi="Times New Roman" w:cs="Times New Roman"/>
          <w:color w:val="000000"/>
          <w:kern w:val="0"/>
          <w:sz w:val="22"/>
          <w:szCs w:val="22"/>
          <w14:ligatures w14:val="none"/>
        </w:rPr>
        <w:t xml:space="preserve"> The individual dimension of article 22 should expressly encompass protection against anti-union discrimination in employment for all workers irrespective of employment (formal or informal) or migration status. </w:t>
      </w:r>
      <w:proofErr w:type="gramStart"/>
      <w:r w:rsidRPr="008C49AE">
        <w:rPr>
          <w:rFonts w:ascii="Times New Roman" w:eastAsia="Times New Roman" w:hAnsi="Times New Roman" w:cs="Times New Roman"/>
          <w:color w:val="000000"/>
          <w:kern w:val="0"/>
          <w:sz w:val="22"/>
          <w:szCs w:val="22"/>
          <w14:ligatures w14:val="none"/>
        </w:rPr>
        <w:t>In light of</w:t>
      </w:r>
      <w:proofErr w:type="gramEnd"/>
      <w:r w:rsidRPr="008C49AE">
        <w:rPr>
          <w:rFonts w:ascii="Times New Roman" w:eastAsia="Times New Roman" w:hAnsi="Times New Roman" w:cs="Times New Roman"/>
          <w:color w:val="000000"/>
          <w:kern w:val="0"/>
          <w:sz w:val="22"/>
          <w:szCs w:val="22"/>
          <w14:ligatures w14:val="none"/>
        </w:rPr>
        <w:t xml:space="preserve"> ILO Convention No. 98 (articles 1 and 2), article 22 requires States Parties to provide effective and dissuasive protection against dismissal, blacklisting, refusal to hire and other prejudice directed at workers by reason of trade union membership or activity, as well as against acts of employer interference, including the establishment of employer-dominated unions. Without such protection, the individual right to form and join a trade union is rendered null in practice. The existing reference to dismissed workers retaining union membership should be broadened to capture this protection. </w:t>
      </w:r>
    </w:p>
    <w:p w14:paraId="0CA0AE80" w14:textId="77777777" w:rsidR="008C49AE" w:rsidRPr="008C49AE" w:rsidRDefault="008C49AE" w:rsidP="008C49AE">
      <w:pPr>
        <w:spacing w:before="120" w:after="200" w:line="240" w:lineRule="auto"/>
        <w:jc w:val="both"/>
        <w:rPr>
          <w:rFonts w:ascii="Times New Roman" w:eastAsia="Times New Roman" w:hAnsi="Times New Roman" w:cs="Times New Roman"/>
          <w:kern w:val="0"/>
          <w14:ligatures w14:val="none"/>
        </w:rPr>
      </w:pPr>
      <w:r w:rsidRPr="008C49AE">
        <w:rPr>
          <w:rFonts w:ascii="Times New Roman" w:eastAsia="Times New Roman" w:hAnsi="Times New Roman" w:cs="Times New Roman"/>
          <w:b/>
          <w:bCs/>
          <w:color w:val="000000"/>
          <w:kern w:val="0"/>
          <w:sz w:val="22"/>
          <w:szCs w:val="22"/>
          <w14:ligatures w14:val="none"/>
        </w:rPr>
        <w:t>Paragraph 24:</w:t>
      </w:r>
      <w:r w:rsidRPr="008C49AE">
        <w:rPr>
          <w:rFonts w:ascii="Times New Roman" w:eastAsia="Times New Roman" w:hAnsi="Times New Roman" w:cs="Times New Roman"/>
          <w:color w:val="000000"/>
          <w:kern w:val="0"/>
          <w:sz w:val="22"/>
          <w:szCs w:val="22"/>
          <w14:ligatures w14:val="none"/>
        </w:rPr>
        <w:t xml:space="preserve"> In discussing the undue restrictions on trade unions by State Parties, there must also be inclusion of the onerous registration requirements of trade unions, the arbitrary and often discriminatory rejection of trade union registration. For example, in Jordan, agricultural workers have consistently been rejected from registering their trade unions because agricultural workers are not included in the list of sectors allowed to have unions. Sectoral exclusions should be identified as a violation of article 22. Article 2 of ILO Convention No. 87 guarantees the right to </w:t>
      </w:r>
      <w:proofErr w:type="spellStart"/>
      <w:r w:rsidRPr="008C49AE">
        <w:rPr>
          <w:rFonts w:ascii="Times New Roman" w:eastAsia="Times New Roman" w:hAnsi="Times New Roman" w:cs="Times New Roman"/>
          <w:color w:val="000000"/>
          <w:kern w:val="0"/>
          <w:sz w:val="22"/>
          <w:szCs w:val="22"/>
          <w14:ligatures w14:val="none"/>
        </w:rPr>
        <w:t>organise</w:t>
      </w:r>
      <w:proofErr w:type="spellEnd"/>
      <w:r w:rsidRPr="008C49AE">
        <w:rPr>
          <w:rFonts w:ascii="Times New Roman" w:eastAsia="Times New Roman" w:hAnsi="Times New Roman" w:cs="Times New Roman"/>
          <w:color w:val="000000"/>
          <w:kern w:val="0"/>
          <w:sz w:val="22"/>
          <w:szCs w:val="22"/>
          <w14:ligatures w14:val="none"/>
        </w:rPr>
        <w:t xml:space="preserve"> to workers “without distinction whatsoever”.  The CEACR and the Committee on Freedom of Association have consistently found the exclusion of agricultural, domestic and other categories of workers from the right to </w:t>
      </w:r>
      <w:proofErr w:type="spellStart"/>
      <w:r w:rsidRPr="008C49AE">
        <w:rPr>
          <w:rFonts w:ascii="Times New Roman" w:eastAsia="Times New Roman" w:hAnsi="Times New Roman" w:cs="Times New Roman"/>
          <w:color w:val="000000"/>
          <w:kern w:val="0"/>
          <w:sz w:val="22"/>
          <w:szCs w:val="22"/>
          <w14:ligatures w14:val="none"/>
        </w:rPr>
        <w:t>organise</w:t>
      </w:r>
      <w:proofErr w:type="spellEnd"/>
      <w:r w:rsidRPr="008C49AE">
        <w:rPr>
          <w:rFonts w:ascii="Times New Roman" w:eastAsia="Times New Roman" w:hAnsi="Times New Roman" w:cs="Times New Roman"/>
          <w:color w:val="000000"/>
          <w:kern w:val="0"/>
          <w:sz w:val="22"/>
          <w:szCs w:val="22"/>
          <w14:ligatures w14:val="none"/>
        </w:rPr>
        <w:t xml:space="preserve"> to be incompatible with Convention No. 87. The discussion of interference in this paragraph should be updated to address emerging forms of digital surveillance deployed to identify, deter or retaliate against workers who seek to </w:t>
      </w:r>
      <w:proofErr w:type="spellStart"/>
      <w:r w:rsidRPr="008C49AE">
        <w:rPr>
          <w:rFonts w:ascii="Times New Roman" w:eastAsia="Times New Roman" w:hAnsi="Times New Roman" w:cs="Times New Roman"/>
          <w:color w:val="000000"/>
          <w:kern w:val="0"/>
          <w:sz w:val="22"/>
          <w:szCs w:val="22"/>
          <w14:ligatures w14:val="none"/>
        </w:rPr>
        <w:t>organise</w:t>
      </w:r>
      <w:proofErr w:type="spellEnd"/>
      <w:proofErr w:type="gramStart"/>
      <w:r w:rsidRPr="008C49AE">
        <w:rPr>
          <w:rFonts w:ascii="Times New Roman" w:eastAsia="Times New Roman" w:hAnsi="Times New Roman" w:cs="Times New Roman"/>
          <w:color w:val="000000"/>
          <w:kern w:val="0"/>
          <w:sz w:val="22"/>
          <w:szCs w:val="22"/>
          <w14:ligatures w14:val="none"/>
        </w:rPr>
        <w:t>, in particular, but</w:t>
      </w:r>
      <w:proofErr w:type="gramEnd"/>
      <w:r w:rsidRPr="008C49AE">
        <w:rPr>
          <w:rFonts w:ascii="Times New Roman" w:eastAsia="Times New Roman" w:hAnsi="Times New Roman" w:cs="Times New Roman"/>
          <w:color w:val="000000"/>
          <w:kern w:val="0"/>
          <w:sz w:val="22"/>
          <w:szCs w:val="22"/>
          <w14:ligatures w14:val="none"/>
        </w:rPr>
        <w:t xml:space="preserve"> not only, on digital labour platforms. Further, the reference to “surveillance and interception of trade union data” could refer to the most recent report of the UN Special Rapporteur on freedom of peaceful assembly and of association on the impact on digital surveillance on the exercise of those rights.</w:t>
      </w:r>
    </w:p>
    <w:p w14:paraId="0B532072" w14:textId="77777777" w:rsidR="008C49AE" w:rsidRPr="008C49AE" w:rsidRDefault="008C49AE" w:rsidP="008C49AE">
      <w:pPr>
        <w:spacing w:before="120" w:after="200" w:line="240" w:lineRule="auto"/>
        <w:jc w:val="both"/>
        <w:rPr>
          <w:rFonts w:ascii="Times New Roman" w:eastAsia="Times New Roman" w:hAnsi="Times New Roman" w:cs="Times New Roman"/>
          <w:kern w:val="0"/>
          <w14:ligatures w14:val="none"/>
        </w:rPr>
      </w:pPr>
      <w:r w:rsidRPr="008C49AE">
        <w:rPr>
          <w:rFonts w:ascii="Times New Roman" w:eastAsia="Times New Roman" w:hAnsi="Times New Roman" w:cs="Times New Roman"/>
          <w:b/>
          <w:bCs/>
          <w:color w:val="000000"/>
          <w:kern w:val="0"/>
          <w:sz w:val="22"/>
          <w:szCs w:val="22"/>
          <w14:ligatures w14:val="none"/>
        </w:rPr>
        <w:t>Paragraph 25:</w:t>
      </w:r>
      <w:r w:rsidRPr="008C49AE">
        <w:rPr>
          <w:rFonts w:ascii="Times New Roman" w:eastAsia="Times New Roman" w:hAnsi="Times New Roman" w:cs="Times New Roman"/>
          <w:color w:val="000000"/>
          <w:kern w:val="0"/>
          <w:sz w:val="22"/>
          <w:szCs w:val="22"/>
          <w14:ligatures w14:val="none"/>
        </w:rPr>
        <w:t xml:space="preserve"> There should be a discussion and reference to the ICJ Advisory Opinion as it is directly related to the right to strike and the right to freedom of association. In addition to blanket bans on strikes, there should also be a discussion about the violation of Art. 22 when State Parties require prior authorization for a strike. A prior notification can be seen as allowable and proportionate, but a prior authorization (outside of certain essential sectors) is overly proscriptive and not necessary. The General Comment should be revised to cite the Advisory Opinion (International Court of Justice, Right to Strike under ILO Convention No. 87, Advisory Opinion of 21 May 2026) rather than the November 2023 request (footnote </w:t>
      </w:r>
      <w:proofErr w:type="gramStart"/>
      <w:r w:rsidRPr="008C49AE">
        <w:rPr>
          <w:rFonts w:ascii="Times New Roman" w:eastAsia="Times New Roman" w:hAnsi="Times New Roman" w:cs="Times New Roman"/>
          <w:color w:val="000000"/>
          <w:kern w:val="0"/>
          <w:sz w:val="22"/>
          <w:szCs w:val="22"/>
          <w14:ligatures w14:val="none"/>
        </w:rPr>
        <w:t>69  should</w:t>
      </w:r>
      <w:proofErr w:type="gramEnd"/>
      <w:r w:rsidRPr="008C49AE">
        <w:rPr>
          <w:rFonts w:ascii="Times New Roman" w:eastAsia="Times New Roman" w:hAnsi="Times New Roman" w:cs="Times New Roman"/>
          <w:color w:val="000000"/>
          <w:kern w:val="0"/>
          <w:sz w:val="22"/>
          <w:szCs w:val="22"/>
          <w14:ligatures w14:val="none"/>
        </w:rPr>
        <w:t xml:space="preserve"> be updated accordingly). Further, the formulation that workers “also” have the right to strike should be stated more affirmatively. Additionally, the General Comment should take note of the ICJ’s “great weight” deference to the ILO supervisory bodies on the permissible limits to the right to strike and the mutual reinforcing nature of Convention 87 and the ICCPR (and ICESCR).</w:t>
      </w:r>
    </w:p>
    <w:p w14:paraId="0F1074E2" w14:textId="77777777" w:rsidR="008C49AE" w:rsidRPr="008C49AE" w:rsidRDefault="008C49AE" w:rsidP="008C49AE">
      <w:pPr>
        <w:spacing w:before="120" w:after="200" w:line="240" w:lineRule="auto"/>
        <w:jc w:val="both"/>
        <w:rPr>
          <w:rFonts w:ascii="Times New Roman" w:eastAsia="Times New Roman" w:hAnsi="Times New Roman" w:cs="Times New Roman"/>
          <w:kern w:val="0"/>
          <w14:ligatures w14:val="none"/>
        </w:rPr>
      </w:pPr>
      <w:r w:rsidRPr="008C49AE">
        <w:rPr>
          <w:rFonts w:ascii="Times New Roman" w:eastAsia="Times New Roman" w:hAnsi="Times New Roman" w:cs="Times New Roman"/>
          <w:b/>
          <w:bCs/>
          <w:color w:val="000000"/>
          <w:kern w:val="0"/>
          <w:sz w:val="22"/>
          <w:szCs w:val="22"/>
          <w14:ligatures w14:val="none"/>
        </w:rPr>
        <w:t>Paragraph 26:</w:t>
      </w:r>
      <w:r w:rsidRPr="008C49AE">
        <w:rPr>
          <w:rFonts w:ascii="Times New Roman" w:eastAsia="Times New Roman" w:hAnsi="Times New Roman" w:cs="Times New Roman"/>
          <w:color w:val="000000"/>
          <w:kern w:val="0"/>
          <w:sz w:val="22"/>
          <w:szCs w:val="22"/>
          <w14:ligatures w14:val="none"/>
        </w:rPr>
        <w:t xml:space="preserve"> We welcome the recognition that article 22 covers all categories of workers regardless of the form of employment, and that it expressly includes platform workers. </w:t>
      </w:r>
      <w:proofErr w:type="gramStart"/>
      <w:r w:rsidRPr="008C49AE">
        <w:rPr>
          <w:rFonts w:ascii="Times New Roman" w:eastAsia="Times New Roman" w:hAnsi="Times New Roman" w:cs="Times New Roman"/>
          <w:color w:val="000000"/>
          <w:kern w:val="0"/>
          <w:sz w:val="22"/>
          <w:szCs w:val="22"/>
          <w14:ligatures w14:val="none"/>
        </w:rPr>
        <w:t>In light of</w:t>
      </w:r>
      <w:proofErr w:type="gramEnd"/>
      <w:r w:rsidRPr="008C49AE">
        <w:rPr>
          <w:rFonts w:ascii="Times New Roman" w:eastAsia="Times New Roman" w:hAnsi="Times New Roman" w:cs="Times New Roman"/>
          <w:color w:val="000000"/>
          <w:kern w:val="0"/>
          <w:sz w:val="22"/>
          <w:szCs w:val="22"/>
          <w14:ligatures w14:val="none"/>
        </w:rPr>
        <w:t xml:space="preserve"> the recent adoption of </w:t>
      </w:r>
      <w:r w:rsidRPr="008C49AE">
        <w:rPr>
          <w:rFonts w:ascii="Times New Roman" w:eastAsia="Times New Roman" w:hAnsi="Times New Roman" w:cs="Times New Roman"/>
          <w:color w:val="000000"/>
          <w:kern w:val="0"/>
          <w:sz w:val="22"/>
          <w:szCs w:val="22"/>
          <w14:ligatures w14:val="none"/>
        </w:rPr>
        <w:lastRenderedPageBreak/>
        <w:t>ILO Convention 193 on Decent Work in the Platform Economy (2026), the General Comment should make clear that States Parties may not invoke the contractual classification of a worker as an independent contractor or self-employed person to defeat the protection of article 22. The right attaches to the worker by reason of the work performed, irrespective of contractual characterization.  </w:t>
      </w:r>
    </w:p>
    <w:p w14:paraId="0560AFD0" w14:textId="77777777" w:rsidR="008C49AE" w:rsidRPr="008C49AE" w:rsidRDefault="008C49AE" w:rsidP="008C49AE">
      <w:pPr>
        <w:spacing w:before="120" w:after="200" w:line="240" w:lineRule="auto"/>
        <w:jc w:val="both"/>
        <w:rPr>
          <w:rFonts w:ascii="Times New Roman" w:eastAsia="Times New Roman" w:hAnsi="Times New Roman" w:cs="Times New Roman"/>
          <w:kern w:val="0"/>
          <w14:ligatures w14:val="none"/>
        </w:rPr>
      </w:pPr>
      <w:r w:rsidRPr="008C49AE">
        <w:rPr>
          <w:rFonts w:ascii="Times New Roman" w:eastAsia="Times New Roman" w:hAnsi="Times New Roman" w:cs="Times New Roman"/>
          <w:b/>
          <w:bCs/>
          <w:color w:val="000000"/>
          <w:kern w:val="0"/>
          <w:sz w:val="22"/>
          <w:szCs w:val="22"/>
          <w14:ligatures w14:val="none"/>
        </w:rPr>
        <w:t>Paragraph 49:</w:t>
      </w:r>
      <w:r w:rsidRPr="008C49AE">
        <w:rPr>
          <w:rFonts w:ascii="Times New Roman" w:eastAsia="Times New Roman" w:hAnsi="Times New Roman" w:cs="Times New Roman"/>
          <w:color w:val="000000"/>
          <w:kern w:val="0"/>
          <w:sz w:val="22"/>
          <w:szCs w:val="22"/>
          <w14:ligatures w14:val="none"/>
        </w:rPr>
        <w:t xml:space="preserve"> The UNSR FOAA’s reports on foreign funding restrictions should be discussed and referenced in this section. The proliferation of foreign funding restrictions in State Parties is growing, with broad and vague purposes that are in clear violation of Art. 22. For example, the Republic of Georgia passed a series of laws and amendments that require registration of any entity that receives a certain percentage of foreign funds, and working on any ‘activity </w:t>
      </w:r>
      <w:r w:rsidRPr="008C49AE">
        <w:rPr>
          <w:rFonts w:ascii="Times New Roman" w:eastAsia="Times New Roman" w:hAnsi="Times New Roman" w:cs="Times New Roman"/>
          <w:color w:val="2B2828"/>
          <w:kern w:val="0"/>
          <w:sz w:val="22"/>
          <w:szCs w:val="22"/>
          <w:shd w:val="clear" w:color="auto" w:fill="FEFEFE"/>
          <w14:ligatures w14:val="none"/>
        </w:rPr>
        <w:t xml:space="preserve">on a political issue related to Georgia’ with heightened criminal and financial penalties.’  </w:t>
      </w:r>
    </w:p>
    <w:p w14:paraId="69456A65" w14:textId="77777777" w:rsidR="008C49AE" w:rsidRPr="008C49AE" w:rsidRDefault="008C49AE" w:rsidP="008C49AE">
      <w:pPr>
        <w:spacing w:after="0" w:line="240" w:lineRule="auto"/>
        <w:rPr>
          <w:rFonts w:ascii="Times New Roman" w:eastAsia="Times New Roman" w:hAnsi="Times New Roman" w:cs="Times New Roman"/>
          <w:kern w:val="0"/>
          <w14:ligatures w14:val="none"/>
        </w:rPr>
      </w:pPr>
    </w:p>
    <w:p w14:paraId="6882BBA9" w14:textId="77777777" w:rsidR="00C3081F" w:rsidRDefault="00C3081F"/>
    <w:sectPr w:rsidR="00C3081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9E0D7" w14:textId="77777777" w:rsidR="00BC3EDD" w:rsidRDefault="00BC3EDD" w:rsidP="00003C3B">
      <w:pPr>
        <w:spacing w:after="0" w:line="240" w:lineRule="auto"/>
      </w:pPr>
      <w:r>
        <w:separator/>
      </w:r>
    </w:p>
  </w:endnote>
  <w:endnote w:type="continuationSeparator" w:id="0">
    <w:p w14:paraId="1E078E6A" w14:textId="77777777" w:rsidR="00BC3EDD" w:rsidRDefault="00BC3EDD" w:rsidP="00003C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86FEC" w14:textId="77777777" w:rsidR="00BC3EDD" w:rsidRDefault="00BC3EDD" w:rsidP="00003C3B">
      <w:pPr>
        <w:spacing w:after="0" w:line="240" w:lineRule="auto"/>
      </w:pPr>
      <w:r>
        <w:separator/>
      </w:r>
    </w:p>
  </w:footnote>
  <w:footnote w:type="continuationSeparator" w:id="0">
    <w:p w14:paraId="6C25BFFC" w14:textId="77777777" w:rsidR="00BC3EDD" w:rsidRDefault="00BC3EDD" w:rsidP="00003C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29DB9" w14:textId="26FC784A" w:rsidR="00003C3B" w:rsidRDefault="00003C3B" w:rsidP="00003C3B">
    <w:pPr>
      <w:pStyle w:val="Header"/>
      <w:jc w:val="center"/>
    </w:pPr>
    <w:r>
      <w:rPr>
        <w:noProof/>
      </w:rPr>
      <w:drawing>
        <wp:inline distT="0" distB="0" distL="0" distR="0" wp14:anchorId="6687D97D" wp14:editId="3FD33D64">
          <wp:extent cx="990345" cy="1152939"/>
          <wp:effectExtent l="0" t="0" r="635" b="3175"/>
          <wp:docPr id="680887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887464" name="Picture 680887464"/>
                  <pic:cNvPicPr/>
                </pic:nvPicPr>
                <pic:blipFill>
                  <a:blip r:embed="rId1">
                    <a:extLst>
                      <a:ext uri="{28A0092B-C50C-407E-A947-70E740481C1C}">
                        <a14:useLocalDpi xmlns:a14="http://schemas.microsoft.com/office/drawing/2010/main" val="0"/>
                      </a:ext>
                    </a:extLst>
                  </a:blip>
                  <a:stretch>
                    <a:fillRect/>
                  </a:stretch>
                </pic:blipFill>
                <pic:spPr>
                  <a:xfrm>
                    <a:off x="0" y="0"/>
                    <a:ext cx="1024603" cy="1192822"/>
                  </a:xfrm>
                  <a:prstGeom prst="rect">
                    <a:avLst/>
                  </a:prstGeom>
                </pic:spPr>
              </pic:pic>
            </a:graphicData>
          </a:graphic>
        </wp:inline>
      </w:drawing>
    </w:r>
    <w:r>
      <w:tab/>
    </w:r>
    <w:r>
      <w:rPr>
        <w:noProof/>
      </w:rPr>
      <w:drawing>
        <wp:inline distT="0" distB="0" distL="0" distR="0" wp14:anchorId="3E9F6D4C" wp14:editId="004AB06A">
          <wp:extent cx="2562244" cy="924720"/>
          <wp:effectExtent l="0" t="0" r="3175" b="2540"/>
          <wp:docPr id="12645189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518991" name="Picture 1264518991"/>
                  <pic:cNvPicPr/>
                </pic:nvPicPr>
                <pic:blipFill>
                  <a:blip r:embed="rId2">
                    <a:extLst>
                      <a:ext uri="{28A0092B-C50C-407E-A947-70E740481C1C}">
                        <a14:useLocalDpi xmlns:a14="http://schemas.microsoft.com/office/drawing/2010/main" val="0"/>
                      </a:ext>
                    </a:extLst>
                  </a:blip>
                  <a:stretch>
                    <a:fillRect/>
                  </a:stretch>
                </pic:blipFill>
                <pic:spPr>
                  <a:xfrm>
                    <a:off x="0" y="0"/>
                    <a:ext cx="2641221" cy="953223"/>
                  </a:xfrm>
                  <a:prstGeom prst="rect">
                    <a:avLst/>
                  </a:prstGeom>
                </pic:spPr>
              </pic:pic>
            </a:graphicData>
          </a:graphic>
        </wp:inline>
      </w:drawing>
    </w:r>
  </w:p>
  <w:p w14:paraId="6BF9AD3A" w14:textId="77777777" w:rsidR="00003C3B" w:rsidRDefault="00003C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9AE"/>
    <w:rsid w:val="00003C3B"/>
    <w:rsid w:val="004B26F9"/>
    <w:rsid w:val="004F4592"/>
    <w:rsid w:val="00517355"/>
    <w:rsid w:val="006D436D"/>
    <w:rsid w:val="00876BA4"/>
    <w:rsid w:val="008C49AE"/>
    <w:rsid w:val="00901C49"/>
    <w:rsid w:val="009B01FA"/>
    <w:rsid w:val="00BC3EDD"/>
    <w:rsid w:val="00C20232"/>
    <w:rsid w:val="00C3081F"/>
    <w:rsid w:val="00D354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C9009"/>
  <w15:chartTrackingRefBased/>
  <w15:docId w15:val="{3922A116-1C3A-644C-B3DE-998E89409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49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49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49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49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49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49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49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49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49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49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49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49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49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49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49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49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49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49AE"/>
    <w:rPr>
      <w:rFonts w:eastAsiaTheme="majorEastAsia" w:cstheme="majorBidi"/>
      <w:color w:val="272727" w:themeColor="text1" w:themeTint="D8"/>
    </w:rPr>
  </w:style>
  <w:style w:type="paragraph" w:styleId="Title">
    <w:name w:val="Title"/>
    <w:basedOn w:val="Normal"/>
    <w:next w:val="Normal"/>
    <w:link w:val="TitleChar"/>
    <w:uiPriority w:val="10"/>
    <w:qFormat/>
    <w:rsid w:val="008C49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49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49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49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49AE"/>
    <w:pPr>
      <w:spacing w:before="160"/>
      <w:jc w:val="center"/>
    </w:pPr>
    <w:rPr>
      <w:i/>
      <w:iCs/>
      <w:color w:val="404040" w:themeColor="text1" w:themeTint="BF"/>
    </w:rPr>
  </w:style>
  <w:style w:type="character" w:customStyle="1" w:styleId="QuoteChar">
    <w:name w:val="Quote Char"/>
    <w:basedOn w:val="DefaultParagraphFont"/>
    <w:link w:val="Quote"/>
    <w:uiPriority w:val="29"/>
    <w:rsid w:val="008C49AE"/>
    <w:rPr>
      <w:i/>
      <w:iCs/>
      <w:color w:val="404040" w:themeColor="text1" w:themeTint="BF"/>
    </w:rPr>
  </w:style>
  <w:style w:type="paragraph" w:styleId="ListParagraph">
    <w:name w:val="List Paragraph"/>
    <w:basedOn w:val="Normal"/>
    <w:uiPriority w:val="34"/>
    <w:qFormat/>
    <w:rsid w:val="008C49AE"/>
    <w:pPr>
      <w:ind w:left="720"/>
      <w:contextualSpacing/>
    </w:pPr>
  </w:style>
  <w:style w:type="character" w:styleId="IntenseEmphasis">
    <w:name w:val="Intense Emphasis"/>
    <w:basedOn w:val="DefaultParagraphFont"/>
    <w:uiPriority w:val="21"/>
    <w:qFormat/>
    <w:rsid w:val="008C49AE"/>
    <w:rPr>
      <w:i/>
      <w:iCs/>
      <w:color w:val="0F4761" w:themeColor="accent1" w:themeShade="BF"/>
    </w:rPr>
  </w:style>
  <w:style w:type="paragraph" w:styleId="IntenseQuote">
    <w:name w:val="Intense Quote"/>
    <w:basedOn w:val="Normal"/>
    <w:next w:val="Normal"/>
    <w:link w:val="IntenseQuoteChar"/>
    <w:uiPriority w:val="30"/>
    <w:qFormat/>
    <w:rsid w:val="008C49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49AE"/>
    <w:rPr>
      <w:i/>
      <w:iCs/>
      <w:color w:val="0F4761" w:themeColor="accent1" w:themeShade="BF"/>
    </w:rPr>
  </w:style>
  <w:style w:type="character" w:styleId="IntenseReference">
    <w:name w:val="Intense Reference"/>
    <w:basedOn w:val="DefaultParagraphFont"/>
    <w:uiPriority w:val="32"/>
    <w:qFormat/>
    <w:rsid w:val="008C49AE"/>
    <w:rPr>
      <w:b/>
      <w:bCs/>
      <w:smallCaps/>
      <w:color w:val="0F4761" w:themeColor="accent1" w:themeShade="BF"/>
      <w:spacing w:val="5"/>
    </w:rPr>
  </w:style>
  <w:style w:type="paragraph" w:styleId="NormalWeb">
    <w:name w:val="Normal (Web)"/>
    <w:basedOn w:val="Normal"/>
    <w:uiPriority w:val="99"/>
    <w:semiHidden/>
    <w:unhideWhenUsed/>
    <w:rsid w:val="008C49A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03C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C3B"/>
  </w:style>
  <w:style w:type="paragraph" w:styleId="Footer">
    <w:name w:val="footer"/>
    <w:basedOn w:val="Normal"/>
    <w:link w:val="FooterChar"/>
    <w:uiPriority w:val="99"/>
    <w:unhideWhenUsed/>
    <w:rsid w:val="00003C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C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D417B0-BA5D-4E6D-9AED-DE0617B7349F}"/>
</file>

<file path=customXml/itemProps2.xml><?xml version="1.0" encoding="utf-8"?>
<ds:datastoreItem xmlns:ds="http://schemas.openxmlformats.org/officeDocument/2006/customXml" ds:itemID="{7AC7A7D0-DE80-4B20-A3F3-AB70ED60E143}">
  <ds:schemaRefs>
    <ds:schemaRef ds:uri="http://schemas.microsoft.com/office/2006/metadata/properties"/>
    <ds:schemaRef ds:uri="http://schemas.microsoft.com/office/infopath/2007/PartnerControls"/>
    <ds:schemaRef ds:uri="985ec44e-1bab-4c0b-9df0-6ba128686fc9"/>
    <ds:schemaRef ds:uri="11a6fe0c-d8de-4390-afb3-d9c7c54181f0"/>
    <ds:schemaRef ds:uri="b248d7e1-e1e1-4a8e-9310-749402edb8a9"/>
  </ds:schemaRefs>
</ds:datastoreItem>
</file>

<file path=customXml/itemProps3.xml><?xml version="1.0" encoding="utf-8"?>
<ds:datastoreItem xmlns:ds="http://schemas.openxmlformats.org/officeDocument/2006/customXml" ds:itemID="{D7B7673A-C181-4EAE-8B39-14206ABC0D5B}">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1309</Words>
  <Characters>7466</Characters>
  <Application>Microsoft Office Word</Application>
  <DocSecurity>0</DocSecurity>
  <Lines>62</Lines>
  <Paragraphs>17</Paragraphs>
  <ScaleCrop>false</ScaleCrop>
  <Company/>
  <LinksUpToDate>false</LinksUpToDate>
  <CharactersWithSpaces>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Mehta</dc:creator>
  <cp:keywords/>
  <dc:description/>
  <cp:lastModifiedBy>Monika Mehta</cp:lastModifiedBy>
  <cp:revision>3</cp:revision>
  <dcterms:created xsi:type="dcterms:W3CDTF">2026-06-29T17:34:00Z</dcterms:created>
  <dcterms:modified xsi:type="dcterms:W3CDTF">2026-06-30T13:04:00Z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