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b w:val="1"/>
          <w:bCs w:val="1"/>
          <w:color w:val="1f3864"/>
          <w:sz w:val="28"/>
          <w:szCs w:val="28"/>
        </w:rPr>
      </w:pPr>
      <w:r w:rsidDel="00000000" w:rsidR="00000000" w:rsidRPr="00000000">
        <w:rPr>
          <w:b w:val="1"/>
          <w:bCs w:val="1"/>
          <w:color w:val="1f3864"/>
          <w:sz w:val="28"/>
          <w:szCs w:val="28"/>
        </w:rPr>
        <w:drawing>
          <wp:inline distB="114300" distT="114300" distL="114300" distR="114300">
            <wp:extent cx="2967038" cy="1559597"/>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967038" cy="155959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60" w:lineRule="auto"/>
        <w:jc w:val="center"/>
        <w:rPr>
          <w:b w:val="1"/>
          <w:bCs w:val="1"/>
          <w:color w:val="1f3864"/>
          <w:sz w:val="28"/>
          <w:szCs w:val="28"/>
        </w:rPr>
      </w:pPr>
      <w:r w:rsidDel="00000000" w:rsidR="00000000" w:rsidRPr="00000000">
        <w:rPr>
          <w:rtl w:val="0"/>
        </w:rPr>
      </w:r>
    </w:p>
    <w:p w:rsidR="00000000" w:rsidDel="00000000" w:rsidP="00000000" w:rsidRDefault="00000000" w:rsidRPr="00000000" w14:paraId="00000003">
      <w:pPr>
        <w:spacing w:after="60" w:lineRule="auto"/>
        <w:jc w:val="center"/>
        <w:rPr>
          <w:b w:val="1"/>
          <w:bCs w:val="1"/>
          <w:color w:val="1f3864"/>
          <w:sz w:val="28"/>
          <w:szCs w:val="28"/>
        </w:rPr>
      </w:pPr>
      <w:r w:rsidDel="00000000" w:rsidR="00000000" w:rsidRPr="00000000">
        <w:rPr>
          <w:b w:val="1"/>
          <w:bCs w:val="1"/>
          <w:color w:val="1f3864"/>
          <w:sz w:val="28"/>
          <w:szCs w:val="28"/>
          <w:rtl w:val="0"/>
        </w:rPr>
        <w:t xml:space="preserve"> </w:t>
      </w:r>
    </w:p>
    <w:p w:rsidR="00000000" w:rsidDel="00000000" w:rsidP="00000000" w:rsidRDefault="00000000" w:rsidRPr="00000000" w14:paraId="00000004">
      <w:pPr>
        <w:spacing w:after="60" w:lineRule="auto"/>
        <w:jc w:val="center"/>
        <w:rPr>
          <w:b w:val="1"/>
          <w:bCs w:val="1"/>
          <w:sz w:val="28"/>
          <w:szCs w:val="28"/>
        </w:rPr>
      </w:pPr>
      <w:r w:rsidDel="00000000" w:rsidR="00000000" w:rsidRPr="00000000">
        <w:rPr>
          <w:b w:val="1"/>
          <w:bCs w:val="1"/>
          <w:sz w:val="28"/>
          <w:szCs w:val="28"/>
          <w:rtl w:val="0"/>
        </w:rPr>
        <w:t xml:space="preserve">WOMEN IN MIGRATION NETWORK (WIMN)</w:t>
      </w:r>
    </w:p>
    <w:p w:rsidR="00000000" w:rsidDel="00000000" w:rsidP="00000000" w:rsidRDefault="00000000" w:rsidRPr="00000000" w14:paraId="00000005">
      <w:pPr>
        <w:spacing w:after="60" w:lineRule="auto"/>
        <w:jc w:val="center"/>
        <w:rPr/>
      </w:pPr>
      <w:r w:rsidDel="00000000" w:rsidR="00000000" w:rsidRPr="00000000">
        <w:rPr>
          <w:rtl w:val="0"/>
        </w:rPr>
        <w:t xml:space="preserve">Written Submission to the</w:t>
      </w:r>
      <w:r w:rsidDel="00000000" w:rsidR="00000000" w:rsidRPr="00000000">
        <w:rPr>
          <w:rtl w:val="0"/>
        </w:rPr>
        <w:t xml:space="preserve"> Human Rights Committee</w:t>
      </w:r>
      <w:r w:rsidDel="00000000" w:rsidR="00000000" w:rsidRPr="00000000">
        <w:rPr>
          <w:rtl w:val="0"/>
        </w:rPr>
      </w:r>
    </w:p>
    <w:p w:rsidR="00000000" w:rsidDel="00000000" w:rsidP="00000000" w:rsidRDefault="00000000" w:rsidRPr="00000000" w14:paraId="00000006">
      <w:pPr>
        <w:spacing w:after="60" w:lineRule="auto"/>
        <w:jc w:val="center"/>
        <w:rPr>
          <w:b w:val="1"/>
          <w:bCs w:val="1"/>
        </w:rPr>
      </w:pPr>
      <w:r w:rsidDel="00000000" w:rsidR="00000000" w:rsidRPr="00000000">
        <w:rPr>
          <w:b w:val="1"/>
          <w:bCs w:val="1"/>
          <w:rtl w:val="0"/>
        </w:rPr>
        <w:t xml:space="preserve">Draft General Comment No. 38 on Article 22 of the ICCPR</w:t>
      </w:r>
    </w:p>
    <w:p w:rsidR="00000000" w:rsidDel="00000000" w:rsidP="00000000" w:rsidRDefault="00000000" w:rsidRPr="00000000" w14:paraId="00000007">
      <w:pPr>
        <w:spacing w:after="60" w:lineRule="auto"/>
        <w:jc w:val="center"/>
        <w:rPr>
          <w:i w:val="1"/>
          <w:iCs w:val="1"/>
        </w:rPr>
      </w:pPr>
      <w:r w:rsidDel="00000000" w:rsidR="00000000" w:rsidRPr="00000000">
        <w:rPr>
          <w:i w:val="1"/>
          <w:iCs w:val="1"/>
          <w:rtl w:val="0"/>
        </w:rPr>
        <w:t xml:space="preserve">Right to Freedom of Association</w:t>
      </w:r>
    </w:p>
    <w:p w:rsidR="00000000" w:rsidDel="00000000" w:rsidP="00000000" w:rsidRDefault="00000000" w:rsidRPr="00000000" w14:paraId="00000008">
      <w:pPr>
        <w:spacing w:after="60" w:lineRule="auto"/>
        <w:jc w:val="center"/>
        <w:rPr/>
      </w:pPr>
      <w:r w:rsidDel="00000000" w:rsidR="00000000" w:rsidRPr="00000000">
        <w:rPr>
          <w:rtl w:val="0"/>
        </w:rPr>
        <w:t xml:space="preserve">Second Reading – 146th Session</w:t>
      </w:r>
    </w:p>
    <w:p w:rsidR="00000000" w:rsidDel="00000000" w:rsidP="00000000" w:rsidRDefault="00000000" w:rsidRPr="00000000" w14:paraId="00000009">
      <w:pPr>
        <w:spacing w:after="300" w:lineRule="auto"/>
        <w:jc w:val="center"/>
        <w:rPr>
          <w:b w:val="1"/>
          <w:bCs w:val="1"/>
        </w:rPr>
      </w:pPr>
      <w:r w:rsidDel="00000000" w:rsidR="00000000" w:rsidRPr="00000000">
        <w:rPr>
          <w:b w:val="1"/>
          <w:bCs w:val="1"/>
          <w:rtl w:val="0"/>
        </w:rPr>
        <w:t xml:space="preserve">Submitted by: Women in Migration Network (WIMN)</w:t>
      </w:r>
    </w:p>
    <w:p w:rsidR="00000000" w:rsidDel="00000000" w:rsidP="00000000" w:rsidRDefault="00000000" w:rsidRPr="00000000" w14:paraId="0000000A">
      <w:pPr>
        <w:pStyle w:val="Heading1"/>
        <w:keepNext w:val="0"/>
        <w:keepLines w:val="0"/>
        <w:spacing w:before="480" w:lineRule="auto"/>
        <w:rPr>
          <w:b w:val="1"/>
          <w:bCs w:val="1"/>
          <w:sz w:val="24"/>
          <w:szCs w:val="24"/>
        </w:rPr>
      </w:pPr>
      <w:bookmarkStart w:colFirst="0" w:colLast="0" w:name="_b68d2ukx8oaf" w:id="0"/>
      <w:bookmarkEnd w:id="0"/>
      <w:r w:rsidDel="00000000" w:rsidR="00000000" w:rsidRPr="00000000">
        <w:rPr>
          <w:rtl w:val="0"/>
        </w:rPr>
      </w:r>
    </w:p>
    <w:p w:rsidR="00000000" w:rsidDel="00000000" w:rsidP="00000000" w:rsidRDefault="00000000" w:rsidRPr="00000000" w14:paraId="0000000B">
      <w:pPr>
        <w:pStyle w:val="Heading1"/>
        <w:keepNext w:val="0"/>
        <w:keepLines w:val="0"/>
        <w:spacing w:before="480" w:lineRule="auto"/>
        <w:jc w:val="both"/>
        <w:rPr>
          <w:b w:val="1"/>
          <w:bCs w:val="1"/>
          <w:sz w:val="24"/>
          <w:szCs w:val="24"/>
        </w:rPr>
      </w:pPr>
      <w:bookmarkStart w:colFirst="0" w:colLast="0" w:name="_s1q5m8qceg7z" w:id="1"/>
      <w:bookmarkEnd w:id="1"/>
      <w:r w:rsidDel="00000000" w:rsidR="00000000" w:rsidRPr="00000000">
        <w:rPr>
          <w:b w:val="1"/>
          <w:bCs w:val="1"/>
          <w:sz w:val="24"/>
          <w:szCs w:val="24"/>
          <w:rtl w:val="0"/>
        </w:rPr>
        <w:t xml:space="preserve"> I. Introduction</w:t>
      </w:r>
    </w:p>
    <w:p w:rsidR="00000000" w:rsidDel="00000000" w:rsidP="00000000" w:rsidRDefault="00000000" w:rsidRPr="00000000" w14:paraId="0000000C">
      <w:pPr>
        <w:spacing w:after="160" w:lineRule="auto"/>
        <w:jc w:val="both"/>
        <w:rPr/>
      </w:pPr>
      <w:r w:rsidDel="00000000" w:rsidR="00000000" w:rsidRPr="00000000">
        <w:rPr>
          <w:rtl w:val="0"/>
        </w:rPr>
        <w:t xml:space="preserve">The Women in Migration Network (WIMN) is an international network of</w:t>
      </w:r>
      <w:hyperlink r:id="rId8">
        <w:r w:rsidDel="00000000" w:rsidR="00000000" w:rsidRPr="00000000">
          <w:rPr>
            <w:rtl w:val="0"/>
          </w:rPr>
          <w:t xml:space="preserve"> </w:t>
        </w:r>
      </w:hyperlink>
      <w:hyperlink r:id="rId9">
        <w:r w:rsidDel="00000000" w:rsidR="00000000" w:rsidRPr="00000000">
          <w:rPr>
            <w:color w:val="1155cc"/>
            <w:u w:val="single"/>
            <w:rtl w:val="0"/>
          </w:rPr>
          <w:t xml:space="preserve">organizations and individuals</w:t>
        </w:r>
      </w:hyperlink>
      <w:r w:rsidDel="00000000" w:rsidR="00000000" w:rsidRPr="00000000">
        <w:rPr>
          <w:rtl w:val="0"/>
        </w:rPr>
        <w:t xml:space="preserve"> that elevates women in migration's voices, intersectional experiences, and demands. We center the full spectrum of women’s migration experiences—those who move, those displaced, those supporting migrating families, and those navigating borders without rights. We unite organizations and grassroots leaders to build shared analysis and coordinated action, develop collective positions, and strengthen advocacy across regions.</w:t>
      </w:r>
    </w:p>
    <w:p w:rsidR="00000000" w:rsidDel="00000000" w:rsidP="00000000" w:rsidRDefault="00000000" w:rsidRPr="00000000" w14:paraId="0000000D">
      <w:pPr>
        <w:spacing w:after="160" w:lineRule="auto"/>
        <w:jc w:val="both"/>
        <w:rPr/>
      </w:pPr>
      <w:r w:rsidDel="00000000" w:rsidR="00000000" w:rsidRPr="00000000">
        <w:rPr>
          <w:rtl w:val="0"/>
        </w:rPr>
        <w:t xml:space="preserve">WIMN welcomes the Human Rights Committee’s Draft General Comment No. 38 on Article 22. The draft correctly affirms in Paragraph 26 that the right to freedom of association encompasses all categories of workers regardless of formal or informal status or migratory status, and explicitly links the denial of these protections to economic exploitation, trafficking in persons, and forced labor prohibited under Article 8 of the Covenant. Paragraph 9 further acknowledges the differentiated and heightened impact of restrictions on migrants and asylum-seekers.</w:t>
      </w:r>
    </w:p>
    <w:p w:rsidR="00000000" w:rsidDel="00000000" w:rsidP="00000000" w:rsidRDefault="00000000" w:rsidRPr="00000000" w14:paraId="0000000E">
      <w:pPr>
        <w:spacing w:after="160" w:lineRule="auto"/>
        <w:jc w:val="both"/>
        <w:rPr/>
      </w:pPr>
      <w:r w:rsidDel="00000000" w:rsidR="00000000" w:rsidRPr="00000000">
        <w:rPr>
          <w:rtl w:val="0"/>
        </w:rPr>
        <w:t xml:space="preserve">However, WIMN considers the draft can further address what is a structural blind spot in global migration governance: the systematic exclusion of migrant women low-wage workers from the practical exercise of freedom of association. The interaction between immigration enforcement frameworks, employer-tied visa systems, and the feminization of precarious labor renders Article 22 effectively inoperative for millions of migrant women workers worldwide. This submission is informed by the direct input of WIMN members and coalition partners.</w:t>
      </w:r>
    </w:p>
    <w:p w:rsidR="00000000" w:rsidDel="00000000" w:rsidP="00000000" w:rsidRDefault="00000000" w:rsidRPr="00000000" w14:paraId="0000000F">
      <w:pPr>
        <w:spacing w:after="160" w:lineRule="auto"/>
        <w:jc w:val="both"/>
        <w:rPr/>
      </w:pPr>
      <w:r w:rsidDel="00000000" w:rsidR="00000000" w:rsidRPr="00000000">
        <w:rPr>
          <w:rtl w:val="0"/>
        </w:rPr>
        <w:t xml:space="preserve">The Human Rights Committee has consistently affirmed that Covenant rights apply to all individuals within a State Party's territory and subject to its jurisdiction, irrespective of nationality or migration status (General Comment No. 15; General Comment No. 31). Freedom of association under Article 22 must therefore be interpreted consistently with the principles of equality and non-discrimination (Articles 2 and 26 ICCPR), as well as relevant international labour standards, including ILO Conventions Nos. 87, 98, 189 and 190 and the International Convention on the Protection of the Rights of All Migrant Workers and Members of Their Families (ICRMW). </w:t>
      </w:r>
    </w:p>
    <w:p w:rsidR="00000000" w:rsidDel="00000000" w:rsidP="00000000" w:rsidRDefault="00000000" w:rsidRPr="00000000" w14:paraId="00000010">
      <w:pPr>
        <w:spacing w:after="160" w:lineRule="auto"/>
        <w:jc w:val="both"/>
        <w:rPr>
          <w:b w:val="1"/>
          <w:bCs w:val="1"/>
          <w:sz w:val="24"/>
          <w:szCs w:val="24"/>
        </w:rPr>
      </w:pPr>
      <w:r w:rsidDel="00000000" w:rsidR="00000000" w:rsidRPr="00000000">
        <w:rPr>
          <w:b w:val="1"/>
          <w:bCs w:val="1"/>
          <w:sz w:val="24"/>
          <w:szCs w:val="24"/>
          <w:rtl w:val="0"/>
        </w:rPr>
        <w:t xml:space="preserve">II. Structural Barriers: How Migrant Women Workers Are Excluded from Freedom of Association in Practice</w:t>
      </w:r>
    </w:p>
    <w:p w:rsidR="00000000" w:rsidDel="00000000" w:rsidP="00000000" w:rsidRDefault="00000000" w:rsidRPr="00000000" w14:paraId="00000011">
      <w:pPr>
        <w:spacing w:after="120" w:lineRule="auto"/>
        <w:jc w:val="both"/>
        <w:rPr/>
      </w:pPr>
      <w:r w:rsidDel="00000000" w:rsidR="00000000" w:rsidRPr="00000000">
        <w:rPr>
          <w:rtl w:val="0"/>
        </w:rPr>
        <w:t xml:space="preserve">Across regions, migrant women workers—concentrated in domestic work, care, seasonal agriculture, garment, street vending, waste-picking, and food processing—face a convergence of legal exclusions and coercive immigration frameworks that nullify their right to freedom of association in practice.</w:t>
      </w:r>
    </w:p>
    <w:p w:rsidR="00000000" w:rsidDel="00000000" w:rsidP="00000000" w:rsidRDefault="00000000" w:rsidRPr="00000000" w14:paraId="00000012">
      <w:pPr>
        <w:spacing w:after="160" w:lineRule="auto"/>
        <w:jc w:val="both"/>
        <w:rPr/>
      </w:pPr>
      <w:r w:rsidDel="00000000" w:rsidR="00000000" w:rsidRPr="00000000">
        <w:rPr>
          <w:rtl w:val="0"/>
        </w:rPr>
        <w:t xml:space="preserve">Additional concerns documented by WIMN members include: the exclusion of refugees participating in modern labor mobility schemes from any formal freedom of association safeguards; the disproportionate impact of restrictive practices on workers in isolated settings such as private homes, remote agricultural worksites, and construction camps; and the use of arbitrary detention, visa cancellation, and summary deportation as direct reprisals against workers who exercise or attempt to exercise their associational rights.</w:t>
      </w:r>
    </w:p>
    <w:p w:rsidR="00000000" w:rsidDel="00000000" w:rsidP="00000000" w:rsidRDefault="00000000" w:rsidRPr="00000000" w14:paraId="00000013">
      <w:pPr>
        <w:spacing w:after="120" w:lineRule="auto"/>
        <w:jc w:val="both"/>
        <w:rPr/>
      </w:pPr>
      <w:r w:rsidDel="00000000" w:rsidR="00000000" w:rsidRPr="00000000">
        <w:rPr>
          <w:rtl w:val="0"/>
        </w:rPr>
        <w:t xml:space="preserve">The following cases illustrate some of these patterns:</w:t>
      </w:r>
    </w:p>
    <w:p w:rsidR="00000000" w:rsidDel="00000000" w:rsidP="00000000" w:rsidRDefault="00000000" w:rsidRPr="00000000" w14:paraId="00000014">
      <w:pPr>
        <w:pStyle w:val="Heading2"/>
        <w:keepNext w:val="0"/>
        <w:keepLines w:val="0"/>
        <w:spacing w:after="80" w:lineRule="auto"/>
        <w:jc w:val="both"/>
        <w:rPr>
          <w:b w:val="1"/>
          <w:bCs w:val="1"/>
          <w:sz w:val="24"/>
          <w:szCs w:val="24"/>
        </w:rPr>
      </w:pPr>
      <w:bookmarkStart w:colFirst="0" w:colLast="0" w:name="_d6vzp0e394zl" w:id="2"/>
      <w:bookmarkEnd w:id="2"/>
      <w:r w:rsidDel="00000000" w:rsidR="00000000" w:rsidRPr="00000000">
        <w:rPr>
          <w:b w:val="1"/>
          <w:bCs w:val="1"/>
          <w:sz w:val="24"/>
          <w:szCs w:val="24"/>
          <w:rtl w:val="0"/>
        </w:rPr>
        <w:t xml:space="preserve">A. The Kafala Sponsorship System (SWANA region)</w:t>
      </w:r>
    </w:p>
    <w:p w:rsidR="00000000" w:rsidDel="00000000" w:rsidP="00000000" w:rsidRDefault="00000000" w:rsidRPr="00000000" w14:paraId="00000015">
      <w:pPr>
        <w:spacing w:after="120" w:lineRule="auto"/>
        <w:jc w:val="both"/>
        <w:rPr/>
      </w:pPr>
      <w:r w:rsidDel="00000000" w:rsidR="00000000" w:rsidRPr="00000000">
        <w:rPr>
          <w:rtl w:val="0"/>
        </w:rPr>
        <w:t xml:space="preserve">Across the SWANA region, the rights of migrant domestic and care workers—predominantly women from South and Southeast Asia and Sub-Saharan Africa—are governed not by Ministries of Labor but by Ministries of Interior under security and policing frameworks. Domestic workers are explicitly excluded from national labor laws: for example, Lebanon’s Labor Code of 1946 entirely omits domestic workers from its protections. Their status is instead tied to the sponsor under the Kafala system through immigration decrees.</w:t>
      </w:r>
    </w:p>
    <w:p w:rsidR="00000000" w:rsidDel="00000000" w:rsidP="00000000" w:rsidRDefault="00000000" w:rsidRPr="00000000" w14:paraId="00000016">
      <w:pPr>
        <w:spacing w:after="120" w:lineRule="auto"/>
        <w:jc w:val="both"/>
        <w:rPr/>
      </w:pPr>
      <w:r w:rsidDel="00000000" w:rsidR="00000000" w:rsidRPr="00000000">
        <w:rPr>
          <w:rtl w:val="0"/>
        </w:rPr>
        <w:t xml:space="preserve">This architecture makes freedom of association structurally impossible. A domestic worker who leaves the private household of her employer—even to flee severe abuse, sexual violence, or wage theft—is legally required to be reported by the employer to immigration authorities for “absconding”. This is treated as a criminal offense and may trigger detention, removal proceedings, and immigration penalties under immigration law. It instantly invalidates the worker’s residence permit, rendering her liable to arbitrary detention, criminal prosecution, and fast-tracked deportation. The result is that any attempt at collective association, mutual-aid networking, or even spatial self-organization constitutes an act of extreme legal risk. Low-wage and domestic workers are barred by law from forming or joining independent associations, and unlike standard labor relationships, they have no access to the collective bargaining frameworks of general labor law.</w:t>
      </w:r>
    </w:p>
    <w:p w:rsidR="00000000" w:rsidDel="00000000" w:rsidP="00000000" w:rsidRDefault="00000000" w:rsidRPr="00000000" w14:paraId="00000017">
      <w:pPr>
        <w:pStyle w:val="Heading2"/>
        <w:keepNext w:val="0"/>
        <w:keepLines w:val="0"/>
        <w:spacing w:after="80" w:lineRule="auto"/>
        <w:jc w:val="both"/>
        <w:rPr>
          <w:b w:val="1"/>
          <w:bCs w:val="1"/>
          <w:sz w:val="24"/>
          <w:szCs w:val="24"/>
        </w:rPr>
      </w:pPr>
      <w:bookmarkStart w:colFirst="0" w:colLast="0" w:name="_kbh1mh26negg" w:id="3"/>
      <w:bookmarkEnd w:id="3"/>
      <w:r w:rsidDel="00000000" w:rsidR="00000000" w:rsidRPr="00000000">
        <w:rPr>
          <w:b w:val="1"/>
          <w:bCs w:val="1"/>
          <w:sz w:val="24"/>
          <w:szCs w:val="24"/>
          <w:rtl w:val="0"/>
        </w:rPr>
        <w:t xml:space="preserve">B. Canada: Closed work permits and agricultural exclusions</w:t>
      </w:r>
    </w:p>
    <w:p w:rsidR="00000000" w:rsidDel="00000000" w:rsidP="00000000" w:rsidRDefault="00000000" w:rsidRPr="00000000" w14:paraId="00000018">
      <w:pPr>
        <w:spacing w:after="120" w:lineRule="auto"/>
        <w:jc w:val="both"/>
        <w:rPr/>
      </w:pPr>
      <w:r w:rsidDel="00000000" w:rsidR="00000000" w:rsidRPr="00000000">
        <w:rPr>
          <w:rtl w:val="0"/>
        </w:rPr>
        <w:t xml:space="preserve">Under the Canadian Immigration and Refugee Protection Regulations (IRPR), low-wage and seasonal migrant workers—many of whom are racialized women in food processing and agricultural streams—are issued employer-specific (closed) work permits. These tie a worker’s legal right to remain in Canada exclusively to a single designated employer. If a worker leaves an exploitative workplace, protests conditions, or attempts collective organization, the employer may unilaterally terminate the contract. Contract termination renders the worker immediately “deportable,” cutting off any legal pathway to seek remedy.</w:t>
      </w:r>
    </w:p>
    <w:p w:rsidR="00000000" w:rsidDel="00000000" w:rsidP="00000000" w:rsidRDefault="00000000" w:rsidRPr="00000000" w14:paraId="00000019">
      <w:pPr>
        <w:spacing w:after="120" w:lineRule="auto"/>
        <w:jc w:val="both"/>
        <w:rPr/>
      </w:pPr>
      <w:r w:rsidDel="00000000" w:rsidR="00000000" w:rsidRPr="00000000">
        <w:rPr>
          <w:rtl w:val="0"/>
        </w:rPr>
        <w:t xml:space="preserve">Furthermore, in Ontario (Attorney General) v. Fraser (2011 SCC 20), the Supreme Court of Canada held that the Agricultural Employees Protection Act (AEPA)—which excludes agricultural workers from the Labour Relations Act governing standard collective bargaining for other private-sector workers—satisfied constitutional requirements under Section 2(d) of the Canadian Charter (Freedom of Association). The Court found that Section 2(d) was satisfied by the AEPA’s minimal procedural guarantee that agricultural workers may make representations to their employer and have them considered in good faith, without requiring the statutory collective bargaining mechanisms, majoritarian union exclusivity, or strike protections available to workers under the Labour Relations Act. In practice, this jurisprudence permits provinces to maintain a separate, weaker associational regime for agricultural workforces—disproportionately composed of racialized migrants in seasonal and food-processing streams—compared to the protections available to most other private-sector workers.</w:t>
      </w:r>
    </w:p>
    <w:p w:rsidR="00000000" w:rsidDel="00000000" w:rsidP="00000000" w:rsidRDefault="00000000" w:rsidRPr="00000000" w14:paraId="0000001A">
      <w:pPr>
        <w:pStyle w:val="Heading2"/>
        <w:keepNext w:val="0"/>
        <w:keepLines w:val="0"/>
        <w:spacing w:after="80" w:lineRule="auto"/>
        <w:jc w:val="both"/>
        <w:rPr>
          <w:b w:val="1"/>
          <w:bCs w:val="1"/>
          <w:sz w:val="24"/>
          <w:szCs w:val="24"/>
        </w:rPr>
      </w:pPr>
      <w:bookmarkStart w:colFirst="0" w:colLast="0" w:name="_78mdz4xua9nw" w:id="4"/>
      <w:bookmarkEnd w:id="4"/>
      <w:r w:rsidDel="00000000" w:rsidR="00000000" w:rsidRPr="00000000">
        <w:rPr>
          <w:b w:val="1"/>
          <w:bCs w:val="1"/>
          <w:sz w:val="24"/>
          <w:szCs w:val="24"/>
          <w:rtl w:val="0"/>
        </w:rPr>
        <w:t xml:space="preserve">C. Malaysia: Citizenship bars on union leadership</w:t>
      </w:r>
    </w:p>
    <w:p w:rsidR="00000000" w:rsidDel="00000000" w:rsidP="00000000" w:rsidRDefault="00000000" w:rsidRPr="00000000" w14:paraId="0000001B">
      <w:pPr>
        <w:spacing w:after="160" w:lineRule="auto"/>
        <w:jc w:val="both"/>
        <w:rPr/>
      </w:pPr>
      <w:r w:rsidDel="00000000" w:rsidR="00000000" w:rsidRPr="00000000">
        <w:rPr>
          <w:rtl w:val="0"/>
        </w:rPr>
        <w:t xml:space="preserve">Under Section 28 of Malaysia’s Trade Unions Act 1959, any person who is not a citizen of Malaysia is legally disqualified from serving as an officer, executive member, or leader of a trade union. While migrant women workers may technically pay dues and register as union members, they are barred by law from holding leadership positions, determining union strategy, or forming their own autonomous, sector-specific or nationality-based trade unions. This creates a paternalistic structure of legal dependency in which migrant women’s voices are formally present but structurally silenced. </w:t>
      </w:r>
    </w:p>
    <w:p w:rsidR="00000000" w:rsidDel="00000000" w:rsidP="00000000" w:rsidRDefault="00000000" w:rsidRPr="00000000" w14:paraId="0000001C">
      <w:pPr>
        <w:spacing w:after="160" w:lineRule="auto"/>
        <w:jc w:val="both"/>
        <w:rPr/>
      </w:pPr>
      <w:r w:rsidDel="00000000" w:rsidR="00000000" w:rsidRPr="00000000">
        <w:rPr>
          <w:rtl w:val="0"/>
        </w:rPr>
        <w:t xml:space="preserve">The restriction under Section 28 of Malaysia’s Trade Unions Act 1959 prevents migrant workers from holding union leadership positions and effectively limits their ability to form formal trade unions, leading some to establish informal associations or grassroots networks to address workplace abuses such as wage theft, unsafe conditions, and harassment. However, because these informal organisations lack legal recognition, migrant workers who participate in or organise them may face investigation, arrest, detention</w:t>
      </w:r>
      <w:r w:rsidDel="00000000" w:rsidR="00000000" w:rsidRPr="00000000">
        <w:rPr>
          <w:vertAlign w:val="superscript"/>
        </w:rPr>
        <w:footnoteReference w:customMarkFollows="0" w:id="0"/>
      </w:r>
      <w:r w:rsidDel="00000000" w:rsidR="00000000" w:rsidRPr="00000000">
        <w:rPr>
          <w:rtl w:val="0"/>
        </w:rPr>
        <w:t xml:space="preserve">, or other enforcement actions, particularly if their activities are interpreted as unlawful assembly or unauthorised organising, creating a strong chilling effect on collective action. This risk is especially severe for migrant women workers, who already face precarious immigration status, economic dependency, and gender-based vulnerabilities, further discouraging them from speaking out or organising for better conditions. As a result, the restriction not only excludes migrant workers from formal union leadership but also suppresses alternative forms of collective representation, significantly limiting their freedom of association and reinforcing their structural marginalisation in both formal and informal labour organising spaces.</w:t>
      </w:r>
    </w:p>
    <w:p w:rsidR="00000000" w:rsidDel="00000000" w:rsidP="00000000" w:rsidRDefault="00000000" w:rsidRPr="00000000" w14:paraId="0000001D">
      <w:pPr>
        <w:pStyle w:val="Heading2"/>
        <w:keepNext w:val="0"/>
        <w:keepLines w:val="0"/>
        <w:spacing w:after="80" w:lineRule="auto"/>
        <w:jc w:val="both"/>
        <w:rPr>
          <w:b w:val="1"/>
          <w:bCs w:val="1"/>
          <w:sz w:val="24"/>
          <w:szCs w:val="24"/>
        </w:rPr>
      </w:pPr>
      <w:bookmarkStart w:colFirst="0" w:colLast="0" w:name="_mkgwrkkcl1m1" w:id="5"/>
      <w:bookmarkEnd w:id="5"/>
      <w:r w:rsidDel="00000000" w:rsidR="00000000" w:rsidRPr="00000000">
        <w:rPr>
          <w:b w:val="1"/>
          <w:bCs w:val="1"/>
          <w:sz w:val="24"/>
          <w:szCs w:val="24"/>
          <w:rtl w:val="0"/>
        </w:rPr>
        <w:t xml:space="preserve">D. Cross-Cutting Patterns: Deportability as a tool of labor discipline</w:t>
      </w:r>
    </w:p>
    <w:p w:rsidR="00000000" w:rsidDel="00000000" w:rsidP="00000000" w:rsidRDefault="00000000" w:rsidRPr="00000000" w14:paraId="0000001E">
      <w:pPr>
        <w:spacing w:after="120" w:lineRule="auto"/>
        <w:jc w:val="both"/>
        <w:rPr/>
      </w:pPr>
      <w:r w:rsidDel="00000000" w:rsidR="00000000" w:rsidRPr="00000000">
        <w:rPr>
          <w:rtl w:val="0"/>
        </w:rPr>
        <w:t xml:space="preserve">Across these and other contexts, WIMN members have documented a common structural dynamic: “deportability”—the constant threat of removal regardless of formal immigration status—is actively weaponized by states and employers as a tool of labor discipline. This threat falls most heavily on those concentrated in feminized, racialized, and informalized sectors: domestic work, care work, and seasonal agriculture. These sectors are frequently and deliberately excluded from national labor codes, making workplace abuse legally invisible.</w:t>
      </w:r>
    </w:p>
    <w:p w:rsidR="00000000" w:rsidDel="00000000" w:rsidP="00000000" w:rsidRDefault="00000000" w:rsidRPr="00000000" w14:paraId="0000001F">
      <w:pPr>
        <w:spacing w:after="120" w:lineRule="auto"/>
        <w:jc w:val="both"/>
        <w:rPr/>
      </w:pPr>
      <w:r w:rsidDel="00000000" w:rsidR="00000000" w:rsidRPr="00000000">
        <w:rPr>
          <w:rtl w:val="0"/>
        </w:rPr>
        <w:t xml:space="preserve">WIMN and its members also document the specific use of gender-based violence and harassment as a tool of intimidation against migrant women who attempt to organize. When a worker’s immigration status is tied to the employer who is also the source of abuse, the act of seeking collective support becomes an immigration risk. This intersection demands explicit recognition in General Comment No. 38.</w:t>
      </w:r>
    </w:p>
    <w:p w:rsidR="00000000" w:rsidDel="00000000" w:rsidP="00000000" w:rsidRDefault="00000000" w:rsidRPr="00000000" w14:paraId="00000020">
      <w:pPr>
        <w:pStyle w:val="Heading1"/>
        <w:keepNext w:val="0"/>
        <w:keepLines w:val="0"/>
        <w:spacing w:before="480" w:lineRule="auto"/>
        <w:jc w:val="both"/>
        <w:rPr>
          <w:b w:val="1"/>
          <w:bCs w:val="1"/>
          <w:sz w:val="24"/>
          <w:szCs w:val="24"/>
        </w:rPr>
      </w:pPr>
      <w:bookmarkStart w:colFirst="0" w:colLast="0" w:name="_12nca2e9yiw4" w:id="6"/>
      <w:bookmarkEnd w:id="6"/>
      <w:r w:rsidDel="00000000" w:rsidR="00000000" w:rsidRPr="00000000">
        <w:rPr>
          <w:b w:val="1"/>
          <w:bCs w:val="1"/>
          <w:sz w:val="24"/>
          <w:szCs w:val="24"/>
          <w:rtl w:val="0"/>
        </w:rPr>
        <w:t xml:space="preserve">III. Specific Language Recommendations for Draft General Comment No. 38</w:t>
      </w:r>
    </w:p>
    <w:p w:rsidR="00000000" w:rsidDel="00000000" w:rsidP="00000000" w:rsidRDefault="00000000" w:rsidRPr="00000000" w14:paraId="00000021">
      <w:pPr>
        <w:spacing w:after="160" w:lineRule="auto"/>
        <w:jc w:val="both"/>
        <w:rPr/>
      </w:pPr>
      <w:r w:rsidDel="00000000" w:rsidR="00000000" w:rsidRPr="00000000">
        <w:rPr>
          <w:rtl w:val="0"/>
        </w:rPr>
        <w:t xml:space="preserve">WIMN submits the following specific revisions to the draft text. Each recommendation is keyed to the relevant paragraph(s) of the draft.</w:t>
      </w:r>
    </w:p>
    <w:p w:rsidR="00000000" w:rsidDel="00000000" w:rsidP="00000000" w:rsidRDefault="00000000" w:rsidRPr="00000000" w14:paraId="00000022">
      <w:pPr>
        <w:pStyle w:val="Heading2"/>
        <w:keepNext w:val="0"/>
        <w:keepLines w:val="0"/>
        <w:spacing w:after="80" w:lineRule="auto"/>
        <w:jc w:val="both"/>
        <w:rPr>
          <w:b w:val="1"/>
          <w:bCs w:val="1"/>
          <w:sz w:val="24"/>
          <w:szCs w:val="24"/>
        </w:rPr>
      </w:pPr>
      <w:bookmarkStart w:colFirst="0" w:colLast="0" w:name="_2ydx2txtkyr4" w:id="7"/>
      <w:bookmarkEnd w:id="7"/>
      <w:r w:rsidDel="00000000" w:rsidR="00000000" w:rsidRPr="00000000">
        <w:rPr>
          <w:b w:val="1"/>
          <w:bCs w:val="1"/>
          <w:sz w:val="24"/>
          <w:szCs w:val="24"/>
          <w:rtl w:val="0"/>
        </w:rPr>
        <w:t xml:space="preserve">Recommendation 1: Freedom of association as a fundamental right for all migrant workers, including those in irregular status and those in the informal sector</w:t>
      </w:r>
    </w:p>
    <w:p w:rsidR="00000000" w:rsidDel="00000000" w:rsidP="00000000" w:rsidRDefault="00000000" w:rsidRPr="00000000" w14:paraId="00000023">
      <w:pPr>
        <w:spacing w:after="80" w:lineRule="auto"/>
        <w:jc w:val="both"/>
        <w:rPr>
          <w:b w:val="1"/>
          <w:bCs w:val="1"/>
          <w:color w:val="2e5496"/>
        </w:rPr>
      </w:pPr>
      <w:r w:rsidDel="00000000" w:rsidR="00000000" w:rsidRPr="00000000">
        <w:rPr>
          <w:b w:val="1"/>
          <w:bCs w:val="1"/>
          <w:color w:val="2e5496"/>
          <w:rtl w:val="0"/>
        </w:rPr>
        <w:t xml:space="preserve">Relevant paragraphs: 7, 9, 26</w:t>
      </w:r>
    </w:p>
    <w:p w:rsidR="00000000" w:rsidDel="00000000" w:rsidP="00000000" w:rsidRDefault="00000000" w:rsidRPr="00000000" w14:paraId="00000024">
      <w:pPr>
        <w:spacing w:after="80" w:lineRule="auto"/>
        <w:jc w:val="both"/>
        <w:rPr/>
      </w:pPr>
      <w:r w:rsidDel="00000000" w:rsidR="00000000" w:rsidRPr="00000000">
        <w:rPr>
          <w:b w:val="1"/>
          <w:bCs w:val="1"/>
          <w:rtl w:val="0"/>
        </w:rPr>
        <w:t xml:space="preserve">Current gap:</w:t>
      </w:r>
      <w:r w:rsidDel="00000000" w:rsidR="00000000" w:rsidRPr="00000000">
        <w:rPr>
          <w:rtl w:val="0"/>
        </w:rPr>
        <w:t xml:space="preserve"> Paragraph 26 affirms that freedom of association encompasses all categories of workers regardless of migratory status, and Paragraph 9 acknowledges the heightened impact on migrants and asylum-seekers. However, neither paragraph explicitly extends protections to undocumented migrants and workers in the informal economy, leaving a critical gap that states exploit.</w:t>
      </w:r>
    </w:p>
    <w:p w:rsidR="00000000" w:rsidDel="00000000" w:rsidP="00000000" w:rsidRDefault="00000000" w:rsidRPr="00000000" w14:paraId="00000025">
      <w:pPr>
        <w:spacing w:after="80" w:lineRule="auto"/>
        <w:jc w:val="both"/>
        <w:rPr>
          <w:b w:val="1"/>
          <w:bCs w:val="1"/>
          <w:i w:val="1"/>
          <w:iCs w:val="1"/>
        </w:rPr>
      </w:pPr>
      <w:r w:rsidDel="00000000" w:rsidR="00000000" w:rsidRPr="00000000">
        <w:rPr>
          <w:b w:val="1"/>
          <w:bCs w:val="1"/>
          <w:i w:val="1"/>
          <w:iCs w:val="1"/>
          <w:rtl w:val="0"/>
        </w:rPr>
        <w:t xml:space="preserve">Proposed addition to Paragraph 26:</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80" w:lineRule="auto"/>
        <w:ind w:left="720" w:firstLine="0"/>
        <w:jc w:val="both"/>
        <w:rPr>
          <w:i w:val="1"/>
          <w:iCs w:val="1"/>
        </w:rPr>
      </w:pPr>
      <w:r w:rsidDel="00000000" w:rsidR="00000000" w:rsidRPr="00000000">
        <w:rPr>
          <w:i w:val="1"/>
          <w:iCs w:val="1"/>
          <w:rtl w:val="0"/>
        </w:rPr>
        <w:t xml:space="preserve">“Freedom of association is a fundamental right for all migrant workers in the workplace, explicitly including undocumented migrants and those working in the informal economy. States Parties must ensure that immigration status is never used as a legal basis for denying migrant workers—regardless of their formal, informal, regularized, or irregularized status—the right to form, register, join, and lead trade unions and other workers’ organizations.”</w:t>
      </w:r>
    </w:p>
    <w:p w:rsidR="00000000" w:rsidDel="00000000" w:rsidP="00000000" w:rsidRDefault="00000000" w:rsidRPr="00000000" w14:paraId="00000027">
      <w:pPr>
        <w:pStyle w:val="Heading2"/>
        <w:keepNext w:val="0"/>
        <w:keepLines w:val="0"/>
        <w:spacing w:after="80" w:lineRule="auto"/>
        <w:jc w:val="both"/>
        <w:rPr>
          <w:b w:val="1"/>
          <w:bCs w:val="1"/>
          <w:sz w:val="24"/>
          <w:szCs w:val="24"/>
        </w:rPr>
      </w:pPr>
      <w:bookmarkStart w:colFirst="0" w:colLast="0" w:name="_u5idbtvye0it" w:id="8"/>
      <w:bookmarkEnd w:id="8"/>
      <w:r w:rsidDel="00000000" w:rsidR="00000000" w:rsidRPr="00000000">
        <w:rPr>
          <w:b w:val="1"/>
          <w:bCs w:val="1"/>
          <w:sz w:val="24"/>
          <w:szCs w:val="24"/>
          <w:rtl w:val="0"/>
        </w:rPr>
        <w:t xml:space="preserve">Recommendation 2: The right to form and lead unions, including for non-citizens</w:t>
      </w:r>
    </w:p>
    <w:p w:rsidR="00000000" w:rsidDel="00000000" w:rsidP="00000000" w:rsidRDefault="00000000" w:rsidRPr="00000000" w14:paraId="00000028">
      <w:pPr>
        <w:spacing w:after="80" w:lineRule="auto"/>
        <w:jc w:val="both"/>
        <w:rPr>
          <w:b w:val="1"/>
          <w:bCs w:val="1"/>
          <w:color w:val="2e5496"/>
        </w:rPr>
      </w:pPr>
      <w:r w:rsidDel="00000000" w:rsidR="00000000" w:rsidRPr="00000000">
        <w:rPr>
          <w:b w:val="1"/>
          <w:bCs w:val="1"/>
          <w:color w:val="2e5496"/>
          <w:rtl w:val="0"/>
        </w:rPr>
        <w:t xml:space="preserve">Relevant paragraphs: 23, 24, 26</w:t>
      </w:r>
    </w:p>
    <w:p w:rsidR="00000000" w:rsidDel="00000000" w:rsidP="00000000" w:rsidRDefault="00000000" w:rsidRPr="00000000" w14:paraId="00000029">
      <w:pPr>
        <w:spacing w:after="80" w:lineRule="auto"/>
        <w:jc w:val="both"/>
        <w:rPr/>
      </w:pPr>
      <w:r w:rsidDel="00000000" w:rsidR="00000000" w:rsidRPr="00000000">
        <w:rPr>
          <w:b w:val="1"/>
          <w:bCs w:val="1"/>
          <w:rtl w:val="0"/>
        </w:rPr>
        <w:t xml:space="preserve">Current gap:</w:t>
      </w:r>
      <w:r w:rsidDel="00000000" w:rsidR="00000000" w:rsidRPr="00000000">
        <w:rPr>
          <w:rtl w:val="0"/>
        </w:rPr>
        <w:t xml:space="preserve"> The draft protects the right to form and join trade unions but does not explicitly address laws that restrict leadership and governance roles to nationals, effectively depriving migrant workers of autonomous organizational power while permitting formal membership.</w:t>
      </w:r>
    </w:p>
    <w:p w:rsidR="00000000" w:rsidDel="00000000" w:rsidP="00000000" w:rsidRDefault="00000000" w:rsidRPr="00000000" w14:paraId="0000002A">
      <w:pPr>
        <w:spacing w:after="80" w:lineRule="auto"/>
        <w:jc w:val="both"/>
        <w:rPr>
          <w:b w:val="1"/>
          <w:bCs w:val="1"/>
          <w:i w:val="1"/>
          <w:iCs w:val="1"/>
        </w:rPr>
      </w:pPr>
      <w:r w:rsidDel="00000000" w:rsidR="00000000" w:rsidRPr="00000000">
        <w:rPr>
          <w:b w:val="1"/>
          <w:bCs w:val="1"/>
          <w:i w:val="1"/>
          <w:iCs w:val="1"/>
          <w:rtl w:val="0"/>
        </w:rPr>
        <w:t xml:space="preserve">Proposed addition to Paragraph 24:</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80" w:lineRule="auto"/>
        <w:ind w:left="720" w:firstLine="0"/>
        <w:jc w:val="both"/>
        <w:rPr>
          <w:i w:val="1"/>
          <w:iCs w:val="1"/>
        </w:rPr>
      </w:pPr>
      <w:r w:rsidDel="00000000" w:rsidR="00000000" w:rsidRPr="00000000">
        <w:rPr>
          <w:i w:val="1"/>
          <w:iCs w:val="1"/>
          <w:rtl w:val="0"/>
        </w:rPr>
        <w:t xml:space="preserve">“States Parties must explicitly protect the right of migrant workers to form and register their own trade unions, to hold leadership positions within those unions, and to participate actively in collective bargaining and social dialogue. Any law, policy, or administrative practice restricting union leadership or governance roles on the basis of nationality or migration status is incompatible with Article 22.”</w:t>
      </w:r>
    </w:p>
    <w:p w:rsidR="00000000" w:rsidDel="00000000" w:rsidP="00000000" w:rsidRDefault="00000000" w:rsidRPr="00000000" w14:paraId="0000002C">
      <w:pPr>
        <w:pStyle w:val="Heading2"/>
        <w:keepNext w:val="0"/>
        <w:keepLines w:val="0"/>
        <w:spacing w:after="80" w:lineRule="auto"/>
        <w:jc w:val="both"/>
        <w:rPr>
          <w:b w:val="1"/>
          <w:bCs w:val="1"/>
          <w:sz w:val="24"/>
          <w:szCs w:val="24"/>
        </w:rPr>
      </w:pPr>
      <w:bookmarkStart w:colFirst="0" w:colLast="0" w:name="_kl8oe8y67ms6" w:id="9"/>
      <w:bookmarkEnd w:id="9"/>
      <w:r w:rsidDel="00000000" w:rsidR="00000000" w:rsidRPr="00000000">
        <w:rPr>
          <w:b w:val="1"/>
          <w:bCs w:val="1"/>
          <w:sz w:val="24"/>
          <w:szCs w:val="24"/>
          <w:rtl w:val="0"/>
        </w:rPr>
        <w:t xml:space="preserve">Recommendation 3: Explicit targeting of employer-tied visa systems as violations of the right to freedom of association</w:t>
      </w:r>
    </w:p>
    <w:p w:rsidR="00000000" w:rsidDel="00000000" w:rsidP="00000000" w:rsidRDefault="00000000" w:rsidRPr="00000000" w14:paraId="0000002D">
      <w:pPr>
        <w:spacing w:after="80" w:lineRule="auto"/>
        <w:jc w:val="both"/>
        <w:rPr>
          <w:b w:val="1"/>
          <w:bCs w:val="1"/>
          <w:color w:val="2e5496"/>
        </w:rPr>
      </w:pPr>
      <w:r w:rsidDel="00000000" w:rsidR="00000000" w:rsidRPr="00000000">
        <w:rPr>
          <w:b w:val="1"/>
          <w:bCs w:val="1"/>
          <w:color w:val="2e5496"/>
          <w:rtl w:val="0"/>
        </w:rPr>
        <w:t xml:space="preserve">Relevant paragraphs: 26, 30, 38</w:t>
      </w:r>
    </w:p>
    <w:p w:rsidR="00000000" w:rsidDel="00000000" w:rsidP="00000000" w:rsidRDefault="00000000" w:rsidRPr="00000000" w14:paraId="0000002E">
      <w:pPr>
        <w:spacing w:after="80" w:lineRule="auto"/>
        <w:jc w:val="both"/>
        <w:rPr/>
      </w:pPr>
      <w:r w:rsidDel="00000000" w:rsidR="00000000" w:rsidRPr="00000000">
        <w:rPr>
          <w:b w:val="1"/>
          <w:bCs w:val="1"/>
          <w:rtl w:val="0"/>
        </w:rPr>
        <w:t xml:space="preserve">Current gap:</w:t>
      </w:r>
      <w:r w:rsidDel="00000000" w:rsidR="00000000" w:rsidRPr="00000000">
        <w:rPr>
          <w:rtl w:val="0"/>
        </w:rPr>
        <w:t xml:space="preserve"> The draft does not address employer-tied migration schemes—such as closed work permits and the Kafala sponsorship system—that strip migrant workers of the autonomy to exit exploitative labor conditions and thereby render freedom of association meaningless in practice. Paragraph 30 lists prohibited state measures but does not reference the employer-as-enforcement-agent dynamic central to these systems.</w:t>
      </w:r>
    </w:p>
    <w:p w:rsidR="00000000" w:rsidDel="00000000" w:rsidP="00000000" w:rsidRDefault="00000000" w:rsidRPr="00000000" w14:paraId="0000002F">
      <w:pPr>
        <w:spacing w:after="80" w:lineRule="auto"/>
        <w:jc w:val="both"/>
        <w:rPr>
          <w:b w:val="1"/>
          <w:bCs w:val="1"/>
          <w:i w:val="1"/>
          <w:iCs w:val="1"/>
        </w:rPr>
      </w:pPr>
      <w:r w:rsidDel="00000000" w:rsidR="00000000" w:rsidRPr="00000000">
        <w:rPr>
          <w:b w:val="1"/>
          <w:bCs w:val="1"/>
          <w:i w:val="1"/>
          <w:iCs w:val="1"/>
          <w:rtl w:val="0"/>
        </w:rPr>
        <w:t xml:space="preserve">Proposed addition to Paragraph 30:</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80" w:lineRule="auto"/>
        <w:ind w:left="720" w:firstLine="0"/>
        <w:jc w:val="both"/>
        <w:rPr>
          <w:i w:val="1"/>
          <w:iCs w:val="1"/>
        </w:rPr>
      </w:pPr>
      <w:r w:rsidDel="00000000" w:rsidR="00000000" w:rsidRPr="00000000">
        <w:rPr>
          <w:i w:val="1"/>
          <w:iCs w:val="1"/>
          <w:rtl w:val="0"/>
        </w:rPr>
        <w:t xml:space="preserve">“Migration rules that restrict workers’ job mobility—including employer-specific (closed) work permits and kafala-type sponsorship systems that tie a worker’s immigration status to a single employer—fundamentally violate freedom of association by stripping workers of the autonomy necessary to exit unfree labor conditions and by enabling employers to weaponize deportability as a tool of labor discipline. States Parties must eliminate these arrangements or ensure robust legal protections that make workers’ migration status entirely independent of employer compliance and freedom of speaking out.”</w:t>
      </w:r>
    </w:p>
    <w:p w:rsidR="00000000" w:rsidDel="00000000" w:rsidP="00000000" w:rsidRDefault="00000000" w:rsidRPr="00000000" w14:paraId="00000031">
      <w:pPr>
        <w:spacing w:after="160" w:before="80" w:lineRule="auto"/>
        <w:jc w:val="both"/>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jc w:val="both"/>
        <w:rPr>
          <w:b w:val="1"/>
          <w:bCs w:val="1"/>
          <w:sz w:val="24"/>
          <w:szCs w:val="24"/>
        </w:rPr>
      </w:pPr>
      <w:bookmarkStart w:colFirst="0" w:colLast="0" w:name="_hawiqrca6kuk" w:id="10"/>
      <w:bookmarkEnd w:id="10"/>
      <w:r w:rsidDel="00000000" w:rsidR="00000000" w:rsidRPr="00000000">
        <w:rPr>
          <w:b w:val="1"/>
          <w:bCs w:val="1"/>
          <w:sz w:val="24"/>
          <w:szCs w:val="24"/>
          <w:rtl w:val="0"/>
        </w:rPr>
        <w:t xml:space="preserve">Recommendation 4: Mandatory firewalls between freedom of association and immigration enforcement</w:t>
      </w:r>
    </w:p>
    <w:p w:rsidR="00000000" w:rsidDel="00000000" w:rsidP="00000000" w:rsidRDefault="00000000" w:rsidRPr="00000000" w14:paraId="00000033">
      <w:pPr>
        <w:spacing w:after="80" w:lineRule="auto"/>
        <w:jc w:val="both"/>
        <w:rPr>
          <w:b w:val="1"/>
          <w:bCs w:val="1"/>
          <w:color w:val="2e5496"/>
        </w:rPr>
      </w:pPr>
      <w:r w:rsidDel="00000000" w:rsidR="00000000" w:rsidRPr="00000000">
        <w:rPr>
          <w:b w:val="1"/>
          <w:bCs w:val="1"/>
          <w:color w:val="2e5496"/>
          <w:rtl w:val="0"/>
        </w:rPr>
        <w:t xml:space="preserve">Relevant paragraphs: 30, 38</w:t>
      </w:r>
    </w:p>
    <w:p w:rsidR="00000000" w:rsidDel="00000000" w:rsidP="00000000" w:rsidRDefault="00000000" w:rsidRPr="00000000" w14:paraId="00000034">
      <w:pPr>
        <w:spacing w:after="80" w:lineRule="auto"/>
        <w:jc w:val="both"/>
        <w:rPr/>
      </w:pPr>
      <w:r w:rsidDel="00000000" w:rsidR="00000000" w:rsidRPr="00000000">
        <w:rPr>
          <w:b w:val="1"/>
          <w:bCs w:val="1"/>
          <w:rtl w:val="0"/>
        </w:rPr>
        <w:t xml:space="preserve">Current gap:</w:t>
      </w:r>
      <w:r w:rsidDel="00000000" w:rsidR="00000000" w:rsidRPr="00000000">
        <w:rPr>
          <w:rtl w:val="0"/>
        </w:rPr>
        <w:t xml:space="preserve"> While Paragraph 30 lists prohibited interference measures, it does not address the practice of immigration authorities using workers’ participation in union or associational activities as grounds for tracking, detention, or deportation. This is one of the most pervasive and documented barriers to migrant workers’ exercise of Article 22 rights.</w:t>
      </w:r>
    </w:p>
    <w:p w:rsidR="00000000" w:rsidDel="00000000" w:rsidP="00000000" w:rsidRDefault="00000000" w:rsidRPr="00000000" w14:paraId="00000035">
      <w:pPr>
        <w:spacing w:after="80" w:lineRule="auto"/>
        <w:jc w:val="both"/>
        <w:rPr>
          <w:b w:val="1"/>
          <w:bCs w:val="1"/>
          <w:i w:val="1"/>
          <w:iCs w:val="1"/>
        </w:rPr>
      </w:pPr>
      <w:r w:rsidDel="00000000" w:rsidR="00000000" w:rsidRPr="00000000">
        <w:rPr>
          <w:b w:val="1"/>
          <w:bCs w:val="1"/>
          <w:i w:val="1"/>
          <w:iCs w:val="1"/>
          <w:rtl w:val="0"/>
        </w:rPr>
        <w:t xml:space="preserve">Proposed addition to Paragraph 30 or 38:</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80" w:lineRule="auto"/>
        <w:ind w:left="720" w:firstLine="0"/>
        <w:jc w:val="both"/>
        <w:rPr>
          <w:i w:val="1"/>
          <w:iCs w:val="1"/>
        </w:rPr>
      </w:pPr>
      <w:r w:rsidDel="00000000" w:rsidR="00000000" w:rsidRPr="00000000">
        <w:rPr>
          <w:i w:val="1"/>
          <w:iCs w:val="1"/>
          <w:rtl w:val="0"/>
        </w:rPr>
        <w:t xml:space="preserve">“The exercise of freedom of association must be completely separated from immigration enforcement. A worker’s migration status must never be used by state authorities as a basis for tracking, detaining, or deporting them in connection with their exercise of, or attempt to exercise, the rights guaranteed under Article 22. States Parties must adopt data firewall policies</w:t>
      </w:r>
      <w:r w:rsidDel="00000000" w:rsidR="00000000" w:rsidRPr="00000000">
        <w:rPr>
          <w:i w:val="1"/>
          <w:iCs w:val="1"/>
          <w:vertAlign w:val="superscript"/>
        </w:rPr>
        <w:footnoteReference w:customMarkFollows="0" w:id="1"/>
      </w:r>
      <w:r w:rsidDel="00000000" w:rsidR="00000000" w:rsidRPr="00000000">
        <w:rPr>
          <w:i w:val="1"/>
          <w:iCs w:val="1"/>
          <w:rtl w:val="0"/>
        </w:rPr>
        <w:t xml:space="preserve"> that prohibit the sharing of information obtained in labor or civil society contexts with immigration enforcement authorities.</w:t>
      </w:r>
      <w:r w:rsidDel="00000000" w:rsidR="00000000" w:rsidRPr="00000000">
        <w:rPr>
          <w:i w:val="1"/>
          <w:iCs w:val="1"/>
          <w:rtl w:val="0"/>
        </w:rPr>
        <w:t xml:space="preserve">Existing policies that mandate for data sharing must be removed as its against the workers to be able exercise of Article 22 rig</w:t>
      </w:r>
      <w:r w:rsidDel="00000000" w:rsidR="00000000" w:rsidRPr="00000000">
        <w:rPr>
          <w:i w:val="1"/>
          <w:iCs w:val="1"/>
          <w:rtl w:val="0"/>
        </w:rPr>
        <w:t xml:space="preserve">hts</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37">
      <w:pPr>
        <w:spacing w:after="160" w:before="80" w:lineRule="auto"/>
        <w:jc w:val="both"/>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jc w:val="both"/>
        <w:rPr>
          <w:b w:val="1"/>
          <w:bCs w:val="1"/>
          <w:sz w:val="24"/>
          <w:szCs w:val="24"/>
        </w:rPr>
      </w:pPr>
      <w:bookmarkStart w:colFirst="0" w:colLast="0" w:name="_81e12c9iuc2w" w:id="11"/>
      <w:bookmarkEnd w:id="11"/>
      <w:r w:rsidDel="00000000" w:rsidR="00000000" w:rsidRPr="00000000">
        <w:rPr>
          <w:b w:val="1"/>
          <w:bCs w:val="1"/>
          <w:sz w:val="24"/>
          <w:szCs w:val="24"/>
          <w:rtl w:val="0"/>
        </w:rPr>
        <w:t xml:space="preserve">Recommendation 5: Protection against retaliation, “absconding” charges, arbitrary detention, and summary deportation</w:t>
      </w:r>
    </w:p>
    <w:p w:rsidR="00000000" w:rsidDel="00000000" w:rsidP="00000000" w:rsidRDefault="00000000" w:rsidRPr="00000000" w14:paraId="00000039">
      <w:pPr>
        <w:spacing w:after="80" w:lineRule="auto"/>
        <w:jc w:val="both"/>
        <w:rPr>
          <w:b w:val="1"/>
          <w:bCs w:val="1"/>
          <w:color w:val="2e5496"/>
        </w:rPr>
      </w:pPr>
      <w:r w:rsidDel="00000000" w:rsidR="00000000" w:rsidRPr="00000000">
        <w:rPr>
          <w:b w:val="1"/>
          <w:bCs w:val="1"/>
          <w:color w:val="2e5496"/>
          <w:rtl w:val="0"/>
        </w:rPr>
        <w:t xml:space="preserve">Relevant paragraphs: 23, 26, 30, 31, 39</w:t>
      </w:r>
    </w:p>
    <w:p w:rsidR="00000000" w:rsidDel="00000000" w:rsidP="00000000" w:rsidRDefault="00000000" w:rsidRPr="00000000" w14:paraId="0000003A">
      <w:pPr>
        <w:spacing w:after="80" w:lineRule="auto"/>
        <w:jc w:val="both"/>
        <w:rPr/>
      </w:pPr>
      <w:r w:rsidDel="00000000" w:rsidR="00000000" w:rsidRPr="00000000">
        <w:rPr>
          <w:b w:val="1"/>
          <w:bCs w:val="1"/>
          <w:rtl w:val="0"/>
        </w:rPr>
        <w:t xml:space="preserve">Current gap:</w:t>
      </w:r>
      <w:r w:rsidDel="00000000" w:rsidR="00000000" w:rsidRPr="00000000">
        <w:rPr>
          <w:rtl w:val="0"/>
        </w:rPr>
        <w:t xml:space="preserve"> Paragraphs 23 and 31 address harassment, arbitrary arrest, and detention of trade union activists, and Paragraph 30 lists prohibited interference measures. However, neither paragraph explicitly addresses the specific retaliatory tools most commonly deployed against migrant women workers: fraudulent “absconding” or “runaway” complaints filed by employers, visa cancellations as retaliation for organizing activity, and summary deportation without fair trial or access to remedy.</w:t>
      </w:r>
    </w:p>
    <w:p w:rsidR="00000000" w:rsidDel="00000000" w:rsidP="00000000" w:rsidRDefault="00000000" w:rsidRPr="00000000" w14:paraId="0000003B">
      <w:pPr>
        <w:spacing w:after="80" w:lineRule="auto"/>
        <w:jc w:val="both"/>
        <w:rPr>
          <w:b w:val="1"/>
          <w:bCs w:val="1"/>
          <w:i w:val="1"/>
          <w:iCs w:val="1"/>
        </w:rPr>
      </w:pPr>
      <w:r w:rsidDel="00000000" w:rsidR="00000000" w:rsidRPr="00000000">
        <w:rPr>
          <w:b w:val="1"/>
          <w:bCs w:val="1"/>
          <w:i w:val="1"/>
          <w:iCs w:val="1"/>
          <w:rtl w:val="0"/>
        </w:rPr>
        <w:t xml:space="preserve">Proposed addition to Paragraph 30:</w:t>
      </w:r>
    </w:p>
    <w:p w:rsidR="00000000" w:rsidDel="00000000" w:rsidP="00000000" w:rsidRDefault="00000000" w:rsidRPr="00000000" w14:paraId="0000003C">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80" w:before="0" w:lineRule="auto"/>
        <w:ind w:left="720" w:firstLine="0"/>
        <w:jc w:val="both"/>
        <w:rPr>
          <w:i w:val="1"/>
          <w:iCs w:val="1"/>
          <w:sz w:val="22"/>
          <w:szCs w:val="22"/>
        </w:rPr>
      </w:pPr>
      <w:bookmarkStart w:colFirst="0" w:colLast="0" w:name="_8ywjn7ewelmk" w:id="12"/>
      <w:bookmarkEnd w:id="12"/>
      <w:r w:rsidDel="00000000" w:rsidR="00000000" w:rsidRPr="00000000">
        <w:rPr>
          <w:i w:val="1"/>
          <w:iCs w:val="1"/>
          <w:sz w:val="22"/>
          <w:szCs w:val="22"/>
          <w:rtl w:val="0"/>
        </w:rPr>
        <w:t xml:space="preserve">“States Parties must prevent and penalize employers who weaponize retaliatory tactics against workers who attempt to organize or report rights violations, including filing fraudulent ‘absconding’ or ‘runaway’ complaints, canceling visas, or unilaterally terminating contracts. States Parties must ensure that no migrant worker is deprived of legal status, detained, removed, or otherwise penalized on the basis of an employer-initiated complaint without prompt, independent review and access to remedy. Workers alleging retaliation must be protected from dismissal, deportation, and loss of status while proceedings are pending. States Parties must ensure that labour inspection and complaint-handling mechanisms extend to domestic and other workers in private households, with appropriate modalities that respect the privacy of household members</w:t>
      </w:r>
      <w:r w:rsidDel="00000000" w:rsidR="00000000" w:rsidRPr="00000000">
        <w:rPr>
          <w:i w:val="1"/>
          <w:iCs w:val="1"/>
          <w:sz w:val="22"/>
          <w:szCs w:val="22"/>
          <w:vertAlign w:val="superscript"/>
        </w:rPr>
        <w:footnoteReference w:customMarkFollows="0" w:id="2"/>
      </w:r>
      <w:r w:rsidDel="00000000" w:rsidR="00000000" w:rsidRPr="00000000">
        <w:rPr>
          <w:i w:val="1"/>
          <w:iCs w:val="1"/>
          <w:sz w:val="22"/>
          <w:szCs w:val="22"/>
          <w:rtl w:val="0"/>
        </w:rPr>
        <w:t xml:space="preserve">, so that no worker is denied protection or access to remedy on the basis of their workplace being a private home or their immigration status. Accessible complaint mechanisms and effective legal remedies for violations of freedom of association must be established, including specific protection for migrant worker leaders and labour rights defenders. Employers found to have acted in bad faith must be subject to effective sanctions.”</w:t>
      </w:r>
    </w:p>
    <w:p w:rsidR="00000000" w:rsidDel="00000000" w:rsidP="00000000" w:rsidRDefault="00000000" w:rsidRPr="00000000" w14:paraId="0000003D">
      <w:pPr>
        <w:pStyle w:val="Heading2"/>
        <w:keepNext w:val="0"/>
        <w:keepLines w:val="0"/>
        <w:spacing w:after="80" w:lineRule="auto"/>
        <w:jc w:val="both"/>
        <w:rPr>
          <w:b w:val="1"/>
          <w:bCs w:val="1"/>
          <w:sz w:val="24"/>
          <w:szCs w:val="24"/>
        </w:rPr>
      </w:pPr>
      <w:bookmarkStart w:colFirst="0" w:colLast="0" w:name="_8ao2puidar1i" w:id="13"/>
      <w:bookmarkEnd w:id="13"/>
      <w:r w:rsidDel="00000000" w:rsidR="00000000" w:rsidRPr="00000000">
        <w:rPr>
          <w:rtl w:val="0"/>
        </w:rPr>
      </w:r>
    </w:p>
    <w:p w:rsidR="00000000" w:rsidDel="00000000" w:rsidP="00000000" w:rsidRDefault="00000000" w:rsidRPr="00000000" w14:paraId="0000003E">
      <w:pPr>
        <w:pStyle w:val="Heading2"/>
        <w:keepNext w:val="0"/>
        <w:keepLines w:val="0"/>
        <w:spacing w:after="80" w:lineRule="auto"/>
        <w:jc w:val="both"/>
        <w:rPr>
          <w:b w:val="1"/>
          <w:bCs w:val="1"/>
          <w:sz w:val="24"/>
          <w:szCs w:val="24"/>
        </w:rPr>
      </w:pPr>
      <w:bookmarkStart w:colFirst="0" w:colLast="0" w:name="_i15k6ssg0l7i" w:id="14"/>
      <w:bookmarkEnd w:id="14"/>
      <w:r w:rsidDel="00000000" w:rsidR="00000000" w:rsidRPr="00000000">
        <w:rPr>
          <w:b w:val="1"/>
          <w:bCs w:val="1"/>
          <w:sz w:val="24"/>
          <w:szCs w:val="24"/>
          <w:rtl w:val="0"/>
        </w:rPr>
        <w:t xml:space="preserve">Recommendation 6: Protection of Non-Citizen Rights to Form Informal and De Facto Associations</w:t>
      </w:r>
    </w:p>
    <w:p w:rsidR="00000000" w:rsidDel="00000000" w:rsidP="00000000" w:rsidRDefault="00000000" w:rsidRPr="00000000" w14:paraId="0000003F">
      <w:pPr>
        <w:spacing w:after="80" w:lineRule="auto"/>
        <w:jc w:val="both"/>
        <w:rPr>
          <w:b w:val="1"/>
          <w:bCs w:val="1"/>
          <w:color w:val="2e5496"/>
        </w:rPr>
      </w:pPr>
      <w:r w:rsidDel="00000000" w:rsidR="00000000" w:rsidRPr="00000000">
        <w:rPr>
          <w:b w:val="1"/>
          <w:bCs w:val="1"/>
          <w:color w:val="2e5496"/>
          <w:rtl w:val="0"/>
        </w:rPr>
        <w:t xml:space="preserve">Relevant paragraph: 13</w:t>
      </w:r>
    </w:p>
    <w:p w:rsidR="00000000" w:rsidDel="00000000" w:rsidP="00000000" w:rsidRDefault="00000000" w:rsidRPr="00000000" w14:paraId="00000040">
      <w:pPr>
        <w:spacing w:after="80" w:lineRule="auto"/>
        <w:jc w:val="both"/>
        <w:rPr/>
      </w:pPr>
      <w:r w:rsidDel="00000000" w:rsidR="00000000" w:rsidRPr="00000000">
        <w:rPr>
          <w:b w:val="1"/>
          <w:bCs w:val="1"/>
          <w:rtl w:val="0"/>
        </w:rPr>
        <w:t xml:space="preserve">Current gap:</w:t>
      </w:r>
      <w:r w:rsidDel="00000000" w:rsidR="00000000" w:rsidRPr="00000000">
        <w:rPr>
          <w:rtl w:val="0"/>
        </w:rPr>
        <w:t xml:space="preserve"> Paragraph 13 recognizes the protection of informal, unregistered de facto associations and notes that burdensome registration requirements violate Article 22. However, it does not explicitly address the heightened barriers faced by undocumented and temporary migrant women who face additional legal reprisals—including criminal liability and immigration consequences—when they attempt to self-organize, even informally.</w:t>
      </w:r>
    </w:p>
    <w:p w:rsidR="00000000" w:rsidDel="00000000" w:rsidP="00000000" w:rsidRDefault="00000000" w:rsidRPr="00000000" w14:paraId="00000041">
      <w:pPr>
        <w:spacing w:after="80" w:lineRule="auto"/>
        <w:jc w:val="both"/>
        <w:rPr>
          <w:b w:val="1"/>
          <w:bCs w:val="1"/>
          <w:i w:val="1"/>
          <w:iCs w:val="1"/>
        </w:rPr>
      </w:pPr>
      <w:r w:rsidDel="00000000" w:rsidR="00000000" w:rsidRPr="00000000">
        <w:rPr>
          <w:b w:val="1"/>
          <w:bCs w:val="1"/>
          <w:i w:val="1"/>
          <w:iCs w:val="1"/>
          <w:rtl w:val="0"/>
        </w:rPr>
        <w:t xml:space="preserve">Proposed addition to Paragraph 13:</w:t>
      </w:r>
    </w:p>
    <w:p w:rsidR="00000000" w:rsidDel="00000000" w:rsidP="00000000" w:rsidRDefault="00000000" w:rsidRPr="00000000" w14:paraId="00000042">
      <w:pPr>
        <w:spacing w:after="80" w:lineRule="auto"/>
        <w:jc w:val="both"/>
        <w:rPr>
          <w:i w:val="1"/>
          <w:iCs w:val="1"/>
        </w:rPr>
      </w:pPr>
      <w:r w:rsidDel="00000000" w:rsidR="00000000" w:rsidRPr="00000000">
        <w:rPr>
          <w:i w:val="1"/>
          <w:iCs w:val="1"/>
          <w:rtl w:val="0"/>
        </w:rPr>
        <w:t xml:space="preserve">“The right of all individuals, including undocumented and temporary migrant women and gender-diverse people, to form and operate informal, unregistered, de facto associations—without seeking or obtaining any formal registration as an association—must be explicitly defended. This right is distinct from, and must not be conflated with, any requirement to register one’s personal identity or migration status with State authorities; an individual’s lack of personal immigration documentation must never be treated as a bar to forming or participating in an association under article 22. States Parties must ensure that administrative requirements for associations seeking formal registration or legal personality do not impose financial, linguistic, or documentary barriers that are disproportionately prohibitive for migrant workers, and that the act of forming or joining an informal, unregistered association carries no criminal, labour, civil, or immigration consequences for its members.”</w:t>
      </w:r>
    </w:p>
    <w:p w:rsidR="00000000" w:rsidDel="00000000" w:rsidP="00000000" w:rsidRDefault="00000000" w:rsidRPr="00000000" w14:paraId="00000043">
      <w:pPr>
        <w:spacing w:after="80" w:lineRule="auto"/>
        <w:jc w:val="both"/>
        <w:rPr>
          <w:i w:val="1"/>
          <w:iCs w:val="1"/>
        </w:rPr>
      </w:pPr>
      <w:r w:rsidDel="00000000" w:rsidR="00000000" w:rsidRPr="00000000">
        <w:rPr>
          <w:i w:val="1"/>
          <w:iCs w:val="1"/>
          <w:rtl w:val="0"/>
        </w:rPr>
        <w:t xml:space="preserve">Paragraph 13 recognizes the protection of informal, unregistered de facto associations and notes that burdensome registration requirements violate Article 22. However, it does not explicitly address the heightened barriers faced by undocumented and temporary migrant women who face additional legal reprisals—including criminal liability and immigration consequences—when they attempt to self-organize, even informally.</w:t>
      </w:r>
    </w:p>
    <w:p w:rsidR="00000000" w:rsidDel="00000000" w:rsidP="00000000" w:rsidRDefault="00000000" w:rsidRPr="00000000" w14:paraId="00000044">
      <w:pPr>
        <w:spacing w:after="80" w:lineRule="auto"/>
        <w:jc w:val="both"/>
        <w:rPr>
          <w:b w:val="1"/>
          <w:bCs w:val="1"/>
          <w:i w:val="1"/>
          <w:iCs w:val="1"/>
        </w:rPr>
      </w:pPr>
      <w:r w:rsidDel="00000000" w:rsidR="00000000" w:rsidRPr="00000000">
        <w:rPr>
          <w:rtl w:val="0"/>
        </w:rPr>
      </w:r>
    </w:p>
    <w:p w:rsidR="00000000" w:rsidDel="00000000" w:rsidP="00000000" w:rsidRDefault="00000000" w:rsidRPr="00000000" w14:paraId="00000045">
      <w:pPr>
        <w:spacing w:after="80" w:lineRule="auto"/>
        <w:jc w:val="both"/>
        <w:rPr>
          <w:b w:val="1"/>
          <w:bCs w:val="1"/>
          <w:i w:val="1"/>
          <w:iCs w:val="1"/>
        </w:rPr>
      </w:pPr>
      <w:r w:rsidDel="00000000" w:rsidR="00000000" w:rsidRPr="00000000">
        <w:rPr>
          <w:b w:val="1"/>
          <w:bCs w:val="1"/>
          <w:i w:val="1"/>
          <w:iCs w:val="1"/>
          <w:rtl w:val="0"/>
        </w:rPr>
        <w:t xml:space="preserve">Proposed addition to Paragraph 13:</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after="80" w:lineRule="auto"/>
        <w:ind w:left="720" w:firstLine="0"/>
        <w:jc w:val="both"/>
        <w:rPr>
          <w:i w:val="1"/>
          <w:iCs w:val="1"/>
        </w:rPr>
      </w:pPr>
      <w:r w:rsidDel="00000000" w:rsidR="00000000" w:rsidRPr="00000000">
        <w:rPr>
          <w:i w:val="1"/>
          <w:iCs w:val="1"/>
          <w:rtl w:val="0"/>
        </w:rPr>
        <w:t xml:space="preserve">“The right of all individuals, including undocumented and temporary migrant women and gender-diverse people, to </w:t>
      </w:r>
      <w:r w:rsidDel="00000000" w:rsidR="00000000" w:rsidRPr="00000000">
        <w:rPr>
          <w:i w:val="1"/>
          <w:iCs w:val="1"/>
          <w:rtl w:val="0"/>
        </w:rPr>
        <w:t xml:space="preserve">self-register</w:t>
      </w:r>
      <w:r w:rsidDel="00000000" w:rsidR="00000000" w:rsidRPr="00000000">
        <w:rPr>
          <w:i w:val="1"/>
          <w:iCs w:val="1"/>
          <w:rtl w:val="0"/>
        </w:rPr>
        <w:t xml:space="preserve"> and form informal, de facto associations must be explicitly defended. States Parties must ensure that administrative registration requirements do not impose financial, linguistic, or documentary barriers that are disproportionately prohibitive for migrant workers, and that the act of forming or joining an informal association carries no criminal, labour, civil, or immigration consequences.”</w:t>
      </w:r>
    </w:p>
    <w:p w:rsidR="00000000" w:rsidDel="00000000" w:rsidP="00000000" w:rsidRDefault="00000000" w:rsidRPr="00000000" w14:paraId="00000047">
      <w:pPr>
        <w:pStyle w:val="Heading2"/>
        <w:keepNext w:val="0"/>
        <w:keepLines w:val="0"/>
        <w:spacing w:after="80" w:lineRule="auto"/>
        <w:jc w:val="both"/>
        <w:rPr>
          <w:b w:val="1"/>
          <w:bCs w:val="1"/>
          <w:sz w:val="24"/>
          <w:szCs w:val="24"/>
        </w:rPr>
      </w:pPr>
      <w:bookmarkStart w:colFirst="0" w:colLast="0" w:name="_q24xxqsx2fd3" w:id="15"/>
      <w:bookmarkEnd w:id="15"/>
      <w:r w:rsidDel="00000000" w:rsidR="00000000" w:rsidRPr="00000000">
        <w:rPr>
          <w:rtl w:val="0"/>
        </w:rPr>
      </w:r>
    </w:p>
    <w:p w:rsidR="00000000" w:rsidDel="00000000" w:rsidP="00000000" w:rsidRDefault="00000000" w:rsidRPr="00000000" w14:paraId="00000048">
      <w:pPr>
        <w:pStyle w:val="Heading2"/>
        <w:keepNext w:val="0"/>
        <w:keepLines w:val="0"/>
        <w:spacing w:after="80" w:lineRule="auto"/>
        <w:jc w:val="both"/>
        <w:rPr>
          <w:b w:val="1"/>
          <w:bCs w:val="1"/>
          <w:sz w:val="24"/>
          <w:szCs w:val="24"/>
        </w:rPr>
      </w:pPr>
      <w:bookmarkStart w:colFirst="0" w:colLast="0" w:name="_o0h76236hoin" w:id="16"/>
      <w:bookmarkEnd w:id="16"/>
      <w:r w:rsidDel="00000000" w:rsidR="00000000" w:rsidRPr="00000000">
        <w:rPr>
          <w:b w:val="1"/>
          <w:bCs w:val="1"/>
          <w:sz w:val="24"/>
          <w:szCs w:val="24"/>
          <w:rtl w:val="0"/>
        </w:rPr>
        <w:t xml:space="preserve">Recommendation 7: Targeted measures for isolated and vulnerable sectors</w:t>
      </w:r>
    </w:p>
    <w:p w:rsidR="00000000" w:rsidDel="00000000" w:rsidP="00000000" w:rsidRDefault="00000000" w:rsidRPr="00000000" w14:paraId="00000049">
      <w:pPr>
        <w:spacing w:after="80" w:lineRule="auto"/>
        <w:jc w:val="both"/>
        <w:rPr>
          <w:b w:val="1"/>
          <w:bCs w:val="1"/>
          <w:color w:val="2e5496"/>
        </w:rPr>
      </w:pPr>
      <w:r w:rsidDel="00000000" w:rsidR="00000000" w:rsidRPr="00000000">
        <w:rPr>
          <w:b w:val="1"/>
          <w:bCs w:val="1"/>
          <w:color w:val="2e5496"/>
          <w:rtl w:val="0"/>
        </w:rPr>
        <w:t xml:space="preserve">Relevant paragraphs: 26, 38</w:t>
      </w:r>
    </w:p>
    <w:p w:rsidR="00000000" w:rsidDel="00000000" w:rsidP="00000000" w:rsidRDefault="00000000" w:rsidRPr="00000000" w14:paraId="0000004A">
      <w:pPr>
        <w:spacing w:after="80" w:lineRule="auto"/>
        <w:jc w:val="both"/>
        <w:rPr/>
      </w:pPr>
      <w:r w:rsidDel="00000000" w:rsidR="00000000" w:rsidRPr="00000000">
        <w:rPr>
          <w:b w:val="1"/>
          <w:bCs w:val="1"/>
          <w:rtl w:val="0"/>
        </w:rPr>
        <w:t xml:space="preserve">Current gap:</w:t>
      </w:r>
      <w:r w:rsidDel="00000000" w:rsidR="00000000" w:rsidRPr="00000000">
        <w:rPr>
          <w:rtl w:val="0"/>
        </w:rPr>
        <w:t xml:space="preserve"> While Paragraph 26 references domestic and platform workers, the draft does not address the specific structural barriers that make organizing in isolated and precarious sectors uniquely difficult: employer-controlled housing, private-home workplaces, remote agricultural worksites, restrictions on movement and communication, and the exclusion from standard labor codes that renders these workplaces sites of legally sanctioned impunity, which stands at odds with ILO Convention 189, recommendation 201, as well as the General Recommendation 38 of CEDAW.</w:t>
      </w:r>
    </w:p>
    <w:p w:rsidR="00000000" w:rsidDel="00000000" w:rsidP="00000000" w:rsidRDefault="00000000" w:rsidRPr="00000000" w14:paraId="0000004B">
      <w:pPr>
        <w:spacing w:after="80" w:lineRule="auto"/>
        <w:jc w:val="both"/>
        <w:rPr>
          <w:b w:val="1"/>
          <w:bCs w:val="1"/>
          <w:i w:val="1"/>
          <w:iCs w:val="1"/>
        </w:rPr>
      </w:pPr>
      <w:r w:rsidDel="00000000" w:rsidR="00000000" w:rsidRPr="00000000">
        <w:rPr>
          <w:b w:val="1"/>
          <w:bCs w:val="1"/>
          <w:i w:val="1"/>
          <w:iCs w:val="1"/>
          <w:rtl w:val="0"/>
        </w:rPr>
        <w:t xml:space="preserve">Proposed addition to Paragraph 38:</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after="80" w:lineRule="auto"/>
        <w:ind w:left="720" w:firstLine="0"/>
        <w:jc w:val="both"/>
        <w:rPr>
          <w:i w:val="1"/>
          <w:iCs w:val="1"/>
        </w:rPr>
      </w:pPr>
      <w:r w:rsidDel="00000000" w:rsidR="00000000" w:rsidRPr="00000000">
        <w:rPr>
          <w:i w:val="1"/>
          <w:iCs w:val="1"/>
          <w:rtl w:val="0"/>
        </w:rPr>
        <w:t xml:space="preserve">“States Parties must adopt targeted measures to ensure the effective enjoyment of freedom of association by migrant workers employed in isolated, vulnerable, and precarious sectors, including domestic work, care work, construction, and seasonal agriculture. Such measures must specifically address barriers arising from employer-controlled housing, private-home workplaces, remote worksites, tied migration status, and legal exclusions from national labor codes. The explicit exclusion of domestic workers or agricultural workers from national labor law frameworks is incompatible with Article 22 and must be remedied.”</w:t>
      </w:r>
    </w:p>
    <w:p w:rsidR="00000000" w:rsidDel="00000000" w:rsidP="00000000" w:rsidRDefault="00000000" w:rsidRPr="00000000" w14:paraId="0000004D">
      <w:pPr>
        <w:pStyle w:val="Heading2"/>
        <w:keepNext w:val="0"/>
        <w:keepLines w:val="0"/>
        <w:spacing w:after="80" w:lineRule="auto"/>
        <w:jc w:val="both"/>
        <w:rPr>
          <w:b w:val="1"/>
          <w:bCs w:val="1"/>
          <w:sz w:val="24"/>
          <w:szCs w:val="24"/>
        </w:rPr>
      </w:pPr>
      <w:bookmarkStart w:colFirst="0" w:colLast="0" w:name="_59i0xqsljfgh" w:id="17"/>
      <w:bookmarkEnd w:id="17"/>
      <w:r w:rsidDel="00000000" w:rsidR="00000000" w:rsidRPr="00000000">
        <w:rPr>
          <w:rtl w:val="0"/>
        </w:rPr>
      </w:r>
    </w:p>
    <w:p w:rsidR="00000000" w:rsidDel="00000000" w:rsidP="00000000" w:rsidRDefault="00000000" w:rsidRPr="00000000" w14:paraId="0000004E">
      <w:pPr>
        <w:pStyle w:val="Heading2"/>
        <w:keepNext w:val="0"/>
        <w:keepLines w:val="0"/>
        <w:spacing w:after="80" w:lineRule="auto"/>
        <w:jc w:val="both"/>
        <w:rPr>
          <w:b w:val="1"/>
          <w:bCs w:val="1"/>
          <w:sz w:val="24"/>
          <w:szCs w:val="24"/>
        </w:rPr>
      </w:pPr>
      <w:bookmarkStart w:colFirst="0" w:colLast="0" w:name="_1i5bc994akrj" w:id="18"/>
      <w:bookmarkEnd w:id="18"/>
      <w:r w:rsidDel="00000000" w:rsidR="00000000" w:rsidRPr="00000000">
        <w:rPr>
          <w:b w:val="1"/>
          <w:bCs w:val="1"/>
          <w:sz w:val="24"/>
          <w:szCs w:val="24"/>
          <w:rtl w:val="0"/>
        </w:rPr>
        <w:t xml:space="preserve">Recommendation 8: Explicit recognition of Gender-Based Violence and Harassment (GBVH) as a tool of anti-organizing intimidation</w:t>
      </w:r>
    </w:p>
    <w:p w:rsidR="00000000" w:rsidDel="00000000" w:rsidP="00000000" w:rsidRDefault="00000000" w:rsidRPr="00000000" w14:paraId="0000004F">
      <w:pPr>
        <w:spacing w:after="80" w:lineRule="auto"/>
        <w:jc w:val="both"/>
        <w:rPr>
          <w:b w:val="1"/>
          <w:bCs w:val="1"/>
          <w:color w:val="2e5496"/>
        </w:rPr>
      </w:pPr>
      <w:r w:rsidDel="00000000" w:rsidR="00000000" w:rsidRPr="00000000">
        <w:rPr>
          <w:b w:val="1"/>
          <w:bCs w:val="1"/>
          <w:color w:val="2e5496"/>
          <w:rtl w:val="0"/>
        </w:rPr>
        <w:t xml:space="preserve">Relevant paragraphs: 9, 23, 35</w:t>
      </w:r>
    </w:p>
    <w:p w:rsidR="00000000" w:rsidDel="00000000" w:rsidP="00000000" w:rsidRDefault="00000000" w:rsidRPr="00000000" w14:paraId="00000050">
      <w:pPr>
        <w:spacing w:after="80" w:lineRule="auto"/>
        <w:jc w:val="both"/>
        <w:rPr/>
      </w:pPr>
      <w:r w:rsidDel="00000000" w:rsidR="00000000" w:rsidRPr="00000000">
        <w:rPr>
          <w:b w:val="1"/>
          <w:bCs w:val="1"/>
          <w:rtl w:val="0"/>
        </w:rPr>
        <w:t xml:space="preserve">Current gap:</w:t>
      </w:r>
      <w:r w:rsidDel="00000000" w:rsidR="00000000" w:rsidRPr="00000000">
        <w:rPr>
          <w:rtl w:val="0"/>
        </w:rPr>
        <w:t xml:space="preserve"> Paragraph 9 acknowledges the heightened impact of restrictions on women, and Paragraph 35 references States Parties’ obligation to address hostile discourses against associations. However, the draft does not name GBVH as a specific form of intimidation deployed against migrant women who attempt to organize, despite its prevalence and the direct link established by ILO Convention No. 190.</w:t>
      </w:r>
    </w:p>
    <w:p w:rsidR="00000000" w:rsidDel="00000000" w:rsidP="00000000" w:rsidRDefault="00000000" w:rsidRPr="00000000" w14:paraId="00000051">
      <w:pPr>
        <w:spacing w:after="80" w:lineRule="auto"/>
        <w:jc w:val="both"/>
        <w:rPr>
          <w:b w:val="1"/>
          <w:bCs w:val="1"/>
          <w:i w:val="1"/>
          <w:iCs w:val="1"/>
        </w:rPr>
      </w:pPr>
      <w:r w:rsidDel="00000000" w:rsidR="00000000" w:rsidRPr="00000000">
        <w:rPr>
          <w:b w:val="1"/>
          <w:bCs w:val="1"/>
          <w:i w:val="1"/>
          <w:iCs w:val="1"/>
          <w:rtl w:val="0"/>
        </w:rPr>
        <w:t xml:space="preserve">Proposed addition to Paragraph 35 (or new sub-paragraph in Section III):</w:t>
      </w:r>
    </w:p>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after="80" w:lineRule="auto"/>
        <w:ind w:left="720" w:firstLine="0"/>
        <w:jc w:val="both"/>
        <w:rPr>
          <w:i w:val="1"/>
          <w:iCs w:val="1"/>
        </w:rPr>
      </w:pPr>
      <w:r w:rsidDel="00000000" w:rsidR="00000000" w:rsidRPr="00000000">
        <w:rPr>
          <w:i w:val="1"/>
          <w:iCs w:val="1"/>
          <w:rtl w:val="0"/>
        </w:rPr>
        <w:t xml:space="preserve">“Gender-based violence and harassment (GBVH) constitutes a specific and documented form of intimidation against migrant women workers who attempt to exercise their right to freedom of association. In sectors where workers are isolated in private homes or remote worksites, and where their immigration status is controlled by employers, GBVH operates simultaneously as an instrument of labor control and as a barrier to collective organization. States Parties must ensure that legal protections against GBVH in the workplace are explicitly extended to all migrant workers regardless of status, and that GBVH perpetrated in retaliation for organizing activity is subject to effective investigation, sanction, and remedy.”</w:t>
      </w:r>
    </w:p>
    <w:p w:rsidR="00000000" w:rsidDel="00000000" w:rsidP="00000000" w:rsidRDefault="00000000" w:rsidRPr="00000000" w14:paraId="00000053">
      <w:pPr>
        <w:spacing w:after="160" w:before="80" w:lineRule="auto"/>
        <w:jc w:val="both"/>
        <w:rPr/>
      </w:pPr>
      <w:r w:rsidDel="00000000" w:rsidR="00000000" w:rsidRPr="00000000">
        <w:rPr>
          <w:rtl w:val="0"/>
        </w:rPr>
      </w:r>
    </w:p>
    <w:p w:rsidR="00000000" w:rsidDel="00000000" w:rsidP="00000000" w:rsidRDefault="00000000" w:rsidRPr="00000000" w14:paraId="00000054">
      <w:pPr>
        <w:pStyle w:val="Heading1"/>
        <w:keepNext w:val="0"/>
        <w:keepLines w:val="0"/>
        <w:spacing w:before="480" w:lineRule="auto"/>
        <w:jc w:val="both"/>
        <w:rPr>
          <w:b w:val="1"/>
          <w:bCs w:val="1"/>
          <w:sz w:val="24"/>
          <w:szCs w:val="24"/>
        </w:rPr>
      </w:pPr>
      <w:bookmarkStart w:colFirst="0" w:colLast="0" w:name="_o6xxme77zuih" w:id="19"/>
      <w:bookmarkEnd w:id="19"/>
      <w:r w:rsidDel="00000000" w:rsidR="00000000" w:rsidRPr="00000000">
        <w:rPr>
          <w:b w:val="1"/>
          <w:bCs w:val="1"/>
          <w:sz w:val="24"/>
          <w:szCs w:val="24"/>
          <w:rtl w:val="0"/>
        </w:rPr>
        <w:t xml:space="preserve">IV. Conclusion</w:t>
      </w:r>
    </w:p>
    <w:p w:rsidR="00000000" w:rsidDel="00000000" w:rsidP="00000000" w:rsidRDefault="00000000" w:rsidRPr="00000000" w14:paraId="00000055">
      <w:pPr>
        <w:spacing w:after="160" w:lineRule="auto"/>
        <w:jc w:val="both"/>
        <w:rPr/>
      </w:pPr>
      <w:r w:rsidDel="00000000" w:rsidR="00000000" w:rsidRPr="00000000">
        <w:rPr>
          <w:rtl w:val="0"/>
        </w:rPr>
        <w:t xml:space="preserve">The Human Rights Committee has an historic opportunity in General Comment No. 38 to close the gap between the formal guarantee of freedom of association under Article 22 and its substantive denial for millions of migrant women workers worldwide. The structural architecture that produces this denial—employer-tied visas, exclusion from labor codes, criminalized sectors, and the weaponization of deportability—is not incidental. It is a product of deliberate policy choices that intersect with gender, race, and class. </w:t>
      </w:r>
    </w:p>
    <w:p w:rsidR="00000000" w:rsidDel="00000000" w:rsidP="00000000" w:rsidRDefault="00000000" w:rsidRPr="00000000" w14:paraId="00000056">
      <w:pPr>
        <w:spacing w:after="160" w:lineRule="auto"/>
        <w:jc w:val="both"/>
        <w:rPr/>
      </w:pPr>
      <w:r w:rsidDel="00000000" w:rsidR="00000000" w:rsidRPr="00000000">
        <w:rPr>
          <w:rtl w:val="0"/>
        </w:rPr>
        <w:t xml:space="preserve">WIMN urges the Committee to incorporate the nine recommendations above in the second reading of Draft General Comment No. 38. Migrant women workers are not passive victims; they are active organizers, union leaders, and human rights defenders who are being systematically denied the legal conditions necessary to exercise their agency collectively. The General Comment must affirm that this denial is a violation of the Covenant, and must provide the interpretive clarity that advocates, courts, and monitoring bodies need to hold states accountable.</w:t>
      </w:r>
    </w:p>
    <w:p w:rsidR="00000000" w:rsidDel="00000000" w:rsidP="00000000" w:rsidRDefault="00000000" w:rsidRPr="00000000" w14:paraId="00000057">
      <w:pPr>
        <w:spacing w:after="240" w:lineRule="auto"/>
        <w:jc w:val="both"/>
        <w:rPr/>
      </w:pPr>
      <w:r w:rsidDel="00000000" w:rsidR="00000000" w:rsidRPr="00000000">
        <w:rPr>
          <w:rtl w:val="0"/>
        </w:rPr>
        <w:t xml:space="preserve">WIMN remains available to provide additional information, case documentation, or expert testimony to support the Committee’s deliberations.</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after="160" w:before="240" w:lineRule="auto"/>
        <w:jc w:val="both"/>
        <w:rPr/>
      </w:pPr>
      <w:r w:rsidDel="00000000" w:rsidR="00000000" w:rsidRPr="00000000">
        <w:rPr>
          <w:rtl w:val="0"/>
        </w:rPr>
        <w:t xml:space="preserve"> </w:t>
      </w:r>
    </w:p>
    <w:p w:rsidR="00000000" w:rsidDel="00000000" w:rsidP="00000000" w:rsidRDefault="00000000" w:rsidRPr="00000000" w14:paraId="00000059">
      <w:pPr>
        <w:spacing w:after="80" w:lineRule="auto"/>
        <w:rPr>
          <w:b w:val="1"/>
          <w:bCs w:val="1"/>
        </w:rPr>
      </w:pPr>
      <w:r w:rsidDel="00000000" w:rsidR="00000000" w:rsidRPr="00000000">
        <w:rPr>
          <w:b w:val="1"/>
          <w:bCs w:val="1"/>
          <w:rtl w:val="0"/>
        </w:rPr>
        <w:t xml:space="preserve">Submitted by:</w:t>
      </w:r>
    </w:p>
    <w:p w:rsidR="00000000" w:rsidDel="00000000" w:rsidP="00000000" w:rsidRDefault="00000000" w:rsidRPr="00000000" w14:paraId="0000005A">
      <w:pPr>
        <w:spacing w:after="60" w:lineRule="auto"/>
        <w:rPr>
          <w:b w:val="1"/>
          <w:bCs w:val="1"/>
        </w:rPr>
      </w:pPr>
      <w:r w:rsidDel="00000000" w:rsidR="00000000" w:rsidRPr="00000000">
        <w:rPr>
          <w:b w:val="1"/>
          <w:bCs w:val="1"/>
          <w:rtl w:val="0"/>
        </w:rPr>
        <w:t xml:space="preserve">Women in Migration Network (WIMN)</w:t>
      </w:r>
    </w:p>
    <w:p w:rsidR="00000000" w:rsidDel="00000000" w:rsidP="00000000" w:rsidRDefault="00000000" w:rsidRPr="00000000" w14:paraId="0000005B">
      <w:pPr>
        <w:spacing w:after="60" w:lineRule="auto"/>
        <w:rPr/>
      </w:pPr>
      <w:r w:rsidDel="00000000" w:rsidR="00000000" w:rsidRPr="00000000">
        <w:rPr>
          <w:rtl w:val="0"/>
        </w:rPr>
        <w:t xml:space="preserve">In collaboration with</w:t>
      </w:r>
      <w:r w:rsidDel="00000000" w:rsidR="00000000" w:rsidRPr="00000000">
        <w:rPr>
          <w:rtl w:val="0"/>
        </w:rPr>
        <w:t xml:space="preserve">: Solidarity Center, Migrant Workers Association in Bahrain (MWAB)</w:t>
      </w:r>
      <w:r w:rsidDel="00000000" w:rsidR="00000000" w:rsidRPr="00000000">
        <w:rPr>
          <w:rtl w:val="0"/>
        </w:rPr>
        <w:t xml:space="preserve"> and International Domestic Workers Federation (IDWF)</w:t>
      </w:r>
    </w:p>
    <w:p w:rsidR="00000000" w:rsidDel="00000000" w:rsidP="00000000" w:rsidRDefault="00000000" w:rsidRPr="00000000" w14:paraId="0000005C">
      <w:pPr>
        <w:spacing w:after="60" w:lineRule="auto"/>
        <w:rPr>
          <w:i w:val="1"/>
          <w:iCs w:val="1"/>
        </w:rPr>
      </w:pPr>
      <w:r w:rsidDel="00000000" w:rsidR="00000000" w:rsidRPr="00000000">
        <w:rPr>
          <w:i w:val="1"/>
          <w:iCs w:val="1"/>
          <w:rtl w:val="0"/>
        </w:rPr>
        <w:t xml:space="preserve">Submitted ahead of the 146th Session of the Human Rights Committee – Second Reading of Draft General Comment No. 38</w:t>
      </w:r>
    </w:p>
    <w:p w:rsidR="00000000" w:rsidDel="00000000" w:rsidP="00000000" w:rsidRDefault="00000000" w:rsidRPr="00000000" w14:paraId="0000005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E">
      <w:pPr>
        <w:spacing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rFonts w:ascii="Roboto" w:cs="Roboto" w:eastAsia="Roboto" w:hAnsi="Roboto"/>
            <w:color w:val="0b57d0"/>
            <w:sz w:val="17"/>
            <w:szCs w:val="17"/>
            <w:highlight w:val="white"/>
            <w:rtl w:val="0"/>
          </w:rPr>
          <w:t xml:space="preserve">https://www.freemalaysiatoday.com/category/nation/2026/05/20/8-nabbed-in-ros-raid-on-unregstered-society-in-perai</w:t>
        </w:r>
      </w:hyperlink>
      <w:r w:rsidDel="00000000" w:rsidR="00000000" w:rsidRPr="00000000">
        <w:rPr>
          <w:rFonts w:ascii="Roboto" w:cs="Roboto" w:eastAsia="Roboto" w:hAnsi="Roboto"/>
          <w:color w:val="444746"/>
          <w:sz w:val="17"/>
          <w:szCs w:val="17"/>
          <w:highlight w:val="white"/>
          <w:rtl w:val="0"/>
        </w:rPr>
        <w:t xml:space="preserve"> this the last month case one of Indonesian migrant worker unregister association arrested by department of registra society. Registra society in Malaysia is required 7-Malaysia Citizen</w:t>
      </w:r>
      <w:r w:rsidDel="00000000" w:rsidR="00000000" w:rsidRPr="00000000">
        <w:rPr>
          <w:sz w:val="16"/>
          <w:szCs w:val="16"/>
          <w:rtl w:val="0"/>
        </w:rPr>
        <w:t xml:space="preserve"> </w:t>
      </w:r>
    </w:p>
  </w:footnote>
  <w:footnote w:id="1">
    <w:p w:rsidR="00000000" w:rsidDel="00000000" w:rsidP="00000000" w:rsidRDefault="00000000" w:rsidRPr="00000000" w14:paraId="0000005F">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The data firewall principle is already endorsed, in substance, by existing global migration frameworks. Global Compact for Safe, Orderly and Regular Migration (GCM), Objective 15, commits States to develop non-discriminatory policies ensuring migrants’ access to basic services and rights “regardless of their migration status,” and to remove legal and practical barriers that prevent migrants from fully exercising their human rights (A/RES/73/195, para. 29). The Committee on the Protection of the Rights of All Migrant Workers and Members of Their Families (CMW), including in its joint general comments with the Committee on the Rights of the Child on the human rights of children in the context of international migration (2017), has likewise called on States to prohibit the sharing of data collected for service-provision or protection purposes with immigration enforcement authorities. WIMN submits that General Comment No. 38 should make this firewall principle explicit and binding in the specific context of Article 22, building on this existing normative basis.</w:t>
      </w:r>
    </w:p>
    <w:p w:rsidR="00000000" w:rsidDel="00000000" w:rsidP="00000000" w:rsidRDefault="00000000" w:rsidRPr="00000000" w14:paraId="00000060">
      <w:pPr>
        <w:spacing w:line="240" w:lineRule="auto"/>
        <w:rPr>
          <w:sz w:val="20"/>
          <w:szCs w:val="20"/>
        </w:rPr>
      </w:pPr>
      <w:r w:rsidDel="00000000" w:rsidR="00000000" w:rsidRPr="00000000">
        <w:rPr>
          <w:rtl w:val="0"/>
        </w:rPr>
      </w:r>
    </w:p>
  </w:footnote>
  <w:footnote w:id="2">
    <w:p w:rsidR="00000000" w:rsidDel="00000000" w:rsidP="00000000" w:rsidRDefault="00000000" w:rsidRPr="00000000" w14:paraId="0000006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Labour inspection of private households raises a recognized tension with the right to privacy of household members, which has historically been used to place domestic work outside the reach of labour law enforcement. The ILO Domestic Workers Convention, 2011 (No. 189), Article 17, addresses this directly: it requires States to establish effective and accessible complaint mechanisms and measures, including labour inspection, to ensure compliance with national laws for the protection of domestic workers, while developing inspection modalities, consistent with national law, that have due regard for the privacy of the household. ILO Convention No. 190 on Violence and Harassment, 2019, further requires States to ensure effective compliance and enforcement mechanisms, including through labour inspectorates, applicable to all sectors, public and private, formal and informal economy, and urban and rural areas. WIMN submits that General Comment No. 38 should affirm that the private character of a workplace cannot, by itself, place it beyond the reach of mechanisms protecting freedom of association, while recognizing that inspection modalities for private households must be designed to balance worker protection with the privacy interests recognized under C189.</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hyperlink" Target="https://womeninmigration.org/org-members-and-observer-orgs/" TargetMode="External"/><Relationship Id="rId3"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customXml" Target="../customXml/item2.xml"/><Relationship Id="rId5" Type="http://schemas.openxmlformats.org/officeDocument/2006/relationships/numbering" Target="numbering.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hyperlink" Target="https://womeninmigration.org/org-members-and-observer-org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www.freemalaysiatoday.com/category/nation/2026/05/20/8-nabbed-in-ros-raid-on-unregstered-society-in-p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42FFBD4A-2D0F-4EF0-ACD4-0A90EC6FA5D0}"/>
</file>

<file path=customXml/itemProps2.xml><?xml version="1.0" encoding="utf-8"?>
<ds:datastoreItem xmlns:ds="http://schemas.openxmlformats.org/officeDocument/2006/customXml" ds:itemID="{58C0B106-BB39-43CA-A457-7CCC5FF07DE4}"/>
</file>

<file path=customXml/itemProps3.xml><?xml version="1.0" encoding="utf-8"?>
<ds:datastoreItem xmlns:ds="http://schemas.openxmlformats.org/officeDocument/2006/customXml" ds:itemID="{AAE24C28-D374-45BF-84B1-492010F6A0DF}"/>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