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B4BCF" w14:textId="41C7278D" w:rsidR="00E62E07" w:rsidRDefault="00E62E07" w:rsidP="00E62E07">
      <w:pPr>
        <w:jc w:val="right"/>
      </w:pPr>
      <w:r>
        <w:t xml:space="preserve">Ecuador, </w:t>
      </w:r>
      <w:r w:rsidR="00EC2BE7">
        <w:t>03</w:t>
      </w:r>
      <w:r>
        <w:t xml:space="preserve"> de julio de 2026  </w:t>
      </w:r>
    </w:p>
    <w:p w14:paraId="0EB807B7" w14:textId="77777777" w:rsidR="00E62E07" w:rsidRDefault="00E62E07" w:rsidP="00E62E07"/>
    <w:p w14:paraId="10104150" w14:textId="326EFAB3" w:rsidR="00E62E07" w:rsidRDefault="00E62E07" w:rsidP="00E62E07">
      <w:pPr>
        <w:spacing w:after="0"/>
      </w:pPr>
      <w:r>
        <w:t> </w:t>
      </w:r>
    </w:p>
    <w:p w14:paraId="37C026E7" w14:textId="1820C6E3" w:rsidR="00E62E07" w:rsidRPr="00E62E07" w:rsidRDefault="0052706E" w:rsidP="00E62E07">
      <w:pPr>
        <w:spacing w:after="0"/>
        <w:rPr>
          <w:b/>
          <w:bCs/>
        </w:rPr>
      </w:pPr>
      <w:r>
        <w:rPr>
          <w:b/>
          <w:bCs/>
        </w:rPr>
        <w:t>Comité de Derechos Humanos de Naciones Unidas</w:t>
      </w:r>
    </w:p>
    <w:p w14:paraId="61A13A24" w14:textId="77777777" w:rsidR="00E62E07" w:rsidRDefault="00E62E07" w:rsidP="00E62E07">
      <w:pPr>
        <w:spacing w:after="0"/>
      </w:pPr>
      <w:r>
        <w:t xml:space="preserve">Presente. -   </w:t>
      </w:r>
    </w:p>
    <w:p w14:paraId="548498F6" w14:textId="52D7E8D8" w:rsidR="00E62E07" w:rsidRDefault="00E62E07" w:rsidP="00E62E07"/>
    <w:p w14:paraId="7DECF562" w14:textId="0E5B8079" w:rsidR="00E62E07" w:rsidRPr="00A935AC" w:rsidRDefault="00E62E07" w:rsidP="00E62E07">
      <w:pPr>
        <w:ind w:left="2124"/>
        <w:jc w:val="right"/>
        <w:rPr>
          <w:b/>
          <w:bCs/>
          <w:i/>
          <w:iCs/>
        </w:rPr>
      </w:pPr>
      <w:r w:rsidRPr="00A935AC">
        <w:rPr>
          <w:b/>
          <w:bCs/>
          <w:i/>
          <w:iCs/>
        </w:rPr>
        <w:t xml:space="preserve">Ref: Contribución al </w:t>
      </w:r>
      <w:r w:rsidR="0072322A" w:rsidRPr="00A935AC">
        <w:rPr>
          <w:b/>
          <w:bCs/>
          <w:i/>
          <w:iCs/>
        </w:rPr>
        <w:t>borrador del Comentario General Nro. 38 del artículo 22 (el derecho a la libertad de asociación)</w:t>
      </w:r>
      <w:r w:rsidR="00743467" w:rsidRPr="00A935AC">
        <w:rPr>
          <w:b/>
          <w:bCs/>
          <w:i/>
          <w:iCs/>
        </w:rPr>
        <w:t xml:space="preserve"> del </w:t>
      </w:r>
      <w:r w:rsidR="008619F4" w:rsidRPr="00A935AC">
        <w:rPr>
          <w:b/>
          <w:bCs/>
          <w:i/>
          <w:iCs/>
        </w:rPr>
        <w:t xml:space="preserve">Pacto Internacional de Derechos </w:t>
      </w:r>
      <w:r w:rsidR="00A935AC" w:rsidRPr="00A935AC">
        <w:rPr>
          <w:b/>
          <w:bCs/>
          <w:i/>
          <w:iCs/>
        </w:rPr>
        <w:t>Civiles y Políticos</w:t>
      </w:r>
      <w:r w:rsidRPr="00A935AC">
        <w:rPr>
          <w:b/>
          <w:bCs/>
          <w:i/>
          <w:iCs/>
        </w:rPr>
        <w:t xml:space="preserve">  </w:t>
      </w:r>
    </w:p>
    <w:p w14:paraId="068EBB39" w14:textId="77777777" w:rsidR="00E62E07" w:rsidRDefault="00E62E07" w:rsidP="00E62E07"/>
    <w:p w14:paraId="2458B329" w14:textId="3A5F6C70" w:rsidR="00E62E07" w:rsidRDefault="00E62E07" w:rsidP="00E62E07">
      <w:r>
        <w:t xml:space="preserve">  </w:t>
      </w:r>
    </w:p>
    <w:p w14:paraId="79DDFF96" w14:textId="77777777" w:rsidR="00E62E07" w:rsidRDefault="00E62E07" w:rsidP="00E62E07">
      <w:r>
        <w:t xml:space="preserve">Distinguido Comité,  </w:t>
      </w:r>
    </w:p>
    <w:p w14:paraId="278087A6" w14:textId="67200378" w:rsidR="00E62E07" w:rsidRDefault="00E62E07" w:rsidP="00A935AC">
      <w:pPr>
        <w:jc w:val="both"/>
      </w:pPr>
    </w:p>
    <w:p w14:paraId="2D23E5BA" w14:textId="158C9E02" w:rsidR="00E62E07" w:rsidRDefault="00E62E07" w:rsidP="00A935AC">
      <w:pPr>
        <w:jc w:val="both"/>
      </w:pPr>
      <w:r>
        <w:t xml:space="preserve">Reciba un cordial saludo por parte de la Fundación Regional de Asesoría en Derechos Humanos - INREDH, organismo no gubernamental reconocido por el gobierno ecuatoriano mediante Acuerdo Ministerial No. 577 de 28 de septiembre de 1993. Como organización, llevamos 32 años promoviendo y exigiendo el respeto y garantía de los derechos humanos a través del acompañamiento de casos y litigio estratégico a nivel nacional e internacional, mediante nuestras líneas de trabajo: graves violaciones de derechos humanos, defensoras y defensores, y pueblos indígenas y territorio.  </w:t>
      </w:r>
    </w:p>
    <w:p w14:paraId="5C1A07E2" w14:textId="11AC4327" w:rsidR="009F5F14" w:rsidRDefault="00E62E07" w:rsidP="00A935AC">
      <w:pPr>
        <w:jc w:val="both"/>
      </w:pPr>
      <w:r>
        <w:t>En el marco de la convocatoria de contribuciones al</w:t>
      </w:r>
      <w:r w:rsidR="00A935AC" w:rsidRPr="00A935AC">
        <w:t xml:space="preserve"> borrador del </w:t>
      </w:r>
      <w:r w:rsidR="00A935AC" w:rsidRPr="00A935AC">
        <w:rPr>
          <w:i/>
          <w:iCs/>
        </w:rPr>
        <w:t>Comentario General Nro. 38 del artículo 22 (el derecho a la libertad de asociación) del Pacto Internacional de Derechos Civiles y Políticos</w:t>
      </w:r>
      <w:r w:rsidR="00A935AC">
        <w:t xml:space="preserve">, </w:t>
      </w:r>
      <w:r>
        <w:t>entregamos información esencial para identificar tendencias y cuestiones específicas y relevantes en Ecuador. </w:t>
      </w:r>
    </w:p>
    <w:p w14:paraId="3BD14A66" w14:textId="6CD3DDE8" w:rsidR="00A935AC" w:rsidRDefault="007231D2" w:rsidP="003B048D">
      <w:pPr>
        <w:pStyle w:val="ListParagraph"/>
        <w:numPr>
          <w:ilvl w:val="0"/>
          <w:numId w:val="1"/>
        </w:numPr>
        <w:jc w:val="both"/>
        <w:rPr>
          <w:b/>
          <w:bCs/>
        </w:rPr>
      </w:pPr>
      <w:r w:rsidRPr="30E06722">
        <w:rPr>
          <w:b/>
          <w:bCs/>
        </w:rPr>
        <w:t>Tendencias específicas y relevantes</w:t>
      </w:r>
      <w:r w:rsidR="1AFA60AB" w:rsidRPr="30E06722">
        <w:rPr>
          <w:b/>
          <w:bCs/>
        </w:rPr>
        <w:t xml:space="preserve"> en Ecuador</w:t>
      </w:r>
      <w:r w:rsidRPr="30E06722">
        <w:rPr>
          <w:b/>
          <w:bCs/>
        </w:rPr>
        <w:t xml:space="preserve"> relacionadas al borrador del Comentario General Nro. 38</w:t>
      </w:r>
    </w:p>
    <w:p w14:paraId="7D2A0FF6" w14:textId="70E2FD5C" w:rsidR="30E06722" w:rsidRDefault="30E06722" w:rsidP="30E06722">
      <w:pPr>
        <w:pStyle w:val="ListParagraph"/>
        <w:jc w:val="both"/>
        <w:rPr>
          <w:b/>
          <w:bCs/>
        </w:rPr>
      </w:pPr>
    </w:p>
    <w:p w14:paraId="1E01143D" w14:textId="51D3A23D" w:rsidR="007231D2" w:rsidRDefault="006E5895" w:rsidP="007231D2">
      <w:pPr>
        <w:pStyle w:val="ListParagraph"/>
        <w:numPr>
          <w:ilvl w:val="1"/>
          <w:numId w:val="1"/>
        </w:numPr>
        <w:ind w:firstLine="556"/>
        <w:jc w:val="both"/>
        <w:rPr>
          <w:b/>
          <w:bCs/>
        </w:rPr>
      </w:pPr>
      <w:r w:rsidRPr="30E06722">
        <w:rPr>
          <w:b/>
          <w:bCs/>
        </w:rPr>
        <w:t xml:space="preserve">Párr. 9: </w:t>
      </w:r>
      <w:r w:rsidR="00DA0B16" w:rsidRPr="30E06722">
        <w:rPr>
          <w:b/>
          <w:bCs/>
        </w:rPr>
        <w:t xml:space="preserve">Impacto </w:t>
      </w:r>
      <w:r w:rsidR="0037721F" w:rsidRPr="30E06722">
        <w:rPr>
          <w:b/>
          <w:bCs/>
        </w:rPr>
        <w:t>diferenciado y agravado a mujeres defensoras de derecho</w:t>
      </w:r>
      <w:r w:rsidR="003F6FB3" w:rsidRPr="30E06722">
        <w:rPr>
          <w:b/>
          <w:bCs/>
        </w:rPr>
        <w:t xml:space="preserve"> </w:t>
      </w:r>
      <w:r w:rsidR="0037721F" w:rsidRPr="30E06722">
        <w:rPr>
          <w:b/>
          <w:bCs/>
        </w:rPr>
        <w:t>a humanos, mujeres líderes indí</w:t>
      </w:r>
      <w:r w:rsidR="003F6FB3" w:rsidRPr="30E06722">
        <w:rPr>
          <w:b/>
          <w:bCs/>
        </w:rPr>
        <w:t>genas, y defensores de derechos ambientales y de la tierra.</w:t>
      </w:r>
      <w:r w:rsidR="0037721F" w:rsidRPr="30E06722">
        <w:rPr>
          <w:b/>
          <w:bCs/>
        </w:rPr>
        <w:t xml:space="preserve"> </w:t>
      </w:r>
    </w:p>
    <w:p w14:paraId="1DA59748" w14:textId="4812511E" w:rsidR="759D4475" w:rsidRDefault="33EBEB7B" w:rsidP="5CAFC387">
      <w:pPr>
        <w:spacing w:line="276" w:lineRule="auto"/>
        <w:jc w:val="both"/>
      </w:pPr>
      <w:r>
        <w:t xml:space="preserve">Desde nuestra experiencia </w:t>
      </w:r>
      <w:r w:rsidR="5F4A289E">
        <w:t>como organizaci</w:t>
      </w:r>
      <w:r w:rsidR="1D90843E">
        <w:t>ón</w:t>
      </w:r>
      <w:r w:rsidR="5F4A289E">
        <w:t xml:space="preserve"> de derechos humanos dedicada al acompañamiento, monitoreo y vigilancia de la </w:t>
      </w:r>
      <w:r w:rsidR="11C0AB40">
        <w:t xml:space="preserve">situación de personas defensoras de derechos humanos en Ecuador, </w:t>
      </w:r>
      <w:r w:rsidR="0447165C">
        <w:t xml:space="preserve">consideramos indispensable añadir en el párrafo de referencia </w:t>
      </w:r>
      <w:r w:rsidR="15E999D4">
        <w:t xml:space="preserve">los impactos derivados del cierre del espacio cívico </w:t>
      </w:r>
      <w:r w:rsidR="06ABADA1">
        <w:t xml:space="preserve">desde un aspecto integral que permita identificar las afectaciones en tres niveles: individual, familiar y social. Este enfoque permite comprender que las restricciones al espacio cívico no solo afectan el ejercicio de la </w:t>
      </w:r>
      <w:r w:rsidR="353E6CDD">
        <w:t>l</w:t>
      </w:r>
      <w:r w:rsidR="0214DF00">
        <w:t>abor de estos grupos de personas, sino que genera</w:t>
      </w:r>
      <w:r w:rsidR="48B2E8B7">
        <w:t xml:space="preserve">n </w:t>
      </w:r>
      <w:r w:rsidR="0214DF00">
        <w:t xml:space="preserve">consecuencias que trascienden la esfera </w:t>
      </w:r>
      <w:r w:rsidR="193AB201">
        <w:t>personal</w:t>
      </w:r>
      <w:r w:rsidR="0214DF00">
        <w:t xml:space="preserve"> y repercuten en las familias, las organizaciones y las comunidades.</w:t>
      </w:r>
    </w:p>
    <w:p w14:paraId="2FCDA436" w14:textId="1B43AAB3" w:rsidR="0014214F" w:rsidRDefault="00993BA5" w:rsidP="759D4475">
      <w:pPr>
        <w:jc w:val="both"/>
      </w:pPr>
      <w:r>
        <w:lastRenderedPageBreak/>
        <w:t>La información que se presenta a continuación se fundamenta en los casos que hemos acompañado y d</w:t>
      </w:r>
      <w:r w:rsidR="00BF38A3">
        <w:t xml:space="preserve">ocumentado en el ejercicio de </w:t>
      </w:r>
      <w:r w:rsidR="49D44101">
        <w:t>nuestras</w:t>
      </w:r>
      <w:r w:rsidR="00BF38A3">
        <w:t xml:space="preserve"> labores de observación y defensa de derechos humanos.</w:t>
      </w:r>
    </w:p>
    <w:p w14:paraId="269EB223" w14:textId="1C8DEE30" w:rsidR="00913A90" w:rsidRDefault="00913A90" w:rsidP="759D4475">
      <w:pPr>
        <w:jc w:val="both"/>
      </w:pPr>
      <w:r>
        <w:t xml:space="preserve">En primer lugar, la reducción del espacio cívico en el Ecuador se ha materializado mediante diversas medidas estatales que restringen derechos fundamentales, </w:t>
      </w:r>
      <w:r w:rsidR="00E117BF">
        <w:t>particularmente</w:t>
      </w:r>
      <w:r w:rsidR="25718C87">
        <w:t xml:space="preserve"> la libertad de expresión, la libertad de asociación y el derecho a la protesta pacífica. Entre las principales medidas identificadas se encuentran: </w:t>
      </w:r>
    </w:p>
    <w:p w14:paraId="77074A30" w14:textId="2434A113" w:rsidR="00913A90" w:rsidRDefault="25718C87" w:rsidP="00EC2058">
      <w:pPr>
        <w:pStyle w:val="ListParagraph"/>
        <w:numPr>
          <w:ilvl w:val="0"/>
          <w:numId w:val="5"/>
        </w:numPr>
        <w:jc w:val="both"/>
      </w:pPr>
      <w:r>
        <w:t xml:space="preserve">La creación e </w:t>
      </w:r>
      <w:r w:rsidR="4A4126E5">
        <w:t>implementación</w:t>
      </w:r>
      <w:r>
        <w:t xml:space="preserve"> de la </w:t>
      </w:r>
      <w:r w:rsidR="00D63530">
        <w:t>Ley de Transparencia Social</w:t>
      </w:r>
      <w:r>
        <w:t xml:space="preserve">, normativa </w:t>
      </w:r>
      <w:r w:rsidR="27F8EF46">
        <w:t>que reproduce</w:t>
      </w:r>
      <w:r>
        <w:t xml:space="preserve"> el discurso estigmatizante hacia las organizaciones de la sociedad civil al asociarlas con el financiamiento ilícito, el lavado de activos y la corrupción, al tiempo que estable</w:t>
      </w:r>
      <w:r w:rsidR="07AE281B">
        <w:t>ce mecanismos de control desproporcionados sobre su existencia</w:t>
      </w:r>
      <w:r w:rsidR="58E7BA68">
        <w:t>, funcionamiento y financiamiento</w:t>
      </w:r>
      <w:r w:rsidR="00D31D81">
        <w:rPr>
          <w:rStyle w:val="FootnoteReference"/>
        </w:rPr>
        <w:footnoteReference w:id="1"/>
      </w:r>
      <w:r w:rsidR="58E7BA68">
        <w:t>;</w:t>
      </w:r>
    </w:p>
    <w:p w14:paraId="749105EE" w14:textId="727D97F1" w:rsidR="00913A90" w:rsidRDefault="1B7D8E12" w:rsidP="00E117BF">
      <w:pPr>
        <w:pStyle w:val="ListParagraph"/>
        <w:numPr>
          <w:ilvl w:val="0"/>
          <w:numId w:val="5"/>
        </w:numPr>
        <w:jc w:val="both"/>
      </w:pPr>
      <w:r>
        <w:t>El asesinato a cinco periodistas en el periodo de 2025, en hechos relacionados con coberturas realizadas en territorios afectados por la violencia</w:t>
      </w:r>
      <w:r w:rsidR="00A73DCF">
        <w:rPr>
          <w:rStyle w:val="FootnoteReference"/>
        </w:rPr>
        <w:footnoteReference w:id="2"/>
      </w:r>
      <w:r>
        <w:t>;</w:t>
      </w:r>
    </w:p>
    <w:p w14:paraId="6C0CA913" w14:textId="1FBD737B" w:rsidR="00707CFC" w:rsidRDefault="3EDAD1AC" w:rsidP="00A17968">
      <w:pPr>
        <w:pStyle w:val="ListParagraph"/>
        <w:numPr>
          <w:ilvl w:val="0"/>
          <w:numId w:val="5"/>
        </w:numPr>
        <w:jc w:val="both"/>
      </w:pPr>
      <w:r>
        <w:t>El congelamiento de las cuentas bancarias de líderes sociales e indígenas que participaron en las jornadas de movilización de septiembre y octubre de 2025, así como de organizaciones dedicadas a la defensa de derechos ambientales. Por ejemplo, la UNORCAC organización cuyas cuentas fueron bloqueadas por su presencia en las movilizaciones de 2025</w:t>
      </w:r>
      <w:r w:rsidR="511FEE8A">
        <w:t>, y quienes han sido perseguidos administrat</w:t>
      </w:r>
      <w:r w:rsidR="3865578E">
        <w:t xml:space="preserve">iva y penalmente </w:t>
      </w:r>
      <w:r w:rsidR="511FEE8A">
        <w:t>por su lucha por los derechos colectivos y territorio</w:t>
      </w:r>
      <w:r w:rsidR="00A17968">
        <w:rPr>
          <w:rStyle w:val="FootnoteReference"/>
        </w:rPr>
        <w:footnoteReference w:id="3"/>
      </w:r>
      <w:r w:rsidR="3865578E">
        <w:t>, y l</w:t>
      </w:r>
      <w:r w:rsidR="299159C1">
        <w:t xml:space="preserve">a Fundación </w:t>
      </w:r>
      <w:r>
        <w:t xml:space="preserve">Pachamama </w:t>
      </w:r>
      <w:r w:rsidRPr="00312A25">
        <w:t>denunció</w:t>
      </w:r>
      <w:r w:rsidR="299159C1" w:rsidRPr="00312A25">
        <w:t xml:space="preserve"> el congelamiento de sus cuentas</w:t>
      </w:r>
      <w:r w:rsidR="43049774">
        <w:t xml:space="preserve">, mismas que fueron liberadas </w:t>
      </w:r>
      <w:r>
        <w:t xml:space="preserve">dos meses después. </w:t>
      </w:r>
      <w:r w:rsidR="55016B04" w:rsidRPr="00533229">
        <w:t>No obstante, denunciaron que se había iniciado un proceso penal en su contra</w:t>
      </w:r>
      <w:r w:rsidR="22A6318B">
        <w:t>, particularmente a su presidenta</w:t>
      </w:r>
      <w:r w:rsidR="00020855">
        <w:rPr>
          <w:rStyle w:val="FootnoteReference"/>
        </w:rPr>
        <w:footnoteReference w:id="4"/>
      </w:r>
      <w:r w:rsidR="22A6318B">
        <w:t>;</w:t>
      </w:r>
    </w:p>
    <w:p w14:paraId="27E08B2E" w14:textId="19E277FA" w:rsidR="00913A90" w:rsidRDefault="1B7D8E12" w:rsidP="00E117BF">
      <w:pPr>
        <w:pStyle w:val="ListParagraph"/>
        <w:numPr>
          <w:ilvl w:val="0"/>
          <w:numId w:val="5"/>
        </w:numPr>
        <w:jc w:val="both"/>
      </w:pPr>
      <w:r>
        <w:t>El asesinato de la activista Monika Silva, quien había denunciado reiteradamente hechos de corrupción, irregularidades administrativas y afectaciones ambientales.</w:t>
      </w:r>
      <w:r w:rsidR="00E117BF">
        <w:rPr>
          <w:rStyle w:val="FootnoteReference"/>
        </w:rPr>
        <w:footnoteReference w:id="5"/>
      </w:r>
    </w:p>
    <w:p w14:paraId="04336707" w14:textId="7E7488D5" w:rsidR="00E117BF" w:rsidRDefault="00E117BF" w:rsidP="00E117BF">
      <w:pPr>
        <w:jc w:val="both"/>
      </w:pPr>
      <w:r>
        <w:t>A ello se suma el uso excesivo de la fuerza en el contexto de las manifestaciones sociales. Durante el Paro Nacional 2025</w:t>
      </w:r>
      <w:r w:rsidR="00F227EC">
        <w:t xml:space="preserve"> se registró la muerte de cuatro personas pertenecientes a comunidades indígenas como consecuencia de la actuación de las fuerzas estatales de seguridad. Asimismo, organizaciones internacionales de derechos humanos documentaron el empleo desproporcionado de la fuerza, detenciones arbitrarias, actos de hostigamiento contra </w:t>
      </w:r>
      <w:r w:rsidR="00F227EC">
        <w:lastRenderedPageBreak/>
        <w:t>personas defensoras y líderes sociales, así como otras formas de criminalización de la protesta</w:t>
      </w:r>
      <w:r w:rsidR="00852182">
        <w:t xml:space="preserve"> y libertad de asociación.</w:t>
      </w:r>
    </w:p>
    <w:p w14:paraId="6F5CEB87" w14:textId="3D41BD5C" w:rsidR="00852182" w:rsidRDefault="00F00667" w:rsidP="00E117BF">
      <w:pPr>
        <w:jc w:val="both"/>
      </w:pPr>
      <w:r>
        <w:t xml:space="preserve">En este contexto, resulta evidente que las personas defensoras de derechos humanos, las mujeres defensoras, las personas defensoras del ambiente y de la tierra, así como los y las líderes indígenas, constituyen grupos especialmente expuestos a los efectos de las restricciones e injerencias sobre el espacio público. </w:t>
      </w:r>
    </w:p>
    <w:p w14:paraId="7617187F" w14:textId="707B1293" w:rsidR="00913A90" w:rsidRDefault="4FA770D5" w:rsidP="00250C1A">
      <w:pPr>
        <w:jc w:val="both"/>
      </w:pPr>
      <w:r>
        <w:t xml:space="preserve">En el plano individual, estas medidas generan una limitación total o parcial del ejercicio de su labor de defensa y representación en la comunidad. </w:t>
      </w:r>
      <w:r w:rsidR="370CE753">
        <w:t xml:space="preserve">Asimismo, producen un fenómeno de </w:t>
      </w:r>
      <w:r w:rsidR="370CE753" w:rsidRPr="168BB7AF">
        <w:rPr>
          <w:b/>
          <w:bCs/>
          <w:i/>
          <w:iCs/>
        </w:rPr>
        <w:t>autocensura</w:t>
      </w:r>
      <w:r w:rsidR="58C14B10" w:rsidRPr="168BB7AF">
        <w:rPr>
          <w:b/>
          <w:bCs/>
          <w:i/>
          <w:iCs/>
        </w:rPr>
        <w:t xml:space="preserve"> o</w:t>
      </w:r>
      <w:r w:rsidR="370CE753" w:rsidRPr="168BB7AF">
        <w:rPr>
          <w:b/>
          <w:bCs/>
          <w:i/>
          <w:iCs/>
        </w:rPr>
        <w:t xml:space="preserve"> chilling effect,</w:t>
      </w:r>
      <w:r w:rsidR="370CE753">
        <w:t xml:space="preserve"> mediante el cual las personas defensoras restringen</w:t>
      </w:r>
      <w:r w:rsidR="2CE0285F">
        <w:t xml:space="preserve"> parcialmente</w:t>
      </w:r>
      <w:r w:rsidR="370CE753">
        <w:t xml:space="preserve"> o suspenden completamente sus actividades, tanto en espacio</w:t>
      </w:r>
      <w:r w:rsidR="274B26BC">
        <w:t>s</w:t>
      </w:r>
      <w:r w:rsidR="370CE753">
        <w:t xml:space="preserve"> físicos como digitales, </w:t>
      </w:r>
      <w:r w:rsidR="4FC0B7B8">
        <w:t>debido a</w:t>
      </w:r>
      <w:r w:rsidR="370CE753">
        <w:t xml:space="preserve">l temor a recibir represalias. </w:t>
      </w:r>
      <w:r w:rsidR="58C14B10">
        <w:t xml:space="preserve">Este efecto inhibidor deriva del riesgo permanente de ser objeto de detenciones arbitraras, procesos de criminalización y judicialización, campañas de estigmatización, amenazas, actos de vigilancia, violencia o cualquier otra forma de represalia relacionada con el ejercicio legítimo de la defensa de los derechos </w:t>
      </w:r>
      <w:r w:rsidR="72D8AE7B">
        <w:t>humanos, derechos colectivos, de territorio o ambiente.</w:t>
      </w:r>
      <w:r w:rsidR="58C14B10">
        <w:t xml:space="preserve"> </w:t>
      </w:r>
    </w:p>
    <w:p w14:paraId="76B811DC" w14:textId="2271BA64" w:rsidR="00B3371E" w:rsidRDefault="155267D0" w:rsidP="00250C1A">
      <w:pPr>
        <w:jc w:val="both"/>
      </w:pPr>
      <w:r>
        <w:t>En ese sentido, como el ataque a las personas defensoras de derechos humanos</w:t>
      </w:r>
      <w:r w:rsidR="0DA74B27">
        <w:t>, colectivos y territorios</w:t>
      </w:r>
      <w:r w:rsidR="3E780152">
        <w:t xml:space="preserve"> busca no solo </w:t>
      </w:r>
      <w:r w:rsidR="79E8B20A">
        <w:t xml:space="preserve">afectar de forma individual al defensor. Sino desarticular procesos organizativos completos. </w:t>
      </w:r>
      <w:r w:rsidR="438D7075">
        <w:t xml:space="preserve">Es importante analizar los impactos de diferenciados </w:t>
      </w:r>
      <w:r w:rsidR="045F5617">
        <w:t>en la dimensión</w:t>
      </w:r>
      <w:r w:rsidR="438D7075">
        <w:t xml:space="preserve"> </w:t>
      </w:r>
      <w:r w:rsidR="4B332566">
        <w:t xml:space="preserve">familiar y </w:t>
      </w:r>
      <w:r w:rsidR="24B9234A">
        <w:t xml:space="preserve">comunitaria. </w:t>
      </w:r>
    </w:p>
    <w:p w14:paraId="33691EF3" w14:textId="7B1F267C" w:rsidR="063E69E2" w:rsidRDefault="063E69E2" w:rsidP="168BB7AF">
      <w:pPr>
        <w:jc w:val="both"/>
      </w:pPr>
      <w:r>
        <w:t>En el plano familia</w:t>
      </w:r>
      <w:r w:rsidR="1DB88FDA">
        <w:t>r</w:t>
      </w:r>
      <w:r>
        <w:t>, las afectaciones derivadas</w:t>
      </w:r>
      <w:r w:rsidR="6B3B8A3D">
        <w:t xml:space="preserve"> del cierre del espacio cívico trascienden a la persona defensora y repercuten directamente en su núcleo familias. En ese sentido, las amenazas, vigilancia y hostigamiento </w:t>
      </w:r>
      <w:r w:rsidR="11780FF4">
        <w:t xml:space="preserve">generan un entorno de incertidumbre, miedo e inseguridad para sus familiares, quienes también pueden convertirse en objeto de hostigamiento o intimidación. Esta situación altera las dinámicas familiares, afecta el bienestar emocional y psicológico de sus </w:t>
      </w:r>
      <w:r w:rsidR="6F92F6C2">
        <w:t>integrantes</w:t>
      </w:r>
      <w:r w:rsidR="11780FF4">
        <w:t xml:space="preserve">, así como </w:t>
      </w:r>
      <w:r w:rsidR="733F232A">
        <w:t xml:space="preserve">debilita los tejidos familiares que obliga a modificar rutinas para preservar la seguridad. A ello se suma igualmente el aspecto económico, es decir, </w:t>
      </w:r>
      <w:r w:rsidR="2A0BA27D">
        <w:t>las consecuencias derivadas de procesos judiciales, la pérdida de fuentes de ingresos o la imposibilidad de continuar desarrollando actividades de liderezgo de defensa de derechos.</w:t>
      </w:r>
    </w:p>
    <w:p w14:paraId="6EC387CE" w14:textId="2C4F9F46" w:rsidR="45CA4689" w:rsidRDefault="45CA4689" w:rsidP="168BB7AF">
      <w:pPr>
        <w:jc w:val="both"/>
        <w:rPr>
          <w:b/>
          <w:bCs/>
          <w:i/>
          <w:iCs/>
        </w:rPr>
      </w:pPr>
      <w:r>
        <w:t xml:space="preserve">Cuando abordamos el plano </w:t>
      </w:r>
      <w:r w:rsidR="6444409C">
        <w:t xml:space="preserve">comunitario y colectivo, especialmente en este grupo de personas, las restricciones el espacio cívico debilitan los procesos organizativos y erosionan el tejido social de las comunidades de pueblos y nacionalidades. </w:t>
      </w:r>
      <w:r w:rsidR="28CE8788">
        <w:t>La criminalización</w:t>
      </w:r>
      <w:r w:rsidR="2D2A5DBE">
        <w:t xml:space="preserve"> </w:t>
      </w:r>
      <w:r w:rsidR="28CE8788">
        <w:t>y el hostigamiento contra personas defensoras no solo las afectan de manera individual, sino que envía un mensaje de intimidación al resto de la comunidad.</w:t>
      </w:r>
      <w:r w:rsidR="60937F43">
        <w:t xml:space="preserve"> Ello tiene como consecuencia el debilitamiento del diálogo comunitario, los mecanismos de representación comunitaria, se obstaculiza el proceso de defensa del territorio, ambiente y derechos colectivos. </w:t>
      </w:r>
      <w:r w:rsidR="2CE636F5">
        <w:t>Especialmente</w:t>
      </w:r>
      <w:r w:rsidR="44513073">
        <w:t xml:space="preserve">, en los casos de pueblos y nacionalidades, las afectaciones adquieren un sentido de especial gravedad, pues </w:t>
      </w:r>
      <w:r w:rsidR="2ED19E60" w:rsidRPr="168BB7AF">
        <w:rPr>
          <w:rFonts w:ascii="Times New Roman" w:eastAsia="Times New Roman" w:hAnsi="Times New Roman" w:cs="Times New Roman"/>
        </w:rPr>
        <w:t>comprometen el ejercicio de sus formas propias de organización, la toma de decisiones colectivas y la protección de sus territorios ancestrales, elementos esenciales para garantizar su supervivencia física y cultural.</w:t>
      </w:r>
    </w:p>
    <w:p w14:paraId="17B52FDC" w14:textId="4B7DAF87" w:rsidR="46D4FD8F" w:rsidRDefault="46D4FD8F" w:rsidP="168BB7AF">
      <w:pPr>
        <w:jc w:val="both"/>
      </w:pPr>
      <w:r w:rsidRPr="168BB7AF">
        <w:rPr>
          <w:rFonts w:ascii="Times New Roman" w:eastAsia="Times New Roman" w:hAnsi="Times New Roman" w:cs="Times New Roman"/>
        </w:rPr>
        <w:lastRenderedPageBreak/>
        <w:t xml:space="preserve">En consecuencia, desde INREDH consideramos necesario que en el </w:t>
      </w:r>
      <w:r w:rsidRPr="168BB7AF">
        <w:t>Comentario General Nro. 38 del artículo 22 (el derecho a la libertad de asociación) del Pacto Internacional de Derechos Civiles y Políticos </w:t>
      </w:r>
      <w:r w:rsidR="4A779BD8" w:rsidRPr="168BB7AF">
        <w:t xml:space="preserve">se incluya que, debido a las restricciones del espacio cívico, por </w:t>
      </w:r>
      <w:r w:rsidR="31988630" w:rsidRPr="168BB7AF">
        <w:t>ende,</w:t>
      </w:r>
      <w:r w:rsidR="4A779BD8" w:rsidRPr="168BB7AF">
        <w:t xml:space="preserve"> del derecho a la libertad de asociación tiene impactos diferenciados en las personas, especialmente mujeres, que defienden derechos humanos, así como en los liderazgos de pueblos indígenas</w:t>
      </w:r>
      <w:r w:rsidR="7C7A8C3E" w:rsidRPr="168BB7AF">
        <w:t xml:space="preserve">. Dichos impactos deben ser abordados y analizados desde una perspectiva integral, tanto individual, familiar y grupal para comprender </w:t>
      </w:r>
      <w:r w:rsidR="74C68CD4" w:rsidRPr="168BB7AF">
        <w:t>los efectos reales de la vulneración al derecho a la libertad de asociación.</w:t>
      </w:r>
    </w:p>
    <w:p w14:paraId="43A575E3" w14:textId="64C24A0A" w:rsidR="003F6FB3" w:rsidRDefault="6BF877BA" w:rsidP="007231D2">
      <w:pPr>
        <w:pStyle w:val="ListParagraph"/>
        <w:numPr>
          <w:ilvl w:val="1"/>
          <w:numId w:val="1"/>
        </w:numPr>
        <w:ind w:firstLine="556"/>
        <w:jc w:val="both"/>
        <w:rPr>
          <w:b/>
          <w:bCs/>
        </w:rPr>
      </w:pPr>
      <w:r w:rsidRPr="168BB7AF">
        <w:rPr>
          <w:b/>
          <w:bCs/>
        </w:rPr>
        <w:t xml:space="preserve">Párr. 11: </w:t>
      </w:r>
      <w:r w:rsidR="13572AD3" w:rsidRPr="168BB7AF">
        <w:rPr>
          <w:b/>
          <w:bCs/>
        </w:rPr>
        <w:t>Uso de nuevas tecnologías para la restricción del derecho a la asociación.</w:t>
      </w:r>
    </w:p>
    <w:p w14:paraId="5EA658E2" w14:textId="177641FE" w:rsidR="5C259418" w:rsidRDefault="6403E696" w:rsidP="5CAFC387">
      <w:pPr>
        <w:spacing w:line="276" w:lineRule="auto"/>
        <w:jc w:val="both"/>
      </w:pPr>
      <w:r>
        <w:t xml:space="preserve">INREDH coincide con el Comité en que el derecho a la libertad de asociación debe interpretarse de manera evolutiva, incorporando los entornos digitales en los que hoy se organizan, coordinan y comunican las asociaciones. La experiencia ecuatoriana durante el Paro Nacional de 2025 </w:t>
      </w:r>
      <w:r w:rsidR="5C259418">
        <w:softHyphen/>
      </w:r>
      <w:r>
        <w:t xml:space="preserve">-una movilización convocada por la Confederación de Nacionalidades Indígenas del Ecuador (CONAIE) y organizaciones sociales, que se extendió por 31 días entre el 22 de septiembre y el 22 de octubre- y el marco normativo e institucional que la precedió, ilustran con particular claridad los riesgos identificados. </w:t>
      </w:r>
      <w:r w:rsidR="5C259418" w:rsidRPr="5CAFC387">
        <w:rPr>
          <w:rStyle w:val="FootnoteReference"/>
        </w:rPr>
        <w:footnoteReference w:id="6"/>
      </w:r>
    </w:p>
    <w:p w14:paraId="1AE18CB2" w14:textId="118658EB" w:rsidR="0B305B26" w:rsidRDefault="0B305B26" w:rsidP="5CAFC387">
      <w:pPr>
        <w:spacing w:line="276" w:lineRule="auto"/>
        <w:jc w:val="both"/>
      </w:pPr>
      <w:r>
        <w:t>El 28 de septiembre de 2025, INREDH alertó sobre la inhibición de la señal de internet en los cantones de Cotacachi y Otavalo, provincia de Imbabura, epicentro de la movilización</w:t>
      </w:r>
      <w:r w:rsidRPr="5CAFC387">
        <w:rPr>
          <w:rStyle w:val="FootnoteReference"/>
        </w:rPr>
        <w:footnoteReference w:id="7"/>
      </w:r>
      <w:r>
        <w:t>.</w:t>
      </w:r>
      <w:r w:rsidR="35D72742">
        <w:t xml:space="preserve"> El corte de conectividad se produjo de forma simultánea al despliegue de personal militar en la zona e impidió que las comunidades y organizaciones coordinaran sus acciones colectivas, activaran redes de protección, documentaran el uso de la fuerza y difundieran información verificada hacia el resto del país.</w:t>
      </w:r>
    </w:p>
    <w:p w14:paraId="37A50155" w14:textId="1E68B7B3" w:rsidR="35D72742" w:rsidRDefault="35D72742" w:rsidP="5CAFC387">
      <w:pPr>
        <w:spacing w:line="276" w:lineRule="auto"/>
        <w:jc w:val="both"/>
      </w:pPr>
      <w:r>
        <w:t>Incomunicar a la ciudadanía en medio de un conflicto social constituye una forma de censura que anula, en la práctica, la dimensión colectiva del derecho a asociarse: las asambleas comunitarias, las brigadas de derechos humanos y los medios comunitarios quedan aislados entre sí y frente al Estado en el momento de mayor riesgo para su integridad. Este hecho coincidió con la primera muerte de un manifestante en el marco del paro, ocurrida ese mismo día en Imbabura, lo que evidencia que la desconexión operó como un cerco informativo sobre las violaciones más graves.</w:t>
      </w:r>
      <w:r w:rsidRPr="5CAFC387">
        <w:rPr>
          <w:rStyle w:val="FootnoteReference"/>
        </w:rPr>
        <w:footnoteReference w:id="8"/>
      </w:r>
    </w:p>
    <w:p w14:paraId="30A7B03B" w14:textId="3F7E0FA9" w:rsidR="0B305B26" w:rsidRDefault="27D29F6C" w:rsidP="5CAFC387">
      <w:pPr>
        <w:spacing w:line="276" w:lineRule="auto"/>
        <w:jc w:val="both"/>
      </w:pPr>
      <w:r>
        <w:t xml:space="preserve">A la restricción de conectividad se sumó la censura administrativa contra medios comunitarios que sostienen la vocería de las organizaciones sociales. Durante el paro, la Agencia de Regulación y Control de las Telecomunicaciones (ARCOTEL) suspendió temporalmente la </w:t>
      </w:r>
      <w:r>
        <w:lastRenderedPageBreak/>
        <w:t>señal de TV MICC</w:t>
      </w:r>
      <w:r w:rsidR="0B305B26" w:rsidRPr="5CAFC387">
        <w:rPr>
          <w:rStyle w:val="FootnoteReference"/>
        </w:rPr>
        <w:footnoteReference w:id="9"/>
      </w:r>
      <w:r>
        <w:t>, primer medio televisivo comunitario del Ecuador, vinculado al Movimiento Indígena y Campesino de Cotopaxi, tras su cobertura de las protestas.</w:t>
      </w:r>
      <w:r w:rsidR="1920E8AC">
        <w:t xml:space="preserve"> </w:t>
      </w:r>
      <w:r>
        <w:t>La suspensión de un medio comunitario constituye una restricción directa a la libertad de asociación, pues los medios comunitarios son la expresión comunicacional de las organizaciones y pueblos que los sostienen, y su silenciamiento desarticula la capacidad de esas asociaciones para informar a sus bases y sostener su acción colectiva.</w:t>
      </w:r>
    </w:p>
    <w:p w14:paraId="0DA8A28E" w14:textId="28ED70EF" w:rsidR="0B305B26" w:rsidRDefault="27D29F6C" w:rsidP="5CAFC387">
      <w:pPr>
        <w:spacing w:line="276" w:lineRule="auto"/>
        <w:jc w:val="both"/>
      </w:pPr>
      <w:r>
        <w:t>En paralelo, INREDH documentó 14 eventos de intimidación y violencia simbólica que incluyeron la vigilancia de sedes de organizaciones sociales y el seguimiento de personas defensoras y comunicadores populares</w:t>
      </w:r>
      <w:r w:rsidR="0B305B26" w:rsidRPr="5CAFC387">
        <w:rPr>
          <w:rStyle w:val="FootnoteReference"/>
        </w:rPr>
        <w:footnoteReference w:id="10"/>
      </w:r>
      <w:r>
        <w:t>, así como exigencias por parte de agentes estatales para que periodistas y veedoras de derechos humanos entregaran sus teléfonos y borraran grabaciones que documentaban actuaciones policiales, como ocurrió con la periodista Pamela Ledesma y con tres integrantes del equipo de INREDH agredidas el 15 de octubre de 2025 durante una veeduría en Quito</w:t>
      </w:r>
      <w:r w:rsidR="0B305B26" w:rsidRPr="168BB7AF">
        <w:rPr>
          <w:rStyle w:val="FootnoteReference"/>
        </w:rPr>
        <w:footnoteReference w:id="11"/>
      </w:r>
      <w:r>
        <w:t>. La destrucción forzada de registros digitales elimina la evidencia de violaciones de derechos humanos y disuade la labor de monitoreo que ejercen las organizaciones</w:t>
      </w:r>
      <w:r w:rsidR="5330ADF1">
        <w:t xml:space="preserve"> y periodistas</w:t>
      </w:r>
      <w:r>
        <w:t>.</w:t>
      </w:r>
    </w:p>
    <w:p w14:paraId="5D9F587E" w14:textId="6A228563" w:rsidR="0B305B26" w:rsidRDefault="27D29F6C" w:rsidP="5CAFC387">
      <w:pPr>
        <w:spacing w:line="276" w:lineRule="auto"/>
        <w:jc w:val="both"/>
      </w:pPr>
      <w:r>
        <w:t>A todo ello, se inscribe en una tendencia sostenida de ataques cibernéticos contra medios y organizaciones sociales que trabajan temas de derechos humanos, feminismo, extractivismo y corrupción. Radio Pichincha, medio público de la Prefectura de Pichincha, ha denunciado ataques informáticos sistemáticos desde 2019, entre ellos la sustracción de su canal de YouTube en 2022, la inhabilitación de su cuenta de Instagram, la caída de su página web en febrero de 2025 por acción del grupo autodenominado "Cyber Hunters" y alrededor de 20.000 intentos de vulneración de sus servidores en los meses previos al paro</w:t>
      </w:r>
      <w:r w:rsidR="0B305B26" w:rsidRPr="168BB7AF">
        <w:rPr>
          <w:rStyle w:val="FootnoteReference"/>
        </w:rPr>
        <w:footnoteReference w:id="12"/>
      </w:r>
      <w:r>
        <w:t>. El medio comunitario Wambra Ec -que dio cobertura crítica al paro y cuyos periodistas fueron requisados por militares durante las protestas</w:t>
      </w:r>
      <w:r w:rsidR="0B305B26" w:rsidRPr="168BB7AF">
        <w:rPr>
          <w:rStyle w:val="FootnoteReference"/>
        </w:rPr>
        <w:footnoteReference w:id="13"/>
      </w:r>
      <w:r>
        <w:t xml:space="preserve">- ha sido </w:t>
      </w:r>
      <w:r w:rsidR="1FAA0A1E">
        <w:t xml:space="preserve">objetivo </w:t>
      </w:r>
      <w:r>
        <w:t>de al menos tres eventos de ataque digital documentados por Fundamedios: un ataque DDoS que sacó su página web del aire durante cinco horas en marzo de 2023</w:t>
      </w:r>
      <w:r w:rsidR="0B305B26" w:rsidRPr="168BB7AF">
        <w:rPr>
          <w:rStyle w:val="FootnoteReference"/>
        </w:rPr>
        <w:footnoteReference w:id="14"/>
      </w:r>
      <w:r>
        <w:t>, hackeos a su cuenta de Twitter en 2016 y 2021 y una suspensión de esa misma cuenta en 2022 tras publicar la denuncia de agresión policial contra una de sus periodistas en la marcha del 8M</w:t>
      </w:r>
      <w:r w:rsidR="0B305B26" w:rsidRPr="168BB7AF">
        <w:rPr>
          <w:rStyle w:val="FootnoteReference"/>
        </w:rPr>
        <w:footnoteReference w:id="15"/>
      </w:r>
      <w:r>
        <w:t>.</w:t>
      </w:r>
    </w:p>
    <w:p w14:paraId="689BFF83" w14:textId="24DC19DD" w:rsidR="0B305B26" w:rsidRDefault="27D29F6C" w:rsidP="5CAFC387">
      <w:pPr>
        <w:spacing w:line="276" w:lineRule="auto"/>
        <w:jc w:val="both"/>
      </w:pPr>
      <w:r>
        <w:lastRenderedPageBreak/>
        <w:t>Fundamedios ha documentado además ataques digitales sistemáticos contra medios de comunicación de Morona Santiago tras la publicación de contenidos que cuestionaban a autoridades locales, así como suspensiones de cuentas y bajas de contenidos en Facebook tras denuncias sobre gestión pública</w:t>
      </w:r>
      <w:r w:rsidR="0B305B26" w:rsidRPr="168BB7AF">
        <w:rPr>
          <w:rStyle w:val="FootnoteReference"/>
        </w:rPr>
        <w:footnoteReference w:id="16"/>
      </w:r>
      <w:r>
        <w:t>. Pese a que estos hechos han sido denunciados ante el Consejo de Comunicación, el Mecanismo de Protección del Trabajo Periodístico, la Fiscalía General del Estado y la Relatoría Especial para la Libertad de Expresión de la CIDH</w:t>
      </w:r>
      <w:r w:rsidR="0B305B26" w:rsidRPr="168BB7AF">
        <w:rPr>
          <w:rStyle w:val="FootnoteReference"/>
        </w:rPr>
        <w:footnoteReference w:id="17"/>
      </w:r>
      <w:r>
        <w:t>, las autoridades ecuatorianas no se han pronunciado. La impunidad frente a la represión digital compromete la obligación positiva del Estado de proteger el entorno en el que las asociaciones ejercen sus actividades colectivas.</w:t>
      </w:r>
    </w:p>
    <w:p w14:paraId="62FAE64F" w14:textId="601B5400" w:rsidR="30E06722" w:rsidRDefault="27D29F6C" w:rsidP="168BB7AF">
      <w:pPr>
        <w:spacing w:line="276" w:lineRule="auto"/>
        <w:jc w:val="both"/>
      </w:pPr>
      <w:r>
        <w:t>Estas prácticas configuran una estrategia de represión digital que restringe el derecho a la libertad de asociación en su dimensión colectiva. Por ello, INREDH solicita respetuosamente al Comité que la Observación General Nro. 38 reconozca expresamente que los cortes de conectividad durante contextos de movilización social y la vigilancia digital sin autorización judicial constituyen restricciones al artículo 22 que no superan el test de legalidad, necesidad y proporcionalidad, y que reafirme la obligación de los Estados de investigar y sancionar los ataques digitales dirigidos contra asociaciones, medios comunitarios y organizaciones de derechos humanos.</w:t>
      </w:r>
    </w:p>
    <w:p w14:paraId="7FE44CC9" w14:textId="0339E772" w:rsidR="00D9687A" w:rsidRPr="007231D2" w:rsidRDefault="492CFB20" w:rsidP="168BB7AF">
      <w:pPr>
        <w:pStyle w:val="ListParagraph"/>
        <w:numPr>
          <w:ilvl w:val="1"/>
          <w:numId w:val="1"/>
        </w:numPr>
        <w:ind w:firstLine="556"/>
        <w:jc w:val="both"/>
        <w:rPr>
          <w:b/>
          <w:bCs/>
        </w:rPr>
      </w:pPr>
      <w:r w:rsidRPr="168BB7AF">
        <w:rPr>
          <w:b/>
          <w:bCs/>
        </w:rPr>
        <w:t>Párr. 14</w:t>
      </w:r>
      <w:r w:rsidR="62B8655D" w:rsidRPr="168BB7AF">
        <w:rPr>
          <w:b/>
          <w:bCs/>
        </w:rPr>
        <w:t xml:space="preserve"> y 15</w:t>
      </w:r>
      <w:r w:rsidRPr="168BB7AF">
        <w:rPr>
          <w:b/>
          <w:bCs/>
        </w:rPr>
        <w:t xml:space="preserve">: </w:t>
      </w:r>
      <w:r w:rsidR="4AC5E0C6" w:rsidRPr="168BB7AF">
        <w:rPr>
          <w:b/>
          <w:bCs/>
        </w:rPr>
        <w:t>Derecho de las asociaciones para llevar</w:t>
      </w:r>
      <w:r w:rsidR="6C16D85A" w:rsidRPr="168BB7AF">
        <w:rPr>
          <w:b/>
          <w:bCs/>
        </w:rPr>
        <w:t xml:space="preserve"> a cabo sus actividades libremente.</w:t>
      </w:r>
    </w:p>
    <w:p w14:paraId="09235232" w14:textId="2A27FD6A" w:rsidR="00E947E4" w:rsidRDefault="00E947E4" w:rsidP="168BB7AF">
      <w:pPr>
        <w:spacing w:line="276" w:lineRule="auto"/>
        <w:jc w:val="both"/>
        <w:rPr>
          <w:lang w:val="es-EC"/>
        </w:rPr>
      </w:pPr>
      <w:r w:rsidRPr="168BB7AF">
        <w:rPr>
          <w:rFonts w:eastAsiaTheme="minorEastAsia"/>
          <w:lang w:val="es-EC"/>
        </w:rPr>
        <w:t>La L</w:t>
      </w:r>
      <w:r w:rsidR="728FCBD7" w:rsidRPr="168BB7AF">
        <w:rPr>
          <w:rFonts w:eastAsiaTheme="minorEastAsia"/>
          <w:lang w:val="es-EC"/>
        </w:rPr>
        <w:t>ey Orgánica de Transparencia social</w:t>
      </w:r>
      <w:r w:rsidRPr="168BB7AF">
        <w:rPr>
          <w:rFonts w:eastAsiaTheme="minorEastAsia"/>
          <w:lang w:val="es-EC"/>
        </w:rPr>
        <w:t xml:space="preserve"> </w:t>
      </w:r>
      <w:r w:rsidR="3593EED1" w:rsidRPr="168BB7AF">
        <w:rPr>
          <w:rFonts w:eastAsiaTheme="minorEastAsia"/>
          <w:lang w:val="es-EC"/>
        </w:rPr>
        <w:t xml:space="preserve">(en adelante LOTS) </w:t>
      </w:r>
      <w:r w:rsidRPr="168BB7AF">
        <w:rPr>
          <w:rFonts w:eastAsiaTheme="minorEastAsia"/>
          <w:lang w:val="es-EC"/>
        </w:rPr>
        <w:t xml:space="preserve">en su </w:t>
      </w:r>
      <w:r w:rsidR="20B5FC3B" w:rsidRPr="168BB7AF">
        <w:rPr>
          <w:rFonts w:eastAsiaTheme="minorEastAsia"/>
          <w:lang w:val="es-EC"/>
        </w:rPr>
        <w:t xml:space="preserve">conjunto normativo somete </w:t>
      </w:r>
      <w:r w:rsidRPr="168BB7AF">
        <w:rPr>
          <w:rFonts w:eastAsiaTheme="minorEastAsia"/>
          <w:lang w:val="es-EC"/>
        </w:rPr>
        <w:t xml:space="preserve">a las organizaciones de la sociedad civil al control de la Superintendencia de Economía Popular y Solidaria (en adelante SEPS), otorgándole </w:t>
      </w:r>
      <w:r w:rsidR="37C747C9" w:rsidRPr="168BB7AF">
        <w:rPr>
          <w:rFonts w:eastAsiaTheme="minorEastAsia"/>
          <w:lang w:val="es-EC"/>
        </w:rPr>
        <w:t>amplias</w:t>
      </w:r>
      <w:r w:rsidRPr="168BB7AF">
        <w:rPr>
          <w:rFonts w:eastAsiaTheme="minorEastAsia"/>
          <w:lang w:val="es-EC"/>
        </w:rPr>
        <w:t xml:space="preserve"> </w:t>
      </w:r>
      <w:r w:rsidR="5F549DB3" w:rsidRPr="168BB7AF">
        <w:rPr>
          <w:rFonts w:eastAsiaTheme="minorEastAsia"/>
          <w:lang w:val="es-EC"/>
        </w:rPr>
        <w:t xml:space="preserve">facultades de supervisión. </w:t>
      </w:r>
      <w:r w:rsidR="5F549DB3" w:rsidRPr="168BB7AF">
        <w:rPr>
          <w:rFonts w:ascii="Times New Roman" w:eastAsia="Times New Roman" w:hAnsi="Times New Roman" w:cs="Times New Roman"/>
          <w:lang w:val="es-EC"/>
        </w:rPr>
        <w:t>Si bien el establecimiento de mecanismos de registro, control y rendición de cuentas constituye una finalidad legítima del Estado, la forma en que la LOTS estructura dicho sistema resulta incompatible con los estándares que protegen la libertad de asociación y el derecho a defender derechos humanos.</w:t>
      </w:r>
    </w:p>
    <w:p w14:paraId="6044FCF4" w14:textId="68473717" w:rsidR="6A151F84" w:rsidRDefault="6A151F84" w:rsidP="168BB7AF">
      <w:pPr>
        <w:spacing w:line="276" w:lineRule="auto"/>
        <w:jc w:val="both"/>
        <w:rPr>
          <w:rFonts w:ascii="Times New Roman" w:eastAsia="Times New Roman" w:hAnsi="Times New Roman" w:cs="Times New Roman"/>
          <w:lang w:val="es-EC"/>
        </w:rPr>
      </w:pPr>
      <w:r w:rsidRPr="168BB7AF">
        <w:rPr>
          <w:rFonts w:ascii="Times New Roman" w:eastAsia="Times New Roman" w:hAnsi="Times New Roman" w:cs="Times New Roman"/>
          <w:lang w:val="es-EC"/>
        </w:rPr>
        <w:t xml:space="preserve">El problema no radica en la existencia de un órgano de supervisión, sino en el diseño normativo adoptado por la LOTS. La ley parte de una lógica de control propia del sistema financiero y la extiende de manera generalizada a todas las organizaciones de la sociedad civil, sin distinguir su naturaleza, finalidad, tamaño, estructura organizativa o nivel de riesgo. De este modo, las organizaciones quedan sometidas a un régimen de vigilancia intensiva construido sobre la presunción de que cualquier organización podría </w:t>
      </w:r>
      <w:r w:rsidR="168B8681" w:rsidRPr="168BB7AF">
        <w:rPr>
          <w:rFonts w:ascii="Times New Roman" w:eastAsia="Times New Roman" w:hAnsi="Times New Roman" w:cs="Times New Roman"/>
          <w:lang w:val="es-EC"/>
        </w:rPr>
        <w:t>tener un vínculo</w:t>
      </w:r>
      <w:r w:rsidRPr="168BB7AF">
        <w:rPr>
          <w:rFonts w:ascii="Times New Roman" w:eastAsia="Times New Roman" w:hAnsi="Times New Roman" w:cs="Times New Roman"/>
          <w:lang w:val="es-EC"/>
        </w:rPr>
        <w:t xml:space="preserve"> para el financiamiento ilícito, en lugar de establecer mecanismos de supervisión diferenciados, objetivos y proporcionales.</w:t>
      </w:r>
    </w:p>
    <w:p w14:paraId="2EB7E885" w14:textId="0D37FB9E" w:rsidR="6A151F84" w:rsidRDefault="6A151F84" w:rsidP="168BB7AF">
      <w:pPr>
        <w:spacing w:before="240" w:line="276" w:lineRule="auto"/>
        <w:jc w:val="both"/>
      </w:pPr>
      <w:r w:rsidRPr="168BB7AF">
        <w:rPr>
          <w:rFonts w:ascii="Times New Roman" w:eastAsia="Times New Roman" w:hAnsi="Times New Roman" w:cs="Times New Roman"/>
          <w:lang w:val="es-EC"/>
        </w:rPr>
        <w:t xml:space="preserve">Esta equiparación normativa resulta desproporcionada porque desconoce la naturaleza jurídica y social de las organizaciones sin fines de lucro. A diferencia de las entidades financieras o de las cooperativas de ahorro y crédito, las organizaciones defensoras de derechos humanos no </w:t>
      </w:r>
      <w:r w:rsidRPr="168BB7AF">
        <w:rPr>
          <w:rFonts w:ascii="Times New Roman" w:eastAsia="Times New Roman" w:hAnsi="Times New Roman" w:cs="Times New Roman"/>
          <w:lang w:val="es-EC"/>
        </w:rPr>
        <w:lastRenderedPageBreak/>
        <w:t>realizan intermediación financiera ni persiguen la generación o acumulación de capital. Su finalidad consiste en ejecutar actividades de interés público orientadas a la promoción y protección de derechos humanos, el fortalecimiento comunitario y la participación democrática.</w:t>
      </w:r>
    </w:p>
    <w:p w14:paraId="18082D3F" w14:textId="10452EC2" w:rsidR="00E947E4" w:rsidRDefault="00E947E4" w:rsidP="168BB7AF">
      <w:pPr>
        <w:spacing w:before="240" w:line="276" w:lineRule="auto"/>
        <w:jc w:val="both"/>
        <w:rPr>
          <w:lang w:val="es-EC"/>
        </w:rPr>
      </w:pPr>
      <w:r w:rsidRPr="168BB7AF">
        <w:rPr>
          <w:rFonts w:eastAsiaTheme="minorEastAsia"/>
          <w:lang w:val="es-EC"/>
        </w:rPr>
        <w:t>Muchas de estas organizaciones sostienen sus actividades mediante convenios de cooperación con organismos de cooperación nacional e internacional, o, a su vez con autogestión. En consecuencia, los recursos económicos son condicionados a la ejecución especifica de actividades previamente definidas por las organizaciones y por las organizaciones financistas; es decir, si existe un sobrante de dinero, este no se reparte como utilidad ni se acumula para generar riqueza, sino que se reinvierte directamente en el objeto social. Esto evidencia la naturaleza incompatible con las lógicas de acumulación y supervisión propias del sistema financiero.</w:t>
      </w:r>
    </w:p>
    <w:p w14:paraId="02AE15E1" w14:textId="0848301C" w:rsidR="6C06B846" w:rsidRDefault="6C06B846" w:rsidP="168BB7AF">
      <w:pPr>
        <w:spacing w:before="240" w:line="276" w:lineRule="auto"/>
        <w:jc w:val="both"/>
        <w:rPr>
          <w:rFonts w:eastAsiaTheme="minorEastAsia"/>
          <w:lang w:val="es-EC"/>
        </w:rPr>
      </w:pPr>
      <w:r w:rsidRPr="168BB7AF">
        <w:rPr>
          <w:rFonts w:eastAsiaTheme="minorEastAsia"/>
          <w:lang w:val="es-EC"/>
        </w:rPr>
        <w:t>Pese a ello</w:t>
      </w:r>
      <w:r w:rsidR="00E947E4" w:rsidRPr="168BB7AF">
        <w:rPr>
          <w:rFonts w:eastAsiaTheme="minorEastAsia"/>
          <w:lang w:val="es-EC"/>
        </w:rPr>
        <w:t>, la LOTS impone obligaciones propias del ámbito financiero y mercantil, tales como la contratación obligatoria de auditorías internas y/o externas (artículo 10), la designación de oficiales de cumplimiento (artículo 14) y reportes periódicos de estados financieros bajo estándares de sociedades mercantiles (artículo 9, 10).</w:t>
      </w:r>
      <w:r w:rsidR="78E4A8DE" w:rsidRPr="168BB7AF">
        <w:rPr>
          <w:rFonts w:ascii="Times New Roman" w:eastAsia="Times New Roman" w:hAnsi="Times New Roman" w:cs="Times New Roman"/>
          <w:lang w:val="es-EC"/>
        </w:rPr>
        <w:t xml:space="preserve"> Estas obligaciones trasladan a organizaciones comunitarias y de derechos humanos exigencias regulatorias concebidas para entidades financieras, sin que exista una justificación objetiva que demuestre la necesidad de aplicarles un nivel equivalente de supervisión.</w:t>
      </w:r>
    </w:p>
    <w:p w14:paraId="6E095CFD" w14:textId="617BB749" w:rsidR="00E947E4" w:rsidRDefault="00E947E4" w:rsidP="168BB7AF">
      <w:pPr>
        <w:spacing w:before="240" w:line="276" w:lineRule="auto"/>
        <w:jc w:val="both"/>
        <w:rPr>
          <w:lang w:val="es-EC"/>
        </w:rPr>
      </w:pPr>
      <w:r w:rsidRPr="168BB7AF">
        <w:rPr>
          <w:rFonts w:eastAsiaTheme="minorEastAsia"/>
          <w:lang w:val="es-EC"/>
        </w:rPr>
        <w:t>Estas exigencias previstas en la LOTS generan un costo operativo que, en la mayoría de los casos, supera el presupuesto total de las organizaciones de base o comunitarias. Debido a que, los ingresos de estas organizaciones se sostienen con presupuestos reducidos y trabajo voluntario. En consecuencia, imponer requisitos financieros y administrativos complejos obliga a destinar recursos originalmente dirigidos a la promoción y defensa de los derechos humanos a gastos burocráticos y estructuras de cumplimiento normativo. De modo que, las medidas adoptadas exceden cualquier finalidad legitima de control administrativo y generan restricciones desproporcionadas al funcionamiento de organizaciones defensoras de derechos humanos.</w:t>
      </w:r>
    </w:p>
    <w:p w14:paraId="68EDC933" w14:textId="6B2FE0D4" w:rsidR="00E947E4" w:rsidRDefault="00E947E4" w:rsidP="168BB7AF">
      <w:pPr>
        <w:spacing w:before="240" w:line="276" w:lineRule="auto"/>
        <w:jc w:val="both"/>
        <w:rPr>
          <w:lang w:val="es-EC"/>
        </w:rPr>
      </w:pPr>
      <w:r w:rsidRPr="168BB7AF">
        <w:rPr>
          <w:rFonts w:eastAsiaTheme="minorEastAsia"/>
          <w:lang w:val="es-EC"/>
        </w:rPr>
        <w:t>En el marco de la LOTS, estas obligaciones adquieren una dimensión distinta: deja de ser un mecanismo de fortalecimiento institucional para convertirse en una herramienta de control intensivo y supervigilancia estatal sobre organizaciones que cumplen un rol esencial en la protección de derechos humanos y en el fortalecimiento de una sociedad democrática.</w:t>
      </w:r>
    </w:p>
    <w:p w14:paraId="1F66DE18" w14:textId="384EA961" w:rsidR="00E947E4" w:rsidRDefault="00E947E4" w:rsidP="168BB7AF">
      <w:pPr>
        <w:spacing w:before="240" w:line="276" w:lineRule="auto"/>
        <w:jc w:val="both"/>
        <w:rPr>
          <w:lang w:val="es-EC"/>
        </w:rPr>
      </w:pPr>
      <w:r w:rsidRPr="168BB7AF">
        <w:rPr>
          <w:rFonts w:eastAsiaTheme="minorEastAsia"/>
        </w:rPr>
        <w:t>Los efectos de estas obligaciones no son únicamente teóricos, sino que se traducen en obstáculos concretos para el funcionamiento cotidiano de las organizaciones. En la práctica, cuando la burocracia deja de ser un mecanismo de organización y se convierte en un obstáculo, genera una carga administrativa excesiva</w:t>
      </w:r>
      <w:r w:rsidR="7B52E453" w:rsidRPr="168BB7AF">
        <w:rPr>
          <w:rFonts w:eastAsiaTheme="minorEastAsia"/>
        </w:rPr>
        <w:t>,</w:t>
      </w:r>
      <w:r w:rsidRPr="168BB7AF">
        <w:rPr>
          <w:rFonts w:eastAsiaTheme="minorEastAsia"/>
        </w:rPr>
        <w:t xml:space="preserve"> Por ejemplo, l</w:t>
      </w:r>
      <w:r w:rsidR="5C03297F" w:rsidRPr="168BB7AF">
        <w:rPr>
          <w:rFonts w:eastAsiaTheme="minorEastAsia"/>
        </w:rPr>
        <w:t xml:space="preserve">a obstaculización </w:t>
      </w:r>
      <w:r w:rsidRPr="168BB7AF">
        <w:rPr>
          <w:rFonts w:eastAsiaTheme="minorEastAsia"/>
        </w:rPr>
        <w:t>de actualiza</w:t>
      </w:r>
      <w:r w:rsidR="3837684F" w:rsidRPr="168BB7AF">
        <w:rPr>
          <w:rFonts w:eastAsiaTheme="minorEastAsia"/>
        </w:rPr>
        <w:t>r</w:t>
      </w:r>
      <w:r w:rsidRPr="168BB7AF">
        <w:rPr>
          <w:rFonts w:eastAsiaTheme="minorEastAsia"/>
        </w:rPr>
        <w:t xml:space="preserve"> la representación legal impide a las organizaciones firmar convenios o recibir desembolsos, mientras que las entidades financieras restringen la realización de trámites bancarios esenciales, afectando directamente la ejecución de las actividades previstas. Asimismo, el </w:t>
      </w:r>
      <w:r w:rsidRPr="168BB7AF">
        <w:rPr>
          <w:rFonts w:eastAsiaTheme="minorEastAsia"/>
        </w:rPr>
        <w:lastRenderedPageBreak/>
        <w:t>incumplimiento prolongado en la actualización de directivas constituye una causal para el inicio de procesos de disolución.</w:t>
      </w:r>
    </w:p>
    <w:p w14:paraId="3D79177C" w14:textId="47252951" w:rsidR="00E947E4" w:rsidRDefault="00E947E4" w:rsidP="168BB7AF">
      <w:pPr>
        <w:spacing w:line="276" w:lineRule="auto"/>
        <w:jc w:val="both"/>
        <w:rPr>
          <w:lang w:val="es-EC"/>
        </w:rPr>
      </w:pPr>
      <w:r w:rsidRPr="168BB7AF">
        <w:rPr>
          <w:rFonts w:eastAsiaTheme="minorEastAsia"/>
          <w:lang w:val="es-EC"/>
        </w:rPr>
        <w:t xml:space="preserve">Más allá de una aparente finalidad de transparencia o control administrativo, el diseño normativo de la LOTS evidencia una insistencia por parte del Estado a asimilar a las organizaciones de la sociedad civil con actores económicos que persiguen el lucro, sometiéndolas a lógicas propias de un mercado financiero. En este contexto, la imposición de obligaciones de carácter mercantil, como auditorías, oficiales de cumplimiento y reportes financieros complejos, trasciende una finalidad meramente administrativa y se convierte en un mecanismo de supervigilancia sobre organizaciones que, por su naturaleza, cumplen un rol fundamental en la defensa de derechos humanos y la sociedad democrática. Este tipo de regulación genera un efecto particularmente gravoso sobre aquellas organizaciones que, por su labor, pueden resultar incómodas o críticas frente a las agendas estatales. </w:t>
      </w:r>
    </w:p>
    <w:p w14:paraId="52B2AC67" w14:textId="1212F812" w:rsidR="1BB0B261" w:rsidRDefault="1BB0B261" w:rsidP="168BB7AF">
      <w:pPr>
        <w:spacing w:line="276" w:lineRule="auto"/>
        <w:jc w:val="both"/>
      </w:pPr>
      <w:r w:rsidRPr="168BB7AF">
        <w:rPr>
          <w:rFonts w:ascii="Times New Roman" w:eastAsia="Times New Roman" w:hAnsi="Times New Roman" w:cs="Times New Roman"/>
          <w:lang w:val="es-EC"/>
        </w:rPr>
        <w:t>En consecuencia, desde INREDH consideramos necesario que el Comentario General No. 38 sobre el artículo 22 del Pacto Internacional de Derechos Civiles y Políticos incorpore expresamente que los Estados, si bien pueden establecer mecanismos de supervisión y rendición de cuentas para las organizaciones de la sociedad civil, estos deben diseñarse con criterios de legalidad, necesidad, proporcionalidad y diferenciación, de modo que no partan de presunciones generalizadas de riesgo o de financiamiento ilícito ni sometan a las organizaciones a regímenes de supervisión incompatibles con su naturaleza no lucrativa. Asimismo, el Comentario General debería reconocer que los marcos regulatorios excesivamente amplios o imprecisos, así como las facultades discrecionales para inmovilizar recursos o imponer cargas administrativas desproporcionadas, generan un efecto inhibidor sobre el ejercicio del derecho a la libertad de asociación y afectan de manera particular a las organizaciones que defienden derechos humanos y a otros actores que participan en el debate democrático.</w:t>
      </w:r>
    </w:p>
    <w:p w14:paraId="189824D6" w14:textId="77777777" w:rsidR="001E04C6" w:rsidRDefault="001E04C6" w:rsidP="00B4392A">
      <w:pPr>
        <w:pStyle w:val="Default"/>
        <w:spacing w:line="276" w:lineRule="auto"/>
        <w:jc w:val="both"/>
        <w:rPr>
          <w:rFonts w:eastAsia="Times New Roman"/>
          <w:b/>
          <w:bCs/>
          <w:color w:val="000000" w:themeColor="text1"/>
          <w:sz w:val="22"/>
          <w:szCs w:val="22"/>
        </w:rPr>
      </w:pPr>
    </w:p>
    <w:p w14:paraId="0E9EA611" w14:textId="1B1891A5" w:rsidR="00B4392A" w:rsidRPr="00320076" w:rsidRDefault="00B4392A" w:rsidP="00B4392A">
      <w:pPr>
        <w:pStyle w:val="Default"/>
        <w:spacing w:line="276" w:lineRule="auto"/>
        <w:jc w:val="both"/>
        <w:rPr>
          <w:b/>
          <w:bCs/>
          <w:sz w:val="22"/>
          <w:szCs w:val="22"/>
        </w:rPr>
      </w:pPr>
      <w:r w:rsidRPr="00320076">
        <w:rPr>
          <w:rFonts w:eastAsia="Times New Roman"/>
          <w:b/>
          <w:bCs/>
          <w:color w:val="000000" w:themeColor="text1"/>
          <w:sz w:val="22"/>
          <w:szCs w:val="22"/>
        </w:rPr>
        <w:t xml:space="preserve">NOTIFICACIONES </w:t>
      </w:r>
    </w:p>
    <w:p w14:paraId="7755937E" w14:textId="77777777" w:rsidR="00B4392A" w:rsidRPr="00320076" w:rsidRDefault="00B4392A" w:rsidP="00B4392A">
      <w:pPr>
        <w:spacing w:before="240" w:after="0" w:line="276" w:lineRule="auto"/>
        <w:jc w:val="both"/>
        <w:rPr>
          <w:rFonts w:ascii="Times New Roman" w:eastAsia="Times New Roman" w:hAnsi="Times New Roman" w:cs="Times New Roman"/>
          <w:color w:val="000000" w:themeColor="text1"/>
          <w:sz w:val="22"/>
          <w:szCs w:val="22"/>
          <w:lang w:val="es-EC"/>
        </w:rPr>
      </w:pPr>
      <w:r w:rsidRPr="00320076">
        <w:rPr>
          <w:rFonts w:ascii="Times New Roman" w:eastAsia="Times New Roman" w:hAnsi="Times New Roman" w:cs="Times New Roman"/>
          <w:color w:val="000000" w:themeColor="text1"/>
          <w:sz w:val="22"/>
          <w:szCs w:val="22"/>
          <w:lang w:val="es-EC"/>
        </w:rPr>
        <w:t>La respuesta a la presente solicitud, la información requerida y las notificaciones que nos correspondan las recibiremos en los correos electrónicos: proteccion@inredh.org, derechos@inredh.org, legal@inredh.org, defensores@inredh.org; y, juridico@inredh.org.</w:t>
      </w:r>
    </w:p>
    <w:p w14:paraId="29084741" w14:textId="77777777" w:rsidR="00B4392A" w:rsidRPr="00320076" w:rsidRDefault="00B4392A" w:rsidP="00B4392A">
      <w:pPr>
        <w:spacing w:before="240" w:after="0" w:line="276" w:lineRule="auto"/>
        <w:jc w:val="both"/>
        <w:rPr>
          <w:rFonts w:ascii="Times New Roman" w:eastAsia="Times New Roman" w:hAnsi="Times New Roman" w:cs="Times New Roman"/>
          <w:b/>
          <w:bCs/>
          <w:color w:val="000000" w:themeColor="text1"/>
          <w:sz w:val="22"/>
          <w:szCs w:val="22"/>
          <w:lang w:val="es-EC"/>
        </w:rPr>
      </w:pPr>
    </w:p>
    <w:p w14:paraId="57113AC1" w14:textId="77777777" w:rsidR="00EC2BE7" w:rsidRPr="00ED3251" w:rsidRDefault="00EC2BE7" w:rsidP="168BB7AF">
      <w:pPr>
        <w:spacing w:line="276" w:lineRule="auto"/>
        <w:jc w:val="both"/>
        <w:rPr>
          <w:lang w:val="es-EC"/>
        </w:rPr>
      </w:pPr>
    </w:p>
    <w:sectPr w:rsidR="00EC2BE7" w:rsidRPr="00ED3251" w:rsidSect="00E62E07">
      <w:headerReference w:type="default" r:id="rId11"/>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EDFBA" w14:textId="77777777" w:rsidR="00161828" w:rsidRDefault="00161828">
      <w:pPr>
        <w:spacing w:after="0" w:line="240" w:lineRule="auto"/>
      </w:pPr>
      <w:r>
        <w:separator/>
      </w:r>
    </w:p>
  </w:endnote>
  <w:endnote w:type="continuationSeparator" w:id="0">
    <w:p w14:paraId="43E38AE7" w14:textId="77777777" w:rsidR="00161828" w:rsidRDefault="00161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707E64" w14:paraId="14BA450F" w14:textId="77777777" w:rsidTr="2D7300CA">
      <w:trPr>
        <w:trHeight w:val="300"/>
      </w:trPr>
      <w:tc>
        <w:tcPr>
          <w:tcW w:w="3005" w:type="dxa"/>
        </w:tcPr>
        <w:p w14:paraId="31E8D679" w14:textId="7ABBF2BB" w:rsidR="00707E64" w:rsidRDefault="00707E64" w:rsidP="2D7300CA">
          <w:pPr>
            <w:pStyle w:val="Header"/>
            <w:ind w:left="-115"/>
          </w:pPr>
        </w:p>
      </w:tc>
      <w:tc>
        <w:tcPr>
          <w:tcW w:w="3005" w:type="dxa"/>
        </w:tcPr>
        <w:p w14:paraId="076B5B79" w14:textId="2846FA46" w:rsidR="00707E64" w:rsidRDefault="00707E64" w:rsidP="2D7300CA">
          <w:pPr>
            <w:pStyle w:val="Header"/>
            <w:jc w:val="center"/>
          </w:pPr>
        </w:p>
      </w:tc>
      <w:tc>
        <w:tcPr>
          <w:tcW w:w="3005" w:type="dxa"/>
        </w:tcPr>
        <w:p w14:paraId="578DDBE2" w14:textId="0F3A8695" w:rsidR="00707E64" w:rsidRDefault="00707E64" w:rsidP="2D7300CA">
          <w:pPr>
            <w:pStyle w:val="Header"/>
            <w:ind w:right="-115"/>
            <w:jc w:val="right"/>
          </w:pPr>
        </w:p>
      </w:tc>
    </w:tr>
  </w:tbl>
  <w:p w14:paraId="289271A4" w14:textId="11F7C423" w:rsidR="00707E64" w:rsidRDefault="00707E64" w:rsidP="2D7300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C6DE6" w14:textId="77777777" w:rsidR="00161828" w:rsidRDefault="00161828">
      <w:pPr>
        <w:spacing w:after="0" w:line="240" w:lineRule="auto"/>
      </w:pPr>
      <w:r>
        <w:separator/>
      </w:r>
    </w:p>
  </w:footnote>
  <w:footnote w:type="continuationSeparator" w:id="0">
    <w:p w14:paraId="7A9F5E1A" w14:textId="77777777" w:rsidR="00161828" w:rsidRDefault="00161828">
      <w:pPr>
        <w:spacing w:after="0" w:line="240" w:lineRule="auto"/>
      </w:pPr>
      <w:r>
        <w:continuationSeparator/>
      </w:r>
    </w:p>
  </w:footnote>
  <w:footnote w:id="1">
    <w:p w14:paraId="12140C01" w14:textId="29422649" w:rsidR="00D31D81" w:rsidRPr="00D31D81" w:rsidRDefault="00D31D81" w:rsidP="00702DE2">
      <w:pPr>
        <w:pStyle w:val="FootnoteText"/>
        <w:jc w:val="both"/>
        <w:rPr>
          <w:lang w:val="es-EC"/>
        </w:rPr>
      </w:pPr>
      <w:r>
        <w:rPr>
          <w:rStyle w:val="FootnoteReference"/>
        </w:rPr>
        <w:footnoteRef/>
      </w:r>
      <w:r>
        <w:t xml:space="preserve"> </w:t>
      </w:r>
      <w:r>
        <w:rPr>
          <w:lang w:val="es-EC"/>
        </w:rPr>
        <w:t xml:space="preserve">Jackeline Beltrán, </w:t>
      </w:r>
      <w:hyperlink r:id="rId1" w:history="1">
        <w:r w:rsidRPr="00882920">
          <w:rPr>
            <w:rStyle w:val="Hyperlink"/>
            <w:lang w:val="es-EC"/>
          </w:rPr>
          <w:t>“</w:t>
        </w:r>
        <w:r w:rsidR="00882920" w:rsidRPr="00882920">
          <w:rPr>
            <w:rStyle w:val="Hyperlink"/>
            <w:lang w:val="es-EC"/>
          </w:rPr>
          <w:t>La Ley de Transparencia Social, que regula a las fundaciones, fue publicada en el Registro Oficial”</w:t>
        </w:r>
      </w:hyperlink>
      <w:r w:rsidR="00882920">
        <w:rPr>
          <w:lang w:val="es-EC"/>
        </w:rPr>
        <w:t xml:space="preserve">, Primicias, 28 de agosto de 2025; </w:t>
      </w:r>
      <w:r w:rsidR="00702DE2">
        <w:rPr>
          <w:lang w:val="es-EC"/>
        </w:rPr>
        <w:t xml:space="preserve">Daniel Fonseca, </w:t>
      </w:r>
      <w:hyperlink r:id="rId2" w:history="1">
        <w:r w:rsidR="00702DE2" w:rsidRPr="00702DE2">
          <w:rPr>
            <w:rStyle w:val="Hyperlink"/>
            <w:lang w:val="es-EC"/>
          </w:rPr>
          <w:t>“Relatora de la ONU alerta que proyecto de ley de transparencia social vulnera derechos de asociación en Ecuador”,</w:t>
        </w:r>
      </w:hyperlink>
      <w:r w:rsidR="00702DE2">
        <w:rPr>
          <w:lang w:val="es-EC"/>
        </w:rPr>
        <w:t xml:space="preserve"> Radio Pichincha, 20 de agosto de 2025.</w:t>
      </w:r>
    </w:p>
  </w:footnote>
  <w:footnote w:id="2">
    <w:p w14:paraId="573AE186" w14:textId="42DE8356" w:rsidR="00A73DCF" w:rsidRPr="00A73DCF" w:rsidRDefault="00A73DCF">
      <w:pPr>
        <w:pStyle w:val="FootnoteText"/>
        <w:rPr>
          <w:lang w:val="es-EC"/>
        </w:rPr>
      </w:pPr>
      <w:r>
        <w:rPr>
          <w:rStyle w:val="FootnoteReference"/>
        </w:rPr>
        <w:footnoteRef/>
      </w:r>
      <w:r>
        <w:t xml:space="preserve"> </w:t>
      </w:r>
      <w:r>
        <w:rPr>
          <w:lang w:val="es-EC"/>
        </w:rPr>
        <w:t xml:space="preserve">Fundamedios, </w:t>
      </w:r>
      <w:hyperlink r:id="rId3" w:history="1">
        <w:r w:rsidRPr="00A869B8">
          <w:rPr>
            <w:rStyle w:val="Hyperlink"/>
            <w:lang w:val="es-EC"/>
          </w:rPr>
          <w:t>“La arquitectura de la violencia oficial: agresiones, estigmatización y censura en 2025”,</w:t>
        </w:r>
      </w:hyperlink>
      <w:r>
        <w:rPr>
          <w:lang w:val="es-EC"/>
        </w:rPr>
        <w:t xml:space="preserve"> 2025</w:t>
      </w:r>
      <w:r w:rsidR="00A869B8">
        <w:rPr>
          <w:lang w:val="es-EC"/>
        </w:rPr>
        <w:t>, pág, 11.</w:t>
      </w:r>
    </w:p>
  </w:footnote>
  <w:footnote w:id="3">
    <w:p w14:paraId="0C0E51BE" w14:textId="150A2F3D" w:rsidR="00A17968" w:rsidRPr="00FE6501" w:rsidRDefault="00A17968" w:rsidP="00702DE2">
      <w:pPr>
        <w:pStyle w:val="FootnoteText"/>
        <w:jc w:val="both"/>
      </w:pPr>
      <w:r>
        <w:rPr>
          <w:rStyle w:val="FootnoteReference"/>
        </w:rPr>
        <w:footnoteRef/>
      </w:r>
      <w:r>
        <w:t xml:space="preserve"> </w:t>
      </w:r>
      <w:r w:rsidR="00445444">
        <w:t xml:space="preserve">Roberto Cadena, </w:t>
      </w:r>
      <w:hyperlink r:id="rId4" w:history="1">
        <w:r w:rsidR="00445444" w:rsidRPr="00FE6501">
          <w:rPr>
            <w:rStyle w:val="Hyperlink"/>
          </w:rPr>
          <w:t>“CONAIE denuncia bloqueo de cuentas bancarias de dirigentes y organizaciones indígenas tras convocatoria a paro nacional”</w:t>
        </w:r>
      </w:hyperlink>
      <w:r w:rsidR="00445444">
        <w:t xml:space="preserve">, </w:t>
      </w:r>
      <w:r w:rsidR="00445444" w:rsidRPr="00445444">
        <w:rPr>
          <w:i/>
          <w:iCs/>
        </w:rPr>
        <w:t>Metro</w:t>
      </w:r>
      <w:r w:rsidR="00445444">
        <w:t>, 19 de septiembre de 2025</w:t>
      </w:r>
      <w:r w:rsidR="00FE6501">
        <w:t xml:space="preserve">; </w:t>
      </w:r>
      <w:r w:rsidR="00DC3CDC">
        <w:t xml:space="preserve">Daniela Fonseca, </w:t>
      </w:r>
      <w:hyperlink r:id="rId5" w:history="1">
        <w:r w:rsidR="00DC3CDC" w:rsidRPr="00DC3CDC">
          <w:rPr>
            <w:rStyle w:val="Hyperlink"/>
          </w:rPr>
          <w:t>“Unorcac denuncia congelamiento de cuentas bancarias y exige explicaciones al Estado”,</w:t>
        </w:r>
      </w:hyperlink>
      <w:r w:rsidR="00DC3CDC">
        <w:t xml:space="preserve"> </w:t>
      </w:r>
      <w:r w:rsidR="00DC3CDC" w:rsidRPr="00DC3CDC">
        <w:rPr>
          <w:i/>
          <w:iCs/>
        </w:rPr>
        <w:t>Radio Pichincha</w:t>
      </w:r>
      <w:r w:rsidR="00DC3CDC">
        <w:rPr>
          <w:i/>
          <w:iCs/>
        </w:rPr>
        <w:t xml:space="preserve">, </w:t>
      </w:r>
      <w:r w:rsidR="00DC3CDC">
        <w:t xml:space="preserve"> 02 de junio de 2026. </w:t>
      </w:r>
    </w:p>
  </w:footnote>
  <w:footnote w:id="4">
    <w:p w14:paraId="05BCA457" w14:textId="08BF7901" w:rsidR="00020855" w:rsidRPr="00020855" w:rsidRDefault="00020855" w:rsidP="00702DE2">
      <w:pPr>
        <w:pStyle w:val="FootnoteText"/>
        <w:jc w:val="both"/>
        <w:rPr>
          <w:lang w:val="es-EC"/>
        </w:rPr>
      </w:pPr>
      <w:r>
        <w:rPr>
          <w:rStyle w:val="FootnoteReference"/>
        </w:rPr>
        <w:footnoteRef/>
      </w:r>
      <w:r>
        <w:t xml:space="preserve"> </w:t>
      </w:r>
      <w:r w:rsidR="008D5CDC" w:rsidRPr="008D5CDC">
        <w:t>Fundación Pachamama, “</w:t>
      </w:r>
      <w:hyperlink r:id="rId6" w:tgtFrame="_blank" w:history="1">
        <w:r w:rsidR="008D5CDC" w:rsidRPr="008D5CDC">
          <w:rPr>
            <w:rStyle w:val="Hyperlink"/>
          </w:rPr>
          <w:t>Comunicado Oficial</w:t>
        </w:r>
      </w:hyperlink>
      <w:r w:rsidR="008D5CDC" w:rsidRPr="008D5CDC">
        <w:t>”, 27 de septiembre del 2025</w:t>
      </w:r>
      <w:r w:rsidR="008D5CDC">
        <w:t xml:space="preserve">; </w:t>
      </w:r>
      <w:r w:rsidR="00B076C8" w:rsidRPr="00B076C8">
        <w:t>Fundación Pachamama, “</w:t>
      </w:r>
      <w:hyperlink r:id="rId7" w:tgtFrame="_blank" w:history="1">
        <w:r w:rsidR="00B076C8" w:rsidRPr="00B076C8">
          <w:rPr>
            <w:rStyle w:val="Hyperlink"/>
          </w:rPr>
          <w:t>Se levanta la medida de inmovilización de cuentas de la Fundación Pachamama</w:t>
        </w:r>
      </w:hyperlink>
      <w:r w:rsidR="00B076C8" w:rsidRPr="00B076C8">
        <w:t>”, 10 de noviembre del 2025</w:t>
      </w:r>
      <w:r w:rsidR="00B076C8">
        <w:t xml:space="preserve">; </w:t>
      </w:r>
      <w:r w:rsidR="004633C1" w:rsidRPr="004633C1">
        <w:t> Fundación Pachamama, “</w:t>
      </w:r>
      <w:hyperlink r:id="rId8" w:tgtFrame="_blank" w:history="1">
        <w:r w:rsidR="004633C1" w:rsidRPr="004633C1">
          <w:rPr>
            <w:rStyle w:val="Hyperlink"/>
          </w:rPr>
          <w:t>Nuevo intento por silenciar a defensores del ambiente</w:t>
        </w:r>
      </w:hyperlink>
      <w:r w:rsidR="004633C1" w:rsidRPr="004633C1">
        <w:t>”, 13 de noviembre del 2025</w:t>
      </w:r>
      <w:r w:rsidR="004633C1">
        <w:t>.</w:t>
      </w:r>
    </w:p>
  </w:footnote>
  <w:footnote w:id="5">
    <w:p w14:paraId="0D658469" w14:textId="38D3FA53" w:rsidR="00E117BF" w:rsidRPr="00E117BF" w:rsidRDefault="00E117BF" w:rsidP="004633C1">
      <w:pPr>
        <w:pStyle w:val="FootnoteText"/>
        <w:jc w:val="both"/>
        <w:rPr>
          <w:lang w:val="es-EC"/>
        </w:rPr>
      </w:pPr>
      <w:r>
        <w:rPr>
          <w:rStyle w:val="FootnoteReference"/>
        </w:rPr>
        <w:footnoteRef/>
      </w:r>
      <w:r>
        <w:t xml:space="preserve"> </w:t>
      </w:r>
      <w:hyperlink r:id="rId9">
        <w:r w:rsidRPr="592B84B8">
          <w:rPr>
            <w:rStyle w:val="Hyperlink"/>
          </w:rPr>
          <w:t>Quién era Monika Silva Koniuszek, la activista polaca hallada muerta en Ecuador (y por qué la fiscalía pide ayuda internacional para la investigación) - BBC News Mundo</w:t>
        </w:r>
      </w:hyperlink>
    </w:p>
  </w:footnote>
  <w:footnote w:id="6">
    <w:p w14:paraId="33BF7F1F" w14:textId="730DF2B0" w:rsidR="5CAFC387" w:rsidRDefault="5CAFC387" w:rsidP="5CAFC387">
      <w:pPr>
        <w:pStyle w:val="FootnoteText"/>
      </w:pPr>
      <w:r w:rsidRPr="5CAFC387">
        <w:rPr>
          <w:rStyle w:val="FootnoteReference"/>
        </w:rPr>
        <w:footnoteRef/>
      </w:r>
      <w:r w:rsidR="168BB7AF">
        <w:t xml:space="preserve"> CONAIE convoca a un paro nacional e indefinido. 18 de septiembre de 2025. Tomado de Facebook: </w:t>
      </w:r>
      <w:hyperlink r:id="rId10">
        <w:r w:rsidR="168BB7AF" w:rsidRPr="168BB7AF">
          <w:rPr>
            <w:rStyle w:val="Hyperlink"/>
          </w:rPr>
          <w:t>https://www.facebook.com/share/p/17nDunNKcm/</w:t>
        </w:r>
      </w:hyperlink>
      <w:r w:rsidR="168BB7AF">
        <w:t xml:space="preserve"> </w:t>
      </w:r>
    </w:p>
  </w:footnote>
  <w:footnote w:id="7">
    <w:p w14:paraId="4D5F5F2E" w14:textId="635D97D2" w:rsidR="5CAFC387" w:rsidRDefault="5CAFC387" w:rsidP="5CAFC387">
      <w:pPr>
        <w:pStyle w:val="FootnoteText"/>
      </w:pPr>
      <w:r w:rsidRPr="5CAFC387">
        <w:rPr>
          <w:rStyle w:val="FootnoteReference"/>
        </w:rPr>
        <w:footnoteRef/>
      </w:r>
      <w:r>
        <w:t xml:space="preserve"> INREDH. En #Cotacachi y #Otavalo se está bloqueando la señal de internet. 28 de septiembre de 2025. Tomado de X: </w:t>
      </w:r>
      <w:hyperlink r:id="rId11">
        <w:r w:rsidRPr="5CAFC387">
          <w:rPr>
            <w:rStyle w:val="Hyperlink"/>
          </w:rPr>
          <w:t>https://x.com/inredh1/status/1972451643074433272</w:t>
        </w:r>
      </w:hyperlink>
      <w:r w:rsidRPr="5CAFC387">
        <w:rPr>
          <w:rFonts w:ascii="Times New Roman" w:eastAsia="Times New Roman" w:hAnsi="Times New Roman" w:cs="Times New Roman"/>
          <w:color w:val="000000" w:themeColor="text1"/>
          <w:sz w:val="22"/>
          <w:szCs w:val="22"/>
        </w:rPr>
        <w:t xml:space="preserve"> </w:t>
      </w:r>
    </w:p>
  </w:footnote>
  <w:footnote w:id="8">
    <w:p w14:paraId="15A2E498" w14:textId="5CB49D25" w:rsidR="5CAFC387" w:rsidRDefault="5CAFC387" w:rsidP="5CAFC387">
      <w:pPr>
        <w:pStyle w:val="FootnoteText"/>
      </w:pPr>
      <w:r w:rsidRPr="5CAFC387">
        <w:rPr>
          <w:rStyle w:val="FootnoteReference"/>
        </w:rPr>
        <w:footnoteRef/>
      </w:r>
      <w:r>
        <w:t xml:space="preserve"> INREDH. 20 de septiembre de 2025. En Cotacachi, Efraín Fueres, comunero indígena, falleció tras recibir un impacto de bala por parte de las Fuerzas Armadas. Tomado de X: </w:t>
      </w:r>
      <w:hyperlink r:id="rId12">
        <w:r w:rsidRPr="5CAFC387">
          <w:rPr>
            <w:rStyle w:val="Hyperlink"/>
          </w:rPr>
          <w:t>https://x.com/inredh1/status/1972307030481186907</w:t>
        </w:r>
      </w:hyperlink>
      <w:r>
        <w:t xml:space="preserve"> </w:t>
      </w:r>
    </w:p>
  </w:footnote>
  <w:footnote w:id="9">
    <w:p w14:paraId="1D566CB9" w14:textId="143C332A" w:rsidR="5CAFC387" w:rsidRDefault="5CAFC387" w:rsidP="5CAFC387">
      <w:pPr>
        <w:pStyle w:val="FootnoteText"/>
      </w:pPr>
      <w:r w:rsidRPr="5CAFC387">
        <w:rPr>
          <w:rStyle w:val="FootnoteReference"/>
        </w:rPr>
        <w:footnoteRef/>
      </w:r>
      <w:r>
        <w:t xml:space="preserve"> </w:t>
      </w:r>
      <w:r w:rsidRPr="5CAFC387">
        <w:t xml:space="preserve">Radio Pichincha. 24 de septiembre de 2025. El Gobierno suspendió la señal de TV MICC, considerado el primer medio televisivo comunitario de Ecuador. Tomado de </w:t>
      </w:r>
      <w:hyperlink r:id="rId13">
        <w:r w:rsidRPr="5CAFC387">
          <w:rPr>
            <w:rStyle w:val="Hyperlink"/>
          </w:rPr>
          <w:t>https://www.radiopichincha.com/gobierno-suspendio-senal-medio-comunitario-tv-micc/</w:t>
        </w:r>
      </w:hyperlink>
      <w:r w:rsidRPr="5CAFC387">
        <w:t xml:space="preserve"> </w:t>
      </w:r>
    </w:p>
  </w:footnote>
  <w:footnote w:id="10">
    <w:p w14:paraId="76E98241" w14:textId="6D0F734D" w:rsidR="5CAFC387" w:rsidRDefault="5CAFC387" w:rsidP="5CAFC387">
      <w:pPr>
        <w:pStyle w:val="FootnoteText"/>
      </w:pPr>
      <w:r w:rsidRPr="5CAFC387">
        <w:rPr>
          <w:rStyle w:val="FootnoteReference"/>
        </w:rPr>
        <w:footnoteRef/>
      </w:r>
      <w:r w:rsidR="168BB7AF">
        <w:t xml:space="preserve"> INREDH. 2025. Análisis de vulneraciones a los derechos humanos: Paro 2025. Tomado de: </w:t>
      </w:r>
      <w:hyperlink r:id="rId14">
        <w:r w:rsidR="168BB7AF" w:rsidRPr="168BB7AF">
          <w:rPr>
            <w:rStyle w:val="Hyperlink"/>
          </w:rPr>
          <w:t>https://inredh.org/archivos/pdf/analisis_paro_2025.pdf</w:t>
        </w:r>
      </w:hyperlink>
      <w:r w:rsidR="168BB7AF">
        <w:t xml:space="preserve"> </w:t>
      </w:r>
    </w:p>
  </w:footnote>
  <w:footnote w:id="11">
    <w:p w14:paraId="1FEC456D" w14:textId="445DF84E" w:rsidR="168BB7AF" w:rsidRDefault="168BB7AF" w:rsidP="168BB7AF">
      <w:pPr>
        <w:pStyle w:val="FootnoteText"/>
      </w:pPr>
      <w:r w:rsidRPr="168BB7AF">
        <w:rPr>
          <w:rStyle w:val="FootnoteReference"/>
        </w:rPr>
        <w:footnoteRef/>
      </w:r>
      <w:r>
        <w:t xml:space="preserve"> BN Periodismo. 12 de octubre de 2025. </w:t>
      </w:r>
      <w:r w:rsidRPr="168BB7AF">
        <w:t xml:space="preserve">Periodista es agredida por la fuerza pública al grabar detención de manifestantes. Tomado de </w:t>
      </w:r>
      <w:hyperlink r:id="rId15">
        <w:r w:rsidRPr="168BB7AF">
          <w:rPr>
            <w:rStyle w:val="Hyperlink"/>
          </w:rPr>
          <w:t>https://x.com/BNPeriodismo/status/1977512127138333058</w:t>
        </w:r>
      </w:hyperlink>
      <w:r w:rsidRPr="168BB7AF">
        <w:rPr>
          <w:rFonts w:ascii="Times New Roman" w:eastAsia="Times New Roman" w:hAnsi="Times New Roman" w:cs="Times New Roman"/>
          <w:color w:val="000000" w:themeColor="text1"/>
          <w:sz w:val="22"/>
          <w:szCs w:val="22"/>
        </w:rPr>
        <w:t xml:space="preserve"> </w:t>
      </w:r>
    </w:p>
  </w:footnote>
  <w:footnote w:id="12">
    <w:p w14:paraId="1B3C1A7A" w14:textId="37F667D2" w:rsidR="168BB7AF" w:rsidRDefault="168BB7AF" w:rsidP="168BB7AF">
      <w:pPr>
        <w:pStyle w:val="FootnoteText"/>
      </w:pPr>
      <w:r w:rsidRPr="168BB7AF">
        <w:rPr>
          <w:rStyle w:val="FootnoteReference"/>
        </w:rPr>
        <w:footnoteRef/>
      </w:r>
      <w:r>
        <w:t xml:space="preserve"> Fundamedios. 18 de febrero de 2025. Ataque digital contra Radio de la Prefectura de Pichincha. Tomado de: </w:t>
      </w:r>
      <w:hyperlink r:id="rId16">
        <w:r w:rsidRPr="168BB7AF">
          <w:rPr>
            <w:rStyle w:val="Hyperlink"/>
          </w:rPr>
          <w:t>https://fundamedios.org.ec/alertas/ataque-digital-contra-radio-de-la-prefectura-de-pichincha-deja-su-pagina-web-inhabilitada/</w:t>
        </w:r>
      </w:hyperlink>
      <w:r>
        <w:t xml:space="preserve"> </w:t>
      </w:r>
    </w:p>
  </w:footnote>
  <w:footnote w:id="13">
    <w:p w14:paraId="261DB5C1" w14:textId="5286BB66" w:rsidR="168BB7AF" w:rsidRDefault="168BB7AF" w:rsidP="168BB7AF">
      <w:pPr>
        <w:pStyle w:val="FootnoteText"/>
      </w:pPr>
      <w:r w:rsidRPr="168BB7AF">
        <w:rPr>
          <w:rStyle w:val="FootnoteReference"/>
        </w:rPr>
        <w:footnoteRef/>
      </w:r>
      <w:r>
        <w:t xml:space="preserve"> </w:t>
      </w:r>
      <w:r w:rsidRPr="168BB7AF">
        <w:t xml:space="preserve">Militares requisan al equipo de prensa de Wambra Medio Comunitario. Tomado de </w:t>
      </w:r>
      <w:hyperlink r:id="rId17">
        <w:r w:rsidRPr="168BB7AF">
          <w:rPr>
            <w:rStyle w:val="Hyperlink"/>
          </w:rPr>
          <w:t>https://www.facebook.com/watch/?v=827850969933828</w:t>
        </w:r>
      </w:hyperlink>
      <w:r w:rsidRPr="168BB7AF">
        <w:t xml:space="preserve">  </w:t>
      </w:r>
    </w:p>
  </w:footnote>
  <w:footnote w:id="14">
    <w:p w14:paraId="709A4E2C" w14:textId="38567339" w:rsidR="168BB7AF" w:rsidRDefault="168BB7AF" w:rsidP="168BB7AF">
      <w:pPr>
        <w:pStyle w:val="FootnoteText"/>
      </w:pPr>
      <w:r w:rsidRPr="168BB7AF">
        <w:rPr>
          <w:rStyle w:val="FootnoteReference"/>
        </w:rPr>
        <w:footnoteRef/>
      </w:r>
      <w:r>
        <w:t xml:space="preserve"> Fudamedios. 3 de marzo de 2023. Medio comunitario sufrió ataques. Tomado de: </w:t>
      </w:r>
      <w:hyperlink r:id="rId18">
        <w:r w:rsidRPr="168BB7AF">
          <w:rPr>
            <w:rStyle w:val="Hyperlink"/>
          </w:rPr>
          <w:t>https://fundamedios.org.ec/alertas/medio-comunitario-ecuatoriano-sufrio-ataque-digital-y-quedo-fuera-del-aire-5-horas/</w:t>
        </w:r>
      </w:hyperlink>
      <w:r>
        <w:t xml:space="preserve"> </w:t>
      </w:r>
    </w:p>
  </w:footnote>
  <w:footnote w:id="15">
    <w:p w14:paraId="03D54574" w14:textId="703E421C" w:rsidR="168BB7AF" w:rsidRDefault="168BB7AF" w:rsidP="168BB7AF">
      <w:pPr>
        <w:pStyle w:val="FootnoteText"/>
      </w:pPr>
      <w:r w:rsidRPr="168BB7AF">
        <w:rPr>
          <w:rStyle w:val="FootnoteReference"/>
        </w:rPr>
        <w:footnoteRef/>
      </w:r>
      <w:r>
        <w:t xml:space="preserve"> GK. 14 de marzo de 2022. Organizaciones y medios son víctimas de ciberataques en Ecuador. Tomado de: </w:t>
      </w:r>
      <w:hyperlink r:id="rId19">
        <w:r w:rsidRPr="168BB7AF">
          <w:rPr>
            <w:rStyle w:val="Hyperlink"/>
          </w:rPr>
          <w:t>https://gk.city/2022/03/14/ciberataques-ecuador-organizaciones-medios/</w:t>
        </w:r>
      </w:hyperlink>
    </w:p>
  </w:footnote>
  <w:footnote w:id="16">
    <w:p w14:paraId="6AEB73E3" w14:textId="347778C4" w:rsidR="168BB7AF" w:rsidRDefault="168BB7AF" w:rsidP="168BB7AF">
      <w:pPr>
        <w:pStyle w:val="FootnoteText"/>
      </w:pPr>
      <w:r w:rsidRPr="168BB7AF">
        <w:rPr>
          <w:rStyle w:val="FootnoteReference"/>
        </w:rPr>
        <w:footnoteRef/>
      </w:r>
      <w:r>
        <w:t xml:space="preserve"> Fundamedios. 12 de junio de 2026. Fundamedios fortalece acciones frente a la censura que afecta a medios y periodistas de: </w:t>
      </w:r>
      <w:hyperlink r:id="rId20">
        <w:r w:rsidRPr="168BB7AF">
          <w:rPr>
            <w:rStyle w:val="Hyperlink"/>
          </w:rPr>
          <w:t>https://fundamedios.org.ec/fundamedios-fortalece-acciones-frente-a-la-censura-digital-que-afecta-a-medios-y-periodistas-en-ecuador/</w:t>
        </w:r>
      </w:hyperlink>
      <w:r>
        <w:t xml:space="preserve"> </w:t>
      </w:r>
    </w:p>
  </w:footnote>
  <w:footnote w:id="17">
    <w:p w14:paraId="44AECC07" w14:textId="36277349" w:rsidR="168BB7AF" w:rsidRDefault="168BB7AF" w:rsidP="168BB7AF">
      <w:pPr>
        <w:pStyle w:val="FootnoteText"/>
      </w:pPr>
      <w:r w:rsidRPr="168BB7AF">
        <w:rPr>
          <w:rStyle w:val="FootnoteReference"/>
        </w:rPr>
        <w:footnoteRef/>
      </w:r>
      <w:r>
        <w:t xml:space="preserve"> Radio Pichincha. 11 de abril de 2025. Nuevos ataques informáticos contra Radio Pichincha. Tomado de: </w:t>
      </w:r>
      <w:hyperlink r:id="rId21">
        <w:r w:rsidRPr="168BB7AF">
          <w:rPr>
            <w:rStyle w:val="Hyperlink"/>
          </w:rPr>
          <w:t>https://www.radiopichincha.com/nuevos-ataques-informaticos-radio-pichincha/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CFAEC" w14:textId="1C6CC95F" w:rsidR="00707E64" w:rsidRDefault="00EC2BE7" w:rsidP="2D7300CA">
    <w:pPr>
      <w:pStyle w:val="Header"/>
    </w:pPr>
    <w:r w:rsidRPr="00E47103">
      <w:rPr>
        <w:noProof/>
        <w:lang w:val="en-US"/>
      </w:rPr>
      <w:drawing>
        <wp:anchor distT="0" distB="0" distL="114300" distR="114300" simplePos="0" relativeHeight="251658240" behindDoc="0" locked="0" layoutInCell="1" allowOverlap="1" wp14:anchorId="147614D6" wp14:editId="48BE6D4C">
          <wp:simplePos x="0" y="0"/>
          <wp:positionH relativeFrom="page">
            <wp:align>left</wp:align>
          </wp:positionH>
          <wp:positionV relativeFrom="paragraph">
            <wp:posOffset>-457200</wp:posOffset>
          </wp:positionV>
          <wp:extent cx="7576820" cy="10706100"/>
          <wp:effectExtent l="0" t="0" r="5080" b="0"/>
          <wp:wrapNone/>
          <wp:docPr id="1175795838" name="Imagen 1175795838"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A picture containing ic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76820" cy="107061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E8364"/>
    <w:multiLevelType w:val="hybridMultilevel"/>
    <w:tmpl w:val="8BEC424A"/>
    <w:lvl w:ilvl="0" w:tplc="92CC08D2">
      <w:start w:val="1"/>
      <w:numFmt w:val="upperRoman"/>
      <w:lvlText w:val="%1)"/>
      <w:lvlJc w:val="left"/>
      <w:pPr>
        <w:ind w:left="720" w:hanging="360"/>
      </w:pPr>
    </w:lvl>
    <w:lvl w:ilvl="1" w:tplc="B8F8A1E2">
      <w:start w:val="1"/>
      <w:numFmt w:val="lowerLetter"/>
      <w:lvlText w:val="%2."/>
      <w:lvlJc w:val="left"/>
      <w:pPr>
        <w:ind w:left="1440" w:hanging="360"/>
      </w:pPr>
    </w:lvl>
    <w:lvl w:ilvl="2" w:tplc="D2CC5526">
      <w:start w:val="1"/>
      <w:numFmt w:val="lowerRoman"/>
      <w:lvlText w:val="%3."/>
      <w:lvlJc w:val="right"/>
      <w:pPr>
        <w:ind w:left="2160" w:hanging="180"/>
      </w:pPr>
    </w:lvl>
    <w:lvl w:ilvl="3" w:tplc="2ABE311C">
      <w:start w:val="1"/>
      <w:numFmt w:val="decimal"/>
      <w:lvlText w:val="%4."/>
      <w:lvlJc w:val="left"/>
      <w:pPr>
        <w:ind w:left="2880" w:hanging="360"/>
      </w:pPr>
    </w:lvl>
    <w:lvl w:ilvl="4" w:tplc="7B04AFD2">
      <w:start w:val="1"/>
      <w:numFmt w:val="lowerLetter"/>
      <w:lvlText w:val="%5."/>
      <w:lvlJc w:val="left"/>
      <w:pPr>
        <w:ind w:left="3600" w:hanging="360"/>
      </w:pPr>
    </w:lvl>
    <w:lvl w:ilvl="5" w:tplc="C174F6DE">
      <w:start w:val="1"/>
      <w:numFmt w:val="lowerRoman"/>
      <w:lvlText w:val="%6."/>
      <w:lvlJc w:val="right"/>
      <w:pPr>
        <w:ind w:left="4320" w:hanging="180"/>
      </w:pPr>
    </w:lvl>
    <w:lvl w:ilvl="6" w:tplc="4B8A56A0">
      <w:start w:val="1"/>
      <w:numFmt w:val="decimal"/>
      <w:lvlText w:val="%7."/>
      <w:lvlJc w:val="left"/>
      <w:pPr>
        <w:ind w:left="5040" w:hanging="360"/>
      </w:pPr>
    </w:lvl>
    <w:lvl w:ilvl="7" w:tplc="BD7AAC5A">
      <w:start w:val="1"/>
      <w:numFmt w:val="lowerLetter"/>
      <w:lvlText w:val="%8."/>
      <w:lvlJc w:val="left"/>
      <w:pPr>
        <w:ind w:left="5760" w:hanging="360"/>
      </w:pPr>
    </w:lvl>
    <w:lvl w:ilvl="8" w:tplc="8EC46FDC">
      <w:start w:val="1"/>
      <w:numFmt w:val="lowerRoman"/>
      <w:lvlText w:val="%9."/>
      <w:lvlJc w:val="right"/>
      <w:pPr>
        <w:ind w:left="6480" w:hanging="180"/>
      </w:pPr>
    </w:lvl>
  </w:abstractNum>
  <w:abstractNum w:abstractNumId="1" w15:restartNumberingAfterBreak="0">
    <w:nsid w:val="32C1504A"/>
    <w:multiLevelType w:val="hybridMultilevel"/>
    <w:tmpl w:val="201AD6EE"/>
    <w:lvl w:ilvl="0" w:tplc="BCEE753C">
      <w:start w:val="2"/>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40787385"/>
    <w:multiLevelType w:val="multilevel"/>
    <w:tmpl w:val="63A87B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69A3079"/>
    <w:multiLevelType w:val="hybridMultilevel"/>
    <w:tmpl w:val="80024C04"/>
    <w:lvl w:ilvl="0" w:tplc="BEB23E90">
      <w:start w:val="1"/>
      <w:numFmt w:val="upperRoman"/>
      <w:lvlText w:val="%1)"/>
      <w:lvlJc w:val="left"/>
      <w:pPr>
        <w:ind w:left="720" w:hanging="360"/>
      </w:pPr>
    </w:lvl>
    <w:lvl w:ilvl="1" w:tplc="8B26999C">
      <w:start w:val="1"/>
      <w:numFmt w:val="lowerLetter"/>
      <w:lvlText w:val="%2."/>
      <w:lvlJc w:val="left"/>
      <w:pPr>
        <w:ind w:left="1440" w:hanging="360"/>
      </w:pPr>
    </w:lvl>
    <w:lvl w:ilvl="2" w:tplc="909C177A">
      <w:start w:val="1"/>
      <w:numFmt w:val="lowerRoman"/>
      <w:lvlText w:val="%3."/>
      <w:lvlJc w:val="right"/>
      <w:pPr>
        <w:ind w:left="2160" w:hanging="180"/>
      </w:pPr>
    </w:lvl>
    <w:lvl w:ilvl="3" w:tplc="10B6607E">
      <w:start w:val="1"/>
      <w:numFmt w:val="decimal"/>
      <w:lvlText w:val="%4."/>
      <w:lvlJc w:val="left"/>
      <w:pPr>
        <w:ind w:left="2880" w:hanging="360"/>
      </w:pPr>
    </w:lvl>
    <w:lvl w:ilvl="4" w:tplc="2ABAA53A">
      <w:start w:val="1"/>
      <w:numFmt w:val="lowerLetter"/>
      <w:lvlText w:val="%5."/>
      <w:lvlJc w:val="left"/>
      <w:pPr>
        <w:ind w:left="3600" w:hanging="360"/>
      </w:pPr>
    </w:lvl>
    <w:lvl w:ilvl="5" w:tplc="4A74940E">
      <w:start w:val="1"/>
      <w:numFmt w:val="lowerRoman"/>
      <w:lvlText w:val="%6."/>
      <w:lvlJc w:val="right"/>
      <w:pPr>
        <w:ind w:left="4320" w:hanging="180"/>
      </w:pPr>
    </w:lvl>
    <w:lvl w:ilvl="6" w:tplc="638ECA54">
      <w:start w:val="1"/>
      <w:numFmt w:val="decimal"/>
      <w:lvlText w:val="%7."/>
      <w:lvlJc w:val="left"/>
      <w:pPr>
        <w:ind w:left="5040" w:hanging="360"/>
      </w:pPr>
    </w:lvl>
    <w:lvl w:ilvl="7" w:tplc="7B225FB8">
      <w:start w:val="1"/>
      <w:numFmt w:val="lowerLetter"/>
      <w:lvlText w:val="%8."/>
      <w:lvlJc w:val="left"/>
      <w:pPr>
        <w:ind w:left="5760" w:hanging="360"/>
      </w:pPr>
    </w:lvl>
    <w:lvl w:ilvl="8" w:tplc="6908D23C">
      <w:start w:val="1"/>
      <w:numFmt w:val="lowerRoman"/>
      <w:lvlText w:val="%9."/>
      <w:lvlJc w:val="right"/>
      <w:pPr>
        <w:ind w:left="6480" w:hanging="180"/>
      </w:pPr>
    </w:lvl>
  </w:abstractNum>
  <w:abstractNum w:abstractNumId="4" w15:restartNumberingAfterBreak="0">
    <w:nsid w:val="5C0339B3"/>
    <w:multiLevelType w:val="multilevel"/>
    <w:tmpl w:val="F6ACB89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F3AFA8D"/>
    <w:multiLevelType w:val="multilevel"/>
    <w:tmpl w:val="1B969A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83866677">
    <w:abstractNumId w:val="2"/>
  </w:num>
  <w:num w:numId="2" w16cid:durableId="1451246786">
    <w:abstractNumId w:val="5"/>
  </w:num>
  <w:num w:numId="3" w16cid:durableId="1524051592">
    <w:abstractNumId w:val="0"/>
  </w:num>
  <w:num w:numId="4" w16cid:durableId="1592736485">
    <w:abstractNumId w:val="3"/>
  </w:num>
  <w:num w:numId="5" w16cid:durableId="1912693070">
    <w:abstractNumId w:val="4"/>
  </w:num>
  <w:num w:numId="6" w16cid:durableId="796946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BC0D3D4"/>
    <w:rsid w:val="000021CD"/>
    <w:rsid w:val="00004DF7"/>
    <w:rsid w:val="00014914"/>
    <w:rsid w:val="00020855"/>
    <w:rsid w:val="00022DA6"/>
    <w:rsid w:val="000234FF"/>
    <w:rsid w:val="000253BF"/>
    <w:rsid w:val="0003154E"/>
    <w:rsid w:val="000433C4"/>
    <w:rsid w:val="00047050"/>
    <w:rsid w:val="00047F92"/>
    <w:rsid w:val="00056ADD"/>
    <w:rsid w:val="00056E09"/>
    <w:rsid w:val="0007224D"/>
    <w:rsid w:val="0007327A"/>
    <w:rsid w:val="00075CBF"/>
    <w:rsid w:val="00081C82"/>
    <w:rsid w:val="00081F9F"/>
    <w:rsid w:val="00083F2A"/>
    <w:rsid w:val="000848C4"/>
    <w:rsid w:val="00085DC1"/>
    <w:rsid w:val="00086709"/>
    <w:rsid w:val="00092A91"/>
    <w:rsid w:val="00092BA7"/>
    <w:rsid w:val="00092FAB"/>
    <w:rsid w:val="00094956"/>
    <w:rsid w:val="000A5396"/>
    <w:rsid w:val="000A6AF8"/>
    <w:rsid w:val="000B208A"/>
    <w:rsid w:val="000B525D"/>
    <w:rsid w:val="000B73F7"/>
    <w:rsid w:val="000C1DDD"/>
    <w:rsid w:val="000D155F"/>
    <w:rsid w:val="000D61C8"/>
    <w:rsid w:val="000D6545"/>
    <w:rsid w:val="000D7F27"/>
    <w:rsid w:val="000E5832"/>
    <w:rsid w:val="000E5A14"/>
    <w:rsid w:val="000E6826"/>
    <w:rsid w:val="000F1025"/>
    <w:rsid w:val="000F1B14"/>
    <w:rsid w:val="001070FE"/>
    <w:rsid w:val="0011093A"/>
    <w:rsid w:val="00115820"/>
    <w:rsid w:val="00115EAB"/>
    <w:rsid w:val="0012056A"/>
    <w:rsid w:val="00121AE0"/>
    <w:rsid w:val="001227C3"/>
    <w:rsid w:val="00132444"/>
    <w:rsid w:val="00136A32"/>
    <w:rsid w:val="00140D6D"/>
    <w:rsid w:val="0014214F"/>
    <w:rsid w:val="001449BA"/>
    <w:rsid w:val="001461D3"/>
    <w:rsid w:val="00150F10"/>
    <w:rsid w:val="0015337A"/>
    <w:rsid w:val="00161828"/>
    <w:rsid w:val="00161970"/>
    <w:rsid w:val="00163A7E"/>
    <w:rsid w:val="00165132"/>
    <w:rsid w:val="00177642"/>
    <w:rsid w:val="001825A8"/>
    <w:rsid w:val="00182896"/>
    <w:rsid w:val="00184835"/>
    <w:rsid w:val="00186789"/>
    <w:rsid w:val="00190419"/>
    <w:rsid w:val="00190FA7"/>
    <w:rsid w:val="0019669F"/>
    <w:rsid w:val="00197189"/>
    <w:rsid w:val="001A09FC"/>
    <w:rsid w:val="001A0E83"/>
    <w:rsid w:val="001A10CD"/>
    <w:rsid w:val="001A4B4C"/>
    <w:rsid w:val="001B1151"/>
    <w:rsid w:val="001B25D9"/>
    <w:rsid w:val="001B31BA"/>
    <w:rsid w:val="001B3E9B"/>
    <w:rsid w:val="001B6995"/>
    <w:rsid w:val="001B7159"/>
    <w:rsid w:val="001B7CEF"/>
    <w:rsid w:val="001C0775"/>
    <w:rsid w:val="001C0A28"/>
    <w:rsid w:val="001C0D0B"/>
    <w:rsid w:val="001C3976"/>
    <w:rsid w:val="001C6DD5"/>
    <w:rsid w:val="001D15E8"/>
    <w:rsid w:val="001D5240"/>
    <w:rsid w:val="001D541E"/>
    <w:rsid w:val="001D67CC"/>
    <w:rsid w:val="001D7BE3"/>
    <w:rsid w:val="001E04C6"/>
    <w:rsid w:val="001E4633"/>
    <w:rsid w:val="001F1A35"/>
    <w:rsid w:val="001F39B8"/>
    <w:rsid w:val="002026DD"/>
    <w:rsid w:val="002101AF"/>
    <w:rsid w:val="00211065"/>
    <w:rsid w:val="00214CC9"/>
    <w:rsid w:val="0021735F"/>
    <w:rsid w:val="002306A3"/>
    <w:rsid w:val="0023598F"/>
    <w:rsid w:val="00237532"/>
    <w:rsid w:val="00244082"/>
    <w:rsid w:val="00244363"/>
    <w:rsid w:val="0024652E"/>
    <w:rsid w:val="00247A9C"/>
    <w:rsid w:val="00250C1A"/>
    <w:rsid w:val="00251F12"/>
    <w:rsid w:val="00252839"/>
    <w:rsid w:val="002637CD"/>
    <w:rsid w:val="0027031F"/>
    <w:rsid w:val="002713AD"/>
    <w:rsid w:val="002718E2"/>
    <w:rsid w:val="00272939"/>
    <w:rsid w:val="00272C17"/>
    <w:rsid w:val="00275677"/>
    <w:rsid w:val="0027784D"/>
    <w:rsid w:val="00280119"/>
    <w:rsid w:val="0028324F"/>
    <w:rsid w:val="00283A16"/>
    <w:rsid w:val="00290FFE"/>
    <w:rsid w:val="002940BB"/>
    <w:rsid w:val="002950AE"/>
    <w:rsid w:val="00297E7F"/>
    <w:rsid w:val="002B02C8"/>
    <w:rsid w:val="002B7586"/>
    <w:rsid w:val="002C1C06"/>
    <w:rsid w:val="002C2C61"/>
    <w:rsid w:val="002C2EFA"/>
    <w:rsid w:val="002C40AE"/>
    <w:rsid w:val="002C535D"/>
    <w:rsid w:val="002D4E89"/>
    <w:rsid w:val="002D54E1"/>
    <w:rsid w:val="002D6144"/>
    <w:rsid w:val="002E578A"/>
    <w:rsid w:val="002F0E44"/>
    <w:rsid w:val="002F3E11"/>
    <w:rsid w:val="0030669F"/>
    <w:rsid w:val="00310E42"/>
    <w:rsid w:val="00312556"/>
    <w:rsid w:val="00312A25"/>
    <w:rsid w:val="003168AE"/>
    <w:rsid w:val="00322D81"/>
    <w:rsid w:val="00330129"/>
    <w:rsid w:val="003303D8"/>
    <w:rsid w:val="003314C6"/>
    <w:rsid w:val="00333D1E"/>
    <w:rsid w:val="00336EE2"/>
    <w:rsid w:val="00344A1C"/>
    <w:rsid w:val="003453CC"/>
    <w:rsid w:val="003515F5"/>
    <w:rsid w:val="00351CD5"/>
    <w:rsid w:val="00353EA1"/>
    <w:rsid w:val="00354E6A"/>
    <w:rsid w:val="003556E2"/>
    <w:rsid w:val="003614AD"/>
    <w:rsid w:val="00371461"/>
    <w:rsid w:val="00371771"/>
    <w:rsid w:val="00376AE0"/>
    <w:rsid w:val="0037721F"/>
    <w:rsid w:val="0038192F"/>
    <w:rsid w:val="00383CDE"/>
    <w:rsid w:val="00385F61"/>
    <w:rsid w:val="00394186"/>
    <w:rsid w:val="003960A7"/>
    <w:rsid w:val="003A06A7"/>
    <w:rsid w:val="003A1199"/>
    <w:rsid w:val="003A1EBF"/>
    <w:rsid w:val="003A2160"/>
    <w:rsid w:val="003A660C"/>
    <w:rsid w:val="003B048D"/>
    <w:rsid w:val="003B0EA5"/>
    <w:rsid w:val="003B5AFA"/>
    <w:rsid w:val="003B64D8"/>
    <w:rsid w:val="003B7A54"/>
    <w:rsid w:val="003C0E92"/>
    <w:rsid w:val="003C7DAF"/>
    <w:rsid w:val="003D0497"/>
    <w:rsid w:val="003D05B1"/>
    <w:rsid w:val="003D273B"/>
    <w:rsid w:val="003D6AAD"/>
    <w:rsid w:val="003E2A8D"/>
    <w:rsid w:val="003E39D1"/>
    <w:rsid w:val="003E531C"/>
    <w:rsid w:val="003E7036"/>
    <w:rsid w:val="003E77C7"/>
    <w:rsid w:val="003F0FAE"/>
    <w:rsid w:val="003F112B"/>
    <w:rsid w:val="003F6FB3"/>
    <w:rsid w:val="003F7405"/>
    <w:rsid w:val="004014CA"/>
    <w:rsid w:val="00401920"/>
    <w:rsid w:val="00411971"/>
    <w:rsid w:val="00412790"/>
    <w:rsid w:val="004147FB"/>
    <w:rsid w:val="00414CD0"/>
    <w:rsid w:val="004203C4"/>
    <w:rsid w:val="00424B5D"/>
    <w:rsid w:val="004267B3"/>
    <w:rsid w:val="00431B61"/>
    <w:rsid w:val="00431FD8"/>
    <w:rsid w:val="00432A94"/>
    <w:rsid w:val="0043339B"/>
    <w:rsid w:val="0043471E"/>
    <w:rsid w:val="00435C4D"/>
    <w:rsid w:val="0043696A"/>
    <w:rsid w:val="00436D06"/>
    <w:rsid w:val="004433C8"/>
    <w:rsid w:val="00445444"/>
    <w:rsid w:val="0044755F"/>
    <w:rsid w:val="004478AD"/>
    <w:rsid w:val="004544FB"/>
    <w:rsid w:val="004619F0"/>
    <w:rsid w:val="004633C1"/>
    <w:rsid w:val="00465384"/>
    <w:rsid w:val="00470075"/>
    <w:rsid w:val="00475A4F"/>
    <w:rsid w:val="00476864"/>
    <w:rsid w:val="0048431C"/>
    <w:rsid w:val="00484A80"/>
    <w:rsid w:val="00484D9E"/>
    <w:rsid w:val="00497358"/>
    <w:rsid w:val="004A0AEC"/>
    <w:rsid w:val="004A1D15"/>
    <w:rsid w:val="004B4AD5"/>
    <w:rsid w:val="004D4065"/>
    <w:rsid w:val="004D4ED6"/>
    <w:rsid w:val="004D72AA"/>
    <w:rsid w:val="004D7E93"/>
    <w:rsid w:val="004E3AAF"/>
    <w:rsid w:val="004E5660"/>
    <w:rsid w:val="004F217D"/>
    <w:rsid w:val="004F5630"/>
    <w:rsid w:val="004F5ADC"/>
    <w:rsid w:val="00502159"/>
    <w:rsid w:val="00502FE4"/>
    <w:rsid w:val="00503280"/>
    <w:rsid w:val="00506071"/>
    <w:rsid w:val="00506C8A"/>
    <w:rsid w:val="00516C85"/>
    <w:rsid w:val="00520491"/>
    <w:rsid w:val="005210AD"/>
    <w:rsid w:val="00521903"/>
    <w:rsid w:val="0052706E"/>
    <w:rsid w:val="0053198B"/>
    <w:rsid w:val="00533229"/>
    <w:rsid w:val="005336C7"/>
    <w:rsid w:val="00535F73"/>
    <w:rsid w:val="005375BC"/>
    <w:rsid w:val="0054081C"/>
    <w:rsid w:val="005419B6"/>
    <w:rsid w:val="005432CC"/>
    <w:rsid w:val="005450CB"/>
    <w:rsid w:val="00545436"/>
    <w:rsid w:val="00547E65"/>
    <w:rsid w:val="005541D3"/>
    <w:rsid w:val="00554E95"/>
    <w:rsid w:val="0055516D"/>
    <w:rsid w:val="00556205"/>
    <w:rsid w:val="00564938"/>
    <w:rsid w:val="00564B02"/>
    <w:rsid w:val="005663B9"/>
    <w:rsid w:val="00570061"/>
    <w:rsid w:val="00572C84"/>
    <w:rsid w:val="00574701"/>
    <w:rsid w:val="00581B68"/>
    <w:rsid w:val="00582479"/>
    <w:rsid w:val="00585D23"/>
    <w:rsid w:val="00586577"/>
    <w:rsid w:val="005905FF"/>
    <w:rsid w:val="0059173D"/>
    <w:rsid w:val="00591B8E"/>
    <w:rsid w:val="005923B9"/>
    <w:rsid w:val="00593B14"/>
    <w:rsid w:val="00594289"/>
    <w:rsid w:val="005942DB"/>
    <w:rsid w:val="00594761"/>
    <w:rsid w:val="005A0EBD"/>
    <w:rsid w:val="005A1E19"/>
    <w:rsid w:val="005A37C0"/>
    <w:rsid w:val="005A4337"/>
    <w:rsid w:val="005A456B"/>
    <w:rsid w:val="005B6AB8"/>
    <w:rsid w:val="005B7105"/>
    <w:rsid w:val="005B740E"/>
    <w:rsid w:val="005B771B"/>
    <w:rsid w:val="005B7ED2"/>
    <w:rsid w:val="005C20A8"/>
    <w:rsid w:val="005C3B2A"/>
    <w:rsid w:val="005D3352"/>
    <w:rsid w:val="005D591C"/>
    <w:rsid w:val="005D6B26"/>
    <w:rsid w:val="005F4055"/>
    <w:rsid w:val="005F7060"/>
    <w:rsid w:val="00604319"/>
    <w:rsid w:val="006106E5"/>
    <w:rsid w:val="00612265"/>
    <w:rsid w:val="00612E7E"/>
    <w:rsid w:val="00614129"/>
    <w:rsid w:val="00617C97"/>
    <w:rsid w:val="0062019B"/>
    <w:rsid w:val="0063289C"/>
    <w:rsid w:val="006409A7"/>
    <w:rsid w:val="00641BD3"/>
    <w:rsid w:val="00646363"/>
    <w:rsid w:val="00646888"/>
    <w:rsid w:val="006475DB"/>
    <w:rsid w:val="00657FC3"/>
    <w:rsid w:val="0066667A"/>
    <w:rsid w:val="00671D94"/>
    <w:rsid w:val="006728CF"/>
    <w:rsid w:val="006753EE"/>
    <w:rsid w:val="0068099C"/>
    <w:rsid w:val="006809D5"/>
    <w:rsid w:val="00681D1C"/>
    <w:rsid w:val="00685863"/>
    <w:rsid w:val="006870AA"/>
    <w:rsid w:val="006911A1"/>
    <w:rsid w:val="006927B4"/>
    <w:rsid w:val="00694D0B"/>
    <w:rsid w:val="00695AF3"/>
    <w:rsid w:val="006A1EE8"/>
    <w:rsid w:val="006A33AF"/>
    <w:rsid w:val="006A3446"/>
    <w:rsid w:val="006B0034"/>
    <w:rsid w:val="006B1475"/>
    <w:rsid w:val="006B1AE8"/>
    <w:rsid w:val="006B1DD9"/>
    <w:rsid w:val="006B2EB2"/>
    <w:rsid w:val="006B39D8"/>
    <w:rsid w:val="006C121B"/>
    <w:rsid w:val="006C1C04"/>
    <w:rsid w:val="006C29D0"/>
    <w:rsid w:val="006C4087"/>
    <w:rsid w:val="006C5E47"/>
    <w:rsid w:val="006D2DBB"/>
    <w:rsid w:val="006D6727"/>
    <w:rsid w:val="006D673D"/>
    <w:rsid w:val="006E5895"/>
    <w:rsid w:val="006E5D32"/>
    <w:rsid w:val="006E6A29"/>
    <w:rsid w:val="006F7FA0"/>
    <w:rsid w:val="006FCCB6"/>
    <w:rsid w:val="00702DE2"/>
    <w:rsid w:val="00705457"/>
    <w:rsid w:val="00707CFC"/>
    <w:rsid w:val="00707E64"/>
    <w:rsid w:val="0070A082"/>
    <w:rsid w:val="00710FC9"/>
    <w:rsid w:val="007231D2"/>
    <w:rsid w:val="0072322A"/>
    <w:rsid w:val="00727CFA"/>
    <w:rsid w:val="00730515"/>
    <w:rsid w:val="00731A9B"/>
    <w:rsid w:val="00732591"/>
    <w:rsid w:val="00743467"/>
    <w:rsid w:val="00743896"/>
    <w:rsid w:val="00747C4C"/>
    <w:rsid w:val="0075108A"/>
    <w:rsid w:val="00764A5E"/>
    <w:rsid w:val="00766173"/>
    <w:rsid w:val="00766583"/>
    <w:rsid w:val="00770585"/>
    <w:rsid w:val="00775AA5"/>
    <w:rsid w:val="00784AA3"/>
    <w:rsid w:val="00793867"/>
    <w:rsid w:val="00794279"/>
    <w:rsid w:val="007977FF"/>
    <w:rsid w:val="007A32A0"/>
    <w:rsid w:val="007A389C"/>
    <w:rsid w:val="007A4326"/>
    <w:rsid w:val="007A4BA0"/>
    <w:rsid w:val="007B07D2"/>
    <w:rsid w:val="007B11B9"/>
    <w:rsid w:val="007B206F"/>
    <w:rsid w:val="007B2CCF"/>
    <w:rsid w:val="007B426F"/>
    <w:rsid w:val="007C0FC5"/>
    <w:rsid w:val="007C1042"/>
    <w:rsid w:val="007C13A2"/>
    <w:rsid w:val="007C149D"/>
    <w:rsid w:val="007C4D58"/>
    <w:rsid w:val="007C71B6"/>
    <w:rsid w:val="007D5302"/>
    <w:rsid w:val="007D7795"/>
    <w:rsid w:val="007E1190"/>
    <w:rsid w:val="007E28D3"/>
    <w:rsid w:val="007E33AA"/>
    <w:rsid w:val="007E4A7D"/>
    <w:rsid w:val="007E4EAA"/>
    <w:rsid w:val="007E68F3"/>
    <w:rsid w:val="007F0A3F"/>
    <w:rsid w:val="007F3502"/>
    <w:rsid w:val="007F3D6B"/>
    <w:rsid w:val="007F5519"/>
    <w:rsid w:val="008029AB"/>
    <w:rsid w:val="008064FC"/>
    <w:rsid w:val="00814583"/>
    <w:rsid w:val="00815322"/>
    <w:rsid w:val="00816A2A"/>
    <w:rsid w:val="00825203"/>
    <w:rsid w:val="00826234"/>
    <w:rsid w:val="00830326"/>
    <w:rsid w:val="00830AEB"/>
    <w:rsid w:val="00831A6C"/>
    <w:rsid w:val="00842A63"/>
    <w:rsid w:val="0084710F"/>
    <w:rsid w:val="00852182"/>
    <w:rsid w:val="008551B6"/>
    <w:rsid w:val="008619F4"/>
    <w:rsid w:val="008648FF"/>
    <w:rsid w:val="008655D5"/>
    <w:rsid w:val="008661A4"/>
    <w:rsid w:val="00872B16"/>
    <w:rsid w:val="0087345A"/>
    <w:rsid w:val="00873FE8"/>
    <w:rsid w:val="00874D1A"/>
    <w:rsid w:val="00880B44"/>
    <w:rsid w:val="00882920"/>
    <w:rsid w:val="00884F87"/>
    <w:rsid w:val="00885AAB"/>
    <w:rsid w:val="00886DF5"/>
    <w:rsid w:val="00890CCF"/>
    <w:rsid w:val="00890E34"/>
    <w:rsid w:val="00891EC1"/>
    <w:rsid w:val="00893CAC"/>
    <w:rsid w:val="008956DF"/>
    <w:rsid w:val="008B5B97"/>
    <w:rsid w:val="008C201E"/>
    <w:rsid w:val="008D0494"/>
    <w:rsid w:val="008D0698"/>
    <w:rsid w:val="008D28FC"/>
    <w:rsid w:val="008D4BB3"/>
    <w:rsid w:val="008D5CDC"/>
    <w:rsid w:val="008E1BC5"/>
    <w:rsid w:val="008E4E94"/>
    <w:rsid w:val="008F1551"/>
    <w:rsid w:val="008F2DC0"/>
    <w:rsid w:val="008F4370"/>
    <w:rsid w:val="00902AA3"/>
    <w:rsid w:val="009053B5"/>
    <w:rsid w:val="009069D8"/>
    <w:rsid w:val="009071E4"/>
    <w:rsid w:val="009074E7"/>
    <w:rsid w:val="00910AAA"/>
    <w:rsid w:val="00911D3A"/>
    <w:rsid w:val="00913A90"/>
    <w:rsid w:val="00920153"/>
    <w:rsid w:val="00921C1E"/>
    <w:rsid w:val="00924C14"/>
    <w:rsid w:val="00931253"/>
    <w:rsid w:val="00932CC8"/>
    <w:rsid w:val="009363EF"/>
    <w:rsid w:val="00937236"/>
    <w:rsid w:val="0094171A"/>
    <w:rsid w:val="0094705A"/>
    <w:rsid w:val="00951AA5"/>
    <w:rsid w:val="009520AA"/>
    <w:rsid w:val="009601BD"/>
    <w:rsid w:val="00965088"/>
    <w:rsid w:val="00970114"/>
    <w:rsid w:val="009736BE"/>
    <w:rsid w:val="00983EC1"/>
    <w:rsid w:val="00992E7A"/>
    <w:rsid w:val="00993BA5"/>
    <w:rsid w:val="0099611A"/>
    <w:rsid w:val="00996B2A"/>
    <w:rsid w:val="009A1FB5"/>
    <w:rsid w:val="009A217B"/>
    <w:rsid w:val="009A61B9"/>
    <w:rsid w:val="009A7AE8"/>
    <w:rsid w:val="009B0FE4"/>
    <w:rsid w:val="009B472F"/>
    <w:rsid w:val="009B6737"/>
    <w:rsid w:val="009B758D"/>
    <w:rsid w:val="009C2259"/>
    <w:rsid w:val="009C3950"/>
    <w:rsid w:val="009D045E"/>
    <w:rsid w:val="009D3CA1"/>
    <w:rsid w:val="009D3CA3"/>
    <w:rsid w:val="009D58F4"/>
    <w:rsid w:val="009D724C"/>
    <w:rsid w:val="009E67E3"/>
    <w:rsid w:val="009F09CF"/>
    <w:rsid w:val="009F3BB7"/>
    <w:rsid w:val="009F5238"/>
    <w:rsid w:val="009F5F14"/>
    <w:rsid w:val="009F6898"/>
    <w:rsid w:val="009F7D8C"/>
    <w:rsid w:val="00A001C0"/>
    <w:rsid w:val="00A01FF0"/>
    <w:rsid w:val="00A0225C"/>
    <w:rsid w:val="00A027FE"/>
    <w:rsid w:val="00A03327"/>
    <w:rsid w:val="00A06F9D"/>
    <w:rsid w:val="00A117A3"/>
    <w:rsid w:val="00A1294F"/>
    <w:rsid w:val="00A1399D"/>
    <w:rsid w:val="00A1634E"/>
    <w:rsid w:val="00A17968"/>
    <w:rsid w:val="00A2403C"/>
    <w:rsid w:val="00A26288"/>
    <w:rsid w:val="00A32D07"/>
    <w:rsid w:val="00A37BAA"/>
    <w:rsid w:val="00A4008B"/>
    <w:rsid w:val="00A421B4"/>
    <w:rsid w:val="00A4402B"/>
    <w:rsid w:val="00A46E39"/>
    <w:rsid w:val="00A52569"/>
    <w:rsid w:val="00A54D7F"/>
    <w:rsid w:val="00A60B4B"/>
    <w:rsid w:val="00A60F51"/>
    <w:rsid w:val="00A60F6E"/>
    <w:rsid w:val="00A71D18"/>
    <w:rsid w:val="00A73DCF"/>
    <w:rsid w:val="00A869B8"/>
    <w:rsid w:val="00A86CE8"/>
    <w:rsid w:val="00A935AC"/>
    <w:rsid w:val="00AA015C"/>
    <w:rsid w:val="00AA18AC"/>
    <w:rsid w:val="00AB7B5A"/>
    <w:rsid w:val="00AC371A"/>
    <w:rsid w:val="00AC59DA"/>
    <w:rsid w:val="00AC6C3D"/>
    <w:rsid w:val="00AC75DA"/>
    <w:rsid w:val="00AD142F"/>
    <w:rsid w:val="00AD1C73"/>
    <w:rsid w:val="00AE0754"/>
    <w:rsid w:val="00AE4335"/>
    <w:rsid w:val="00AE57B0"/>
    <w:rsid w:val="00AF2E23"/>
    <w:rsid w:val="00AF62F1"/>
    <w:rsid w:val="00AF7893"/>
    <w:rsid w:val="00AF7CC2"/>
    <w:rsid w:val="00B01AC1"/>
    <w:rsid w:val="00B0318A"/>
    <w:rsid w:val="00B076C8"/>
    <w:rsid w:val="00B10232"/>
    <w:rsid w:val="00B12C75"/>
    <w:rsid w:val="00B13767"/>
    <w:rsid w:val="00B15B79"/>
    <w:rsid w:val="00B22D21"/>
    <w:rsid w:val="00B24C77"/>
    <w:rsid w:val="00B268FD"/>
    <w:rsid w:val="00B277B0"/>
    <w:rsid w:val="00B31671"/>
    <w:rsid w:val="00B3371E"/>
    <w:rsid w:val="00B42257"/>
    <w:rsid w:val="00B4392A"/>
    <w:rsid w:val="00B447E5"/>
    <w:rsid w:val="00B53037"/>
    <w:rsid w:val="00B53EB1"/>
    <w:rsid w:val="00B57674"/>
    <w:rsid w:val="00B57FC2"/>
    <w:rsid w:val="00B63B27"/>
    <w:rsid w:val="00B66864"/>
    <w:rsid w:val="00B70D3D"/>
    <w:rsid w:val="00B7199B"/>
    <w:rsid w:val="00B72869"/>
    <w:rsid w:val="00B8122E"/>
    <w:rsid w:val="00B8658F"/>
    <w:rsid w:val="00B87D7B"/>
    <w:rsid w:val="00B9102F"/>
    <w:rsid w:val="00B9106A"/>
    <w:rsid w:val="00B92FB6"/>
    <w:rsid w:val="00BA72A4"/>
    <w:rsid w:val="00BB0179"/>
    <w:rsid w:val="00BB4B85"/>
    <w:rsid w:val="00BC15B1"/>
    <w:rsid w:val="00BC39F3"/>
    <w:rsid w:val="00BD031E"/>
    <w:rsid w:val="00BE0475"/>
    <w:rsid w:val="00BE1F2E"/>
    <w:rsid w:val="00BE4656"/>
    <w:rsid w:val="00BE5F1A"/>
    <w:rsid w:val="00BF15AF"/>
    <w:rsid w:val="00BF27EC"/>
    <w:rsid w:val="00BF38A3"/>
    <w:rsid w:val="00BF3C54"/>
    <w:rsid w:val="00BF4ABD"/>
    <w:rsid w:val="00BF5F03"/>
    <w:rsid w:val="00BF699E"/>
    <w:rsid w:val="00BF69F2"/>
    <w:rsid w:val="00C0100B"/>
    <w:rsid w:val="00C01B03"/>
    <w:rsid w:val="00C0487A"/>
    <w:rsid w:val="00C0699D"/>
    <w:rsid w:val="00C14B5C"/>
    <w:rsid w:val="00C156B5"/>
    <w:rsid w:val="00C276ED"/>
    <w:rsid w:val="00C34817"/>
    <w:rsid w:val="00C3583E"/>
    <w:rsid w:val="00C40484"/>
    <w:rsid w:val="00C409C7"/>
    <w:rsid w:val="00C420C2"/>
    <w:rsid w:val="00C43FFA"/>
    <w:rsid w:val="00C443D2"/>
    <w:rsid w:val="00C47A51"/>
    <w:rsid w:val="00C55459"/>
    <w:rsid w:val="00C6422C"/>
    <w:rsid w:val="00C6571F"/>
    <w:rsid w:val="00C71181"/>
    <w:rsid w:val="00C8196B"/>
    <w:rsid w:val="00C83EEB"/>
    <w:rsid w:val="00C85493"/>
    <w:rsid w:val="00C85DB5"/>
    <w:rsid w:val="00C87185"/>
    <w:rsid w:val="00C87402"/>
    <w:rsid w:val="00C963EC"/>
    <w:rsid w:val="00C97392"/>
    <w:rsid w:val="00CA0F99"/>
    <w:rsid w:val="00CA255A"/>
    <w:rsid w:val="00CA2A30"/>
    <w:rsid w:val="00CA6FC5"/>
    <w:rsid w:val="00CB7BC5"/>
    <w:rsid w:val="00CC341D"/>
    <w:rsid w:val="00CC58B0"/>
    <w:rsid w:val="00CC7806"/>
    <w:rsid w:val="00CD02E3"/>
    <w:rsid w:val="00CD0F4C"/>
    <w:rsid w:val="00CD1DAC"/>
    <w:rsid w:val="00CD2409"/>
    <w:rsid w:val="00CD2A75"/>
    <w:rsid w:val="00CD3484"/>
    <w:rsid w:val="00CD45DF"/>
    <w:rsid w:val="00CD6A5B"/>
    <w:rsid w:val="00CD7382"/>
    <w:rsid w:val="00CE5B14"/>
    <w:rsid w:val="00CE77DC"/>
    <w:rsid w:val="00CF281E"/>
    <w:rsid w:val="00CF4FFF"/>
    <w:rsid w:val="00CF6CE9"/>
    <w:rsid w:val="00CF724F"/>
    <w:rsid w:val="00D0322E"/>
    <w:rsid w:val="00D106D8"/>
    <w:rsid w:val="00D11EA8"/>
    <w:rsid w:val="00D11F1D"/>
    <w:rsid w:val="00D120FB"/>
    <w:rsid w:val="00D124D2"/>
    <w:rsid w:val="00D12C24"/>
    <w:rsid w:val="00D1375C"/>
    <w:rsid w:val="00D152A5"/>
    <w:rsid w:val="00D1549F"/>
    <w:rsid w:val="00D217DF"/>
    <w:rsid w:val="00D24166"/>
    <w:rsid w:val="00D276F2"/>
    <w:rsid w:val="00D27F3C"/>
    <w:rsid w:val="00D31D81"/>
    <w:rsid w:val="00D34698"/>
    <w:rsid w:val="00D35A7B"/>
    <w:rsid w:val="00D41975"/>
    <w:rsid w:val="00D43B70"/>
    <w:rsid w:val="00D504E1"/>
    <w:rsid w:val="00D5334A"/>
    <w:rsid w:val="00D53558"/>
    <w:rsid w:val="00D54D4F"/>
    <w:rsid w:val="00D63530"/>
    <w:rsid w:val="00D6758A"/>
    <w:rsid w:val="00D71083"/>
    <w:rsid w:val="00D8525B"/>
    <w:rsid w:val="00D8586A"/>
    <w:rsid w:val="00D85CFD"/>
    <w:rsid w:val="00D85E1B"/>
    <w:rsid w:val="00D93391"/>
    <w:rsid w:val="00D9687A"/>
    <w:rsid w:val="00D97C93"/>
    <w:rsid w:val="00DA0332"/>
    <w:rsid w:val="00DA0A40"/>
    <w:rsid w:val="00DA0B16"/>
    <w:rsid w:val="00DA26EE"/>
    <w:rsid w:val="00DA3682"/>
    <w:rsid w:val="00DB2FF9"/>
    <w:rsid w:val="00DB35D6"/>
    <w:rsid w:val="00DB7494"/>
    <w:rsid w:val="00DC04E0"/>
    <w:rsid w:val="00DC316A"/>
    <w:rsid w:val="00DC3CDC"/>
    <w:rsid w:val="00DC4B88"/>
    <w:rsid w:val="00DC7A07"/>
    <w:rsid w:val="00DD3DAE"/>
    <w:rsid w:val="00DE189C"/>
    <w:rsid w:val="00DE3882"/>
    <w:rsid w:val="00DF02C8"/>
    <w:rsid w:val="00DF477D"/>
    <w:rsid w:val="00DF527A"/>
    <w:rsid w:val="00DF56D6"/>
    <w:rsid w:val="00DF601A"/>
    <w:rsid w:val="00DF71FD"/>
    <w:rsid w:val="00DF76C2"/>
    <w:rsid w:val="00E02357"/>
    <w:rsid w:val="00E03891"/>
    <w:rsid w:val="00E042AF"/>
    <w:rsid w:val="00E04BE8"/>
    <w:rsid w:val="00E117BF"/>
    <w:rsid w:val="00E15797"/>
    <w:rsid w:val="00E26FAC"/>
    <w:rsid w:val="00E27C40"/>
    <w:rsid w:val="00E34B78"/>
    <w:rsid w:val="00E36E27"/>
    <w:rsid w:val="00E41E90"/>
    <w:rsid w:val="00E505D2"/>
    <w:rsid w:val="00E50DC6"/>
    <w:rsid w:val="00E51D40"/>
    <w:rsid w:val="00E55D26"/>
    <w:rsid w:val="00E55EFB"/>
    <w:rsid w:val="00E56EF8"/>
    <w:rsid w:val="00E6135E"/>
    <w:rsid w:val="00E62E07"/>
    <w:rsid w:val="00E6595A"/>
    <w:rsid w:val="00E673C4"/>
    <w:rsid w:val="00E678B3"/>
    <w:rsid w:val="00E7560A"/>
    <w:rsid w:val="00E75FF8"/>
    <w:rsid w:val="00E76122"/>
    <w:rsid w:val="00E76AF7"/>
    <w:rsid w:val="00E812AB"/>
    <w:rsid w:val="00E833E7"/>
    <w:rsid w:val="00E83C6E"/>
    <w:rsid w:val="00E947E4"/>
    <w:rsid w:val="00E9589D"/>
    <w:rsid w:val="00EA689C"/>
    <w:rsid w:val="00EA7F66"/>
    <w:rsid w:val="00EB3730"/>
    <w:rsid w:val="00EC18D7"/>
    <w:rsid w:val="00EC2058"/>
    <w:rsid w:val="00EC2BE7"/>
    <w:rsid w:val="00EC3B38"/>
    <w:rsid w:val="00EC458B"/>
    <w:rsid w:val="00EC4F2D"/>
    <w:rsid w:val="00ECBF37"/>
    <w:rsid w:val="00ED0917"/>
    <w:rsid w:val="00ED3251"/>
    <w:rsid w:val="00ED5A9B"/>
    <w:rsid w:val="00ED70BF"/>
    <w:rsid w:val="00EE31ED"/>
    <w:rsid w:val="00EEB073"/>
    <w:rsid w:val="00EF23C2"/>
    <w:rsid w:val="00EF3677"/>
    <w:rsid w:val="00EF3F76"/>
    <w:rsid w:val="00EF6F87"/>
    <w:rsid w:val="00EF72F3"/>
    <w:rsid w:val="00EF7406"/>
    <w:rsid w:val="00F00667"/>
    <w:rsid w:val="00F01D0E"/>
    <w:rsid w:val="00F02CF3"/>
    <w:rsid w:val="00F06387"/>
    <w:rsid w:val="00F13408"/>
    <w:rsid w:val="00F15294"/>
    <w:rsid w:val="00F159AD"/>
    <w:rsid w:val="00F16B0D"/>
    <w:rsid w:val="00F171E5"/>
    <w:rsid w:val="00F227EC"/>
    <w:rsid w:val="00F23488"/>
    <w:rsid w:val="00F23971"/>
    <w:rsid w:val="00F24C04"/>
    <w:rsid w:val="00F25044"/>
    <w:rsid w:val="00F268BD"/>
    <w:rsid w:val="00F27A72"/>
    <w:rsid w:val="00F31306"/>
    <w:rsid w:val="00F323D7"/>
    <w:rsid w:val="00F35AB6"/>
    <w:rsid w:val="00F4231F"/>
    <w:rsid w:val="00F4465D"/>
    <w:rsid w:val="00F47CD2"/>
    <w:rsid w:val="00F50D5D"/>
    <w:rsid w:val="00F50EEB"/>
    <w:rsid w:val="00F51A10"/>
    <w:rsid w:val="00F53F2F"/>
    <w:rsid w:val="00F561E3"/>
    <w:rsid w:val="00F615C8"/>
    <w:rsid w:val="00F731AC"/>
    <w:rsid w:val="00F7360A"/>
    <w:rsid w:val="00F74729"/>
    <w:rsid w:val="00F76215"/>
    <w:rsid w:val="00F82278"/>
    <w:rsid w:val="00F82855"/>
    <w:rsid w:val="00F831EF"/>
    <w:rsid w:val="00F8661B"/>
    <w:rsid w:val="00F91009"/>
    <w:rsid w:val="00F91E76"/>
    <w:rsid w:val="00F95399"/>
    <w:rsid w:val="00F972BD"/>
    <w:rsid w:val="00F97DB0"/>
    <w:rsid w:val="00FA3BBE"/>
    <w:rsid w:val="00FB0E2A"/>
    <w:rsid w:val="00FB4E99"/>
    <w:rsid w:val="00FB52C7"/>
    <w:rsid w:val="00FB5900"/>
    <w:rsid w:val="00FB7B95"/>
    <w:rsid w:val="00FC16AB"/>
    <w:rsid w:val="00FC6949"/>
    <w:rsid w:val="00FD072D"/>
    <w:rsid w:val="00FD3840"/>
    <w:rsid w:val="00FD7AEB"/>
    <w:rsid w:val="00FE1732"/>
    <w:rsid w:val="00FE3F44"/>
    <w:rsid w:val="00FE4204"/>
    <w:rsid w:val="00FE604A"/>
    <w:rsid w:val="00FE6501"/>
    <w:rsid w:val="00FE6CE2"/>
    <w:rsid w:val="00FF018B"/>
    <w:rsid w:val="00FF0F2C"/>
    <w:rsid w:val="00FF12AE"/>
    <w:rsid w:val="00FF1830"/>
    <w:rsid w:val="00FF18C3"/>
    <w:rsid w:val="00FF2E5C"/>
    <w:rsid w:val="00FF58E5"/>
    <w:rsid w:val="00FF68A2"/>
    <w:rsid w:val="010CD3E5"/>
    <w:rsid w:val="015FE73C"/>
    <w:rsid w:val="016B8D7F"/>
    <w:rsid w:val="01844B66"/>
    <w:rsid w:val="0214DF00"/>
    <w:rsid w:val="021D5C1E"/>
    <w:rsid w:val="02297A12"/>
    <w:rsid w:val="023CA766"/>
    <w:rsid w:val="0252C3E4"/>
    <w:rsid w:val="028284C7"/>
    <w:rsid w:val="030766FB"/>
    <w:rsid w:val="0377FED7"/>
    <w:rsid w:val="03A128D8"/>
    <w:rsid w:val="03E47820"/>
    <w:rsid w:val="0401864E"/>
    <w:rsid w:val="0447165C"/>
    <w:rsid w:val="0457173A"/>
    <w:rsid w:val="045D925B"/>
    <w:rsid w:val="045F5617"/>
    <w:rsid w:val="049E9618"/>
    <w:rsid w:val="054CCBBD"/>
    <w:rsid w:val="05AF2F82"/>
    <w:rsid w:val="060704DC"/>
    <w:rsid w:val="061D53F4"/>
    <w:rsid w:val="063E69E2"/>
    <w:rsid w:val="0685A16F"/>
    <w:rsid w:val="0685F3FF"/>
    <w:rsid w:val="068A5E0F"/>
    <w:rsid w:val="068FC5B6"/>
    <w:rsid w:val="069699C0"/>
    <w:rsid w:val="06A4C6C3"/>
    <w:rsid w:val="06ABADA1"/>
    <w:rsid w:val="06B4DA02"/>
    <w:rsid w:val="06CDFE81"/>
    <w:rsid w:val="07A0345B"/>
    <w:rsid w:val="07AE281B"/>
    <w:rsid w:val="089C2252"/>
    <w:rsid w:val="08BAC088"/>
    <w:rsid w:val="08D5925F"/>
    <w:rsid w:val="08E69873"/>
    <w:rsid w:val="094B1DAD"/>
    <w:rsid w:val="09737574"/>
    <w:rsid w:val="09CC2AFD"/>
    <w:rsid w:val="09D7ACBC"/>
    <w:rsid w:val="0A7BC515"/>
    <w:rsid w:val="0AE4E3E2"/>
    <w:rsid w:val="0AE75B6A"/>
    <w:rsid w:val="0AFF9E98"/>
    <w:rsid w:val="0B305B26"/>
    <w:rsid w:val="0B62BEAE"/>
    <w:rsid w:val="0B9C9DF1"/>
    <w:rsid w:val="0CA45352"/>
    <w:rsid w:val="0CAA7050"/>
    <w:rsid w:val="0DA16F83"/>
    <w:rsid w:val="0DA74B27"/>
    <w:rsid w:val="0DB0986B"/>
    <w:rsid w:val="0E1A1DDD"/>
    <w:rsid w:val="0E1F5BE9"/>
    <w:rsid w:val="0EE5D1D4"/>
    <w:rsid w:val="0EEED540"/>
    <w:rsid w:val="0F0DAAD1"/>
    <w:rsid w:val="0F1D9297"/>
    <w:rsid w:val="0FBAC7D2"/>
    <w:rsid w:val="0FF04647"/>
    <w:rsid w:val="0FF0C280"/>
    <w:rsid w:val="1049D445"/>
    <w:rsid w:val="10A61374"/>
    <w:rsid w:val="112E4361"/>
    <w:rsid w:val="11780FF4"/>
    <w:rsid w:val="119C365F"/>
    <w:rsid w:val="11C0AB40"/>
    <w:rsid w:val="1211AD98"/>
    <w:rsid w:val="1261EDAB"/>
    <w:rsid w:val="127856DA"/>
    <w:rsid w:val="12906A36"/>
    <w:rsid w:val="129BD276"/>
    <w:rsid w:val="12B3AFA7"/>
    <w:rsid w:val="12DA810A"/>
    <w:rsid w:val="12ECE229"/>
    <w:rsid w:val="1347D19E"/>
    <w:rsid w:val="13572AD3"/>
    <w:rsid w:val="138EEC63"/>
    <w:rsid w:val="13967CCC"/>
    <w:rsid w:val="13BDB250"/>
    <w:rsid w:val="13BF5FF4"/>
    <w:rsid w:val="13CBD862"/>
    <w:rsid w:val="13F3CBAF"/>
    <w:rsid w:val="13FA1E49"/>
    <w:rsid w:val="15296120"/>
    <w:rsid w:val="1550D82F"/>
    <w:rsid w:val="155267D0"/>
    <w:rsid w:val="1560DF0B"/>
    <w:rsid w:val="1598A080"/>
    <w:rsid w:val="15D2D336"/>
    <w:rsid w:val="15E999D4"/>
    <w:rsid w:val="168B8681"/>
    <w:rsid w:val="168BB7AF"/>
    <w:rsid w:val="169F617F"/>
    <w:rsid w:val="16A0489F"/>
    <w:rsid w:val="16CC6B35"/>
    <w:rsid w:val="173480D9"/>
    <w:rsid w:val="176EBEEC"/>
    <w:rsid w:val="179C2183"/>
    <w:rsid w:val="179CE2AA"/>
    <w:rsid w:val="17AF2D1E"/>
    <w:rsid w:val="17B12B09"/>
    <w:rsid w:val="17F52E76"/>
    <w:rsid w:val="18DC4725"/>
    <w:rsid w:val="1920E8AC"/>
    <w:rsid w:val="193AB201"/>
    <w:rsid w:val="195E53B9"/>
    <w:rsid w:val="19FB506A"/>
    <w:rsid w:val="1A818394"/>
    <w:rsid w:val="1A87303B"/>
    <w:rsid w:val="1AA0530C"/>
    <w:rsid w:val="1ADFC95D"/>
    <w:rsid w:val="1AFA60AB"/>
    <w:rsid w:val="1B66C796"/>
    <w:rsid w:val="1B7D8E12"/>
    <w:rsid w:val="1BB0B261"/>
    <w:rsid w:val="1BF18224"/>
    <w:rsid w:val="1C799CAC"/>
    <w:rsid w:val="1C87FDD6"/>
    <w:rsid w:val="1CE936CB"/>
    <w:rsid w:val="1D6A9BA1"/>
    <w:rsid w:val="1D90843E"/>
    <w:rsid w:val="1D9483D1"/>
    <w:rsid w:val="1DB88FDA"/>
    <w:rsid w:val="1DD64407"/>
    <w:rsid w:val="1E0D374B"/>
    <w:rsid w:val="1E1D2C6C"/>
    <w:rsid w:val="1E2A4C11"/>
    <w:rsid w:val="1E7A4B57"/>
    <w:rsid w:val="1E966E2F"/>
    <w:rsid w:val="1EEE106E"/>
    <w:rsid w:val="1F842CCB"/>
    <w:rsid w:val="1FAA0A1E"/>
    <w:rsid w:val="1FC19CAE"/>
    <w:rsid w:val="1FCADE36"/>
    <w:rsid w:val="2055C039"/>
    <w:rsid w:val="20B5FC3B"/>
    <w:rsid w:val="20C33B67"/>
    <w:rsid w:val="214DC19D"/>
    <w:rsid w:val="21524839"/>
    <w:rsid w:val="215BA4CF"/>
    <w:rsid w:val="21C26D45"/>
    <w:rsid w:val="22045D23"/>
    <w:rsid w:val="221CC891"/>
    <w:rsid w:val="225C488E"/>
    <w:rsid w:val="227FA9C4"/>
    <w:rsid w:val="2282585E"/>
    <w:rsid w:val="22A6318B"/>
    <w:rsid w:val="22B50152"/>
    <w:rsid w:val="2307A4F1"/>
    <w:rsid w:val="23692485"/>
    <w:rsid w:val="23962CDD"/>
    <w:rsid w:val="24960085"/>
    <w:rsid w:val="24AB7543"/>
    <w:rsid w:val="24B9234A"/>
    <w:rsid w:val="254A0D76"/>
    <w:rsid w:val="25718C87"/>
    <w:rsid w:val="25ABF2BA"/>
    <w:rsid w:val="25B75F31"/>
    <w:rsid w:val="25D0FBDC"/>
    <w:rsid w:val="25D30CF3"/>
    <w:rsid w:val="25EF64A2"/>
    <w:rsid w:val="2612D5C2"/>
    <w:rsid w:val="265F517A"/>
    <w:rsid w:val="26935C20"/>
    <w:rsid w:val="26C10331"/>
    <w:rsid w:val="26DF23B0"/>
    <w:rsid w:val="27291D23"/>
    <w:rsid w:val="2740BFC6"/>
    <w:rsid w:val="274B26BC"/>
    <w:rsid w:val="277079E8"/>
    <w:rsid w:val="27BE2D75"/>
    <w:rsid w:val="27D25494"/>
    <w:rsid w:val="27D29F6C"/>
    <w:rsid w:val="27E4AFAA"/>
    <w:rsid w:val="27F8EF46"/>
    <w:rsid w:val="2827D5E0"/>
    <w:rsid w:val="28CE8788"/>
    <w:rsid w:val="298BBBA2"/>
    <w:rsid w:val="299159C1"/>
    <w:rsid w:val="2A0BA27D"/>
    <w:rsid w:val="2AB95FEC"/>
    <w:rsid w:val="2B26B7CE"/>
    <w:rsid w:val="2B8CD6B7"/>
    <w:rsid w:val="2BAFB49F"/>
    <w:rsid w:val="2BD3E81D"/>
    <w:rsid w:val="2C1B25A0"/>
    <w:rsid w:val="2C89B73A"/>
    <w:rsid w:val="2CA34ECA"/>
    <w:rsid w:val="2CE0285F"/>
    <w:rsid w:val="2CE636F5"/>
    <w:rsid w:val="2CF042C2"/>
    <w:rsid w:val="2D2A5DBE"/>
    <w:rsid w:val="2D7300CA"/>
    <w:rsid w:val="2D733B82"/>
    <w:rsid w:val="2E829BDF"/>
    <w:rsid w:val="2E8DD109"/>
    <w:rsid w:val="2ED19E60"/>
    <w:rsid w:val="2EEB2C3F"/>
    <w:rsid w:val="2F08424E"/>
    <w:rsid w:val="2F4A0A59"/>
    <w:rsid w:val="2FF84C99"/>
    <w:rsid w:val="2FF860BB"/>
    <w:rsid w:val="301ED624"/>
    <w:rsid w:val="30791C1A"/>
    <w:rsid w:val="30B4E858"/>
    <w:rsid w:val="30E06722"/>
    <w:rsid w:val="31988630"/>
    <w:rsid w:val="31D60317"/>
    <w:rsid w:val="31FDAC3C"/>
    <w:rsid w:val="320967E4"/>
    <w:rsid w:val="325B07CF"/>
    <w:rsid w:val="329B96FF"/>
    <w:rsid w:val="32CDAB1B"/>
    <w:rsid w:val="33098F73"/>
    <w:rsid w:val="3345BDAF"/>
    <w:rsid w:val="339368C8"/>
    <w:rsid w:val="33C8B26F"/>
    <w:rsid w:val="33EBEB7B"/>
    <w:rsid w:val="34FE6380"/>
    <w:rsid w:val="352EEDD1"/>
    <w:rsid w:val="353E6CDD"/>
    <w:rsid w:val="35710115"/>
    <w:rsid w:val="357CA711"/>
    <w:rsid w:val="3593EED1"/>
    <w:rsid w:val="35997144"/>
    <w:rsid w:val="35AF7CCD"/>
    <w:rsid w:val="35C6C7F0"/>
    <w:rsid w:val="35D72742"/>
    <w:rsid w:val="35FA355D"/>
    <w:rsid w:val="3639F5F2"/>
    <w:rsid w:val="365DD3F1"/>
    <w:rsid w:val="36926D61"/>
    <w:rsid w:val="3692E1FC"/>
    <w:rsid w:val="36C71253"/>
    <w:rsid w:val="3709EB9F"/>
    <w:rsid w:val="370CE753"/>
    <w:rsid w:val="371C7DBD"/>
    <w:rsid w:val="37467C32"/>
    <w:rsid w:val="374FC421"/>
    <w:rsid w:val="379170D2"/>
    <w:rsid w:val="37C587C6"/>
    <w:rsid w:val="37C747C9"/>
    <w:rsid w:val="3837684F"/>
    <w:rsid w:val="3865578E"/>
    <w:rsid w:val="38ABE013"/>
    <w:rsid w:val="38F301CE"/>
    <w:rsid w:val="3960CC5F"/>
    <w:rsid w:val="3A08F9DD"/>
    <w:rsid w:val="3A2FDD7C"/>
    <w:rsid w:val="3AB55DEF"/>
    <w:rsid w:val="3AFF06B7"/>
    <w:rsid w:val="3B0A4486"/>
    <w:rsid w:val="3B17C3D5"/>
    <w:rsid w:val="3B4D21D5"/>
    <w:rsid w:val="3B98A42C"/>
    <w:rsid w:val="3BB35747"/>
    <w:rsid w:val="3BC7244A"/>
    <w:rsid w:val="3C044934"/>
    <w:rsid w:val="3D3D89AF"/>
    <w:rsid w:val="3D54A35B"/>
    <w:rsid w:val="3D74BA52"/>
    <w:rsid w:val="3E2802A9"/>
    <w:rsid w:val="3E5A67CA"/>
    <w:rsid w:val="3E6E7F77"/>
    <w:rsid w:val="3E75A1F4"/>
    <w:rsid w:val="3E780152"/>
    <w:rsid w:val="3E7C29C5"/>
    <w:rsid w:val="3EA2178E"/>
    <w:rsid w:val="3EC16B86"/>
    <w:rsid w:val="3EDAD1AC"/>
    <w:rsid w:val="3F02C24D"/>
    <w:rsid w:val="4085B662"/>
    <w:rsid w:val="409646D6"/>
    <w:rsid w:val="4181D6CC"/>
    <w:rsid w:val="41A99EB9"/>
    <w:rsid w:val="41CEC5A3"/>
    <w:rsid w:val="422C637D"/>
    <w:rsid w:val="422E3B01"/>
    <w:rsid w:val="42587708"/>
    <w:rsid w:val="43049774"/>
    <w:rsid w:val="4304CBAF"/>
    <w:rsid w:val="430832E8"/>
    <w:rsid w:val="43482191"/>
    <w:rsid w:val="438D7075"/>
    <w:rsid w:val="43D50EB1"/>
    <w:rsid w:val="43EE0307"/>
    <w:rsid w:val="4412F0AD"/>
    <w:rsid w:val="4440FBB7"/>
    <w:rsid w:val="44513073"/>
    <w:rsid w:val="44974576"/>
    <w:rsid w:val="453CB9EE"/>
    <w:rsid w:val="4563DE6C"/>
    <w:rsid w:val="45AD3B8E"/>
    <w:rsid w:val="45BE7586"/>
    <w:rsid w:val="45C531E2"/>
    <w:rsid w:val="45CA4689"/>
    <w:rsid w:val="45EE462A"/>
    <w:rsid w:val="46D4FD8F"/>
    <w:rsid w:val="47732BC3"/>
    <w:rsid w:val="4776D294"/>
    <w:rsid w:val="4785B5E9"/>
    <w:rsid w:val="479DE5FE"/>
    <w:rsid w:val="47AC657A"/>
    <w:rsid w:val="47BE6BAE"/>
    <w:rsid w:val="47C17F3B"/>
    <w:rsid w:val="47C6AF64"/>
    <w:rsid w:val="48072467"/>
    <w:rsid w:val="481AD760"/>
    <w:rsid w:val="4836623D"/>
    <w:rsid w:val="48469A9C"/>
    <w:rsid w:val="484BD8E3"/>
    <w:rsid w:val="4896FE9B"/>
    <w:rsid w:val="48B2E8B7"/>
    <w:rsid w:val="4901432A"/>
    <w:rsid w:val="49043DB1"/>
    <w:rsid w:val="492CFB20"/>
    <w:rsid w:val="4939ADAE"/>
    <w:rsid w:val="49D44101"/>
    <w:rsid w:val="4A4126E5"/>
    <w:rsid w:val="4A66FB70"/>
    <w:rsid w:val="4A779BD8"/>
    <w:rsid w:val="4A897F7A"/>
    <w:rsid w:val="4A9B4194"/>
    <w:rsid w:val="4AA7F88E"/>
    <w:rsid w:val="4AC5E0C6"/>
    <w:rsid w:val="4ADC54BE"/>
    <w:rsid w:val="4B05A1F3"/>
    <w:rsid w:val="4B332566"/>
    <w:rsid w:val="4B5B0310"/>
    <w:rsid w:val="4C0FA064"/>
    <w:rsid w:val="4D278D58"/>
    <w:rsid w:val="4D5CA6D5"/>
    <w:rsid w:val="4D6063F7"/>
    <w:rsid w:val="4D627992"/>
    <w:rsid w:val="4D7B90AE"/>
    <w:rsid w:val="4DA2D3D3"/>
    <w:rsid w:val="4E014901"/>
    <w:rsid w:val="4E87FB3D"/>
    <w:rsid w:val="4EC4F99E"/>
    <w:rsid w:val="4F3EE359"/>
    <w:rsid w:val="4F465E6E"/>
    <w:rsid w:val="4FA770D5"/>
    <w:rsid w:val="4FC0B7B8"/>
    <w:rsid w:val="501F664A"/>
    <w:rsid w:val="502C5B6D"/>
    <w:rsid w:val="504BD585"/>
    <w:rsid w:val="5065B93B"/>
    <w:rsid w:val="511FEE8A"/>
    <w:rsid w:val="51317E50"/>
    <w:rsid w:val="5163A1F0"/>
    <w:rsid w:val="51D60815"/>
    <w:rsid w:val="51EB8DF7"/>
    <w:rsid w:val="5234F94F"/>
    <w:rsid w:val="528EAFF6"/>
    <w:rsid w:val="529077FB"/>
    <w:rsid w:val="5330ADF1"/>
    <w:rsid w:val="536E769B"/>
    <w:rsid w:val="53ED14D3"/>
    <w:rsid w:val="54CBDEC5"/>
    <w:rsid w:val="54CEF1F7"/>
    <w:rsid w:val="54D6DD50"/>
    <w:rsid w:val="54DC86C6"/>
    <w:rsid w:val="54F21900"/>
    <w:rsid w:val="55016B04"/>
    <w:rsid w:val="5535EE24"/>
    <w:rsid w:val="559F0991"/>
    <w:rsid w:val="55B8A8AF"/>
    <w:rsid w:val="55DA8C40"/>
    <w:rsid w:val="56536204"/>
    <w:rsid w:val="567528D7"/>
    <w:rsid w:val="56813F48"/>
    <w:rsid w:val="5681B6E7"/>
    <w:rsid w:val="56CD006E"/>
    <w:rsid w:val="56D3CA53"/>
    <w:rsid w:val="57511C9A"/>
    <w:rsid w:val="576CFD21"/>
    <w:rsid w:val="5783BCD5"/>
    <w:rsid w:val="58239414"/>
    <w:rsid w:val="58B191DB"/>
    <w:rsid w:val="58C14B10"/>
    <w:rsid w:val="58E7BA68"/>
    <w:rsid w:val="592B84B8"/>
    <w:rsid w:val="59A06028"/>
    <w:rsid w:val="5A7EDC87"/>
    <w:rsid w:val="5A7F9EFC"/>
    <w:rsid w:val="5AF5E6CE"/>
    <w:rsid w:val="5AF9668E"/>
    <w:rsid w:val="5BC0D3D4"/>
    <w:rsid w:val="5BDD830D"/>
    <w:rsid w:val="5C03297F"/>
    <w:rsid w:val="5C259418"/>
    <w:rsid w:val="5C8349E2"/>
    <w:rsid w:val="5CAFC387"/>
    <w:rsid w:val="5CDF6D4F"/>
    <w:rsid w:val="5CEB740F"/>
    <w:rsid w:val="5D30AAA6"/>
    <w:rsid w:val="5D6E967D"/>
    <w:rsid w:val="5D8035D7"/>
    <w:rsid w:val="5DE8171B"/>
    <w:rsid w:val="5E18CFA6"/>
    <w:rsid w:val="5E45F23F"/>
    <w:rsid w:val="5E6D6631"/>
    <w:rsid w:val="5E954B6A"/>
    <w:rsid w:val="5E965C8C"/>
    <w:rsid w:val="5F4A289E"/>
    <w:rsid w:val="5F549DB3"/>
    <w:rsid w:val="5F7B29AF"/>
    <w:rsid w:val="5F7B785D"/>
    <w:rsid w:val="5FCFBB94"/>
    <w:rsid w:val="5FD29C19"/>
    <w:rsid w:val="5FFC7EAC"/>
    <w:rsid w:val="600BC6E6"/>
    <w:rsid w:val="6022EB13"/>
    <w:rsid w:val="60363157"/>
    <w:rsid w:val="6039EEF6"/>
    <w:rsid w:val="60937F43"/>
    <w:rsid w:val="611B3801"/>
    <w:rsid w:val="616EE315"/>
    <w:rsid w:val="61912EE1"/>
    <w:rsid w:val="62AA6D3B"/>
    <w:rsid w:val="62B8655D"/>
    <w:rsid w:val="62C5CB94"/>
    <w:rsid w:val="633A3573"/>
    <w:rsid w:val="6371D53F"/>
    <w:rsid w:val="637F1CBC"/>
    <w:rsid w:val="638471D8"/>
    <w:rsid w:val="6403E696"/>
    <w:rsid w:val="64262C2B"/>
    <w:rsid w:val="6444409C"/>
    <w:rsid w:val="64FFA16E"/>
    <w:rsid w:val="6538C073"/>
    <w:rsid w:val="6563DDD6"/>
    <w:rsid w:val="657599C7"/>
    <w:rsid w:val="65E10DC5"/>
    <w:rsid w:val="65F6549D"/>
    <w:rsid w:val="6603EEB5"/>
    <w:rsid w:val="660E885C"/>
    <w:rsid w:val="663206C5"/>
    <w:rsid w:val="67486DE9"/>
    <w:rsid w:val="67AA830F"/>
    <w:rsid w:val="67CA68F0"/>
    <w:rsid w:val="6848C064"/>
    <w:rsid w:val="689573C4"/>
    <w:rsid w:val="68B4B294"/>
    <w:rsid w:val="68E22453"/>
    <w:rsid w:val="6938E1A6"/>
    <w:rsid w:val="69BA63AA"/>
    <w:rsid w:val="6A151F84"/>
    <w:rsid w:val="6A48E628"/>
    <w:rsid w:val="6A890AC3"/>
    <w:rsid w:val="6AA91981"/>
    <w:rsid w:val="6AE82E50"/>
    <w:rsid w:val="6B05CCD1"/>
    <w:rsid w:val="6B3B8A3D"/>
    <w:rsid w:val="6B7730B2"/>
    <w:rsid w:val="6B8A787D"/>
    <w:rsid w:val="6BF877BA"/>
    <w:rsid w:val="6C06B846"/>
    <w:rsid w:val="6C16D85A"/>
    <w:rsid w:val="6C29C38E"/>
    <w:rsid w:val="6C994E31"/>
    <w:rsid w:val="6CD2A133"/>
    <w:rsid w:val="6D315994"/>
    <w:rsid w:val="6D334AAE"/>
    <w:rsid w:val="6D4704AC"/>
    <w:rsid w:val="6D7A54BC"/>
    <w:rsid w:val="6D91F265"/>
    <w:rsid w:val="6E177E93"/>
    <w:rsid w:val="6E245080"/>
    <w:rsid w:val="6E37CDE7"/>
    <w:rsid w:val="6E7C8F75"/>
    <w:rsid w:val="6F0D3171"/>
    <w:rsid w:val="6F426106"/>
    <w:rsid w:val="6F92F6C2"/>
    <w:rsid w:val="7008C46E"/>
    <w:rsid w:val="707D598E"/>
    <w:rsid w:val="7093A41B"/>
    <w:rsid w:val="713C048C"/>
    <w:rsid w:val="7161D35C"/>
    <w:rsid w:val="7179DA90"/>
    <w:rsid w:val="7190234A"/>
    <w:rsid w:val="7191A198"/>
    <w:rsid w:val="71953BB8"/>
    <w:rsid w:val="71B4A424"/>
    <w:rsid w:val="71C3B20A"/>
    <w:rsid w:val="71FE0C78"/>
    <w:rsid w:val="721B38D7"/>
    <w:rsid w:val="72217D80"/>
    <w:rsid w:val="7227FCA3"/>
    <w:rsid w:val="7279E4F5"/>
    <w:rsid w:val="728FCBD7"/>
    <w:rsid w:val="72D8AE7B"/>
    <w:rsid w:val="733F232A"/>
    <w:rsid w:val="7343A464"/>
    <w:rsid w:val="73DE8AAE"/>
    <w:rsid w:val="73F2127E"/>
    <w:rsid w:val="7405F8F5"/>
    <w:rsid w:val="743F3E0C"/>
    <w:rsid w:val="74836625"/>
    <w:rsid w:val="74AA6ADC"/>
    <w:rsid w:val="74C68CD4"/>
    <w:rsid w:val="74D8AF9A"/>
    <w:rsid w:val="74E7CA83"/>
    <w:rsid w:val="74EB3C3C"/>
    <w:rsid w:val="751F340E"/>
    <w:rsid w:val="753A55F0"/>
    <w:rsid w:val="7558F86E"/>
    <w:rsid w:val="759D4475"/>
    <w:rsid w:val="75DF293F"/>
    <w:rsid w:val="7687A984"/>
    <w:rsid w:val="768A65CD"/>
    <w:rsid w:val="76AAE002"/>
    <w:rsid w:val="76B032B6"/>
    <w:rsid w:val="76FE677B"/>
    <w:rsid w:val="77961F21"/>
    <w:rsid w:val="77AB4ACF"/>
    <w:rsid w:val="780D8E4D"/>
    <w:rsid w:val="78169DAC"/>
    <w:rsid w:val="78196E79"/>
    <w:rsid w:val="789CE099"/>
    <w:rsid w:val="78AA935C"/>
    <w:rsid w:val="78B665FB"/>
    <w:rsid w:val="78C28F6F"/>
    <w:rsid w:val="78CBA83E"/>
    <w:rsid w:val="78E1B62E"/>
    <w:rsid w:val="78E4A8DE"/>
    <w:rsid w:val="798BAFA8"/>
    <w:rsid w:val="79D8DEA2"/>
    <w:rsid w:val="79DC4C78"/>
    <w:rsid w:val="79E8B20A"/>
    <w:rsid w:val="7A2BD7ED"/>
    <w:rsid w:val="7A3E8A02"/>
    <w:rsid w:val="7A7B0B73"/>
    <w:rsid w:val="7A7C6480"/>
    <w:rsid w:val="7AC200C6"/>
    <w:rsid w:val="7B52E453"/>
    <w:rsid w:val="7B91CB5B"/>
    <w:rsid w:val="7BAD9BB4"/>
    <w:rsid w:val="7C6A3C8D"/>
    <w:rsid w:val="7C7A8C3E"/>
    <w:rsid w:val="7C86AA44"/>
    <w:rsid w:val="7D05FA7E"/>
    <w:rsid w:val="7D23EDE9"/>
    <w:rsid w:val="7D390443"/>
    <w:rsid w:val="7D49CD3C"/>
    <w:rsid w:val="7D4B6B37"/>
    <w:rsid w:val="7DDFB171"/>
    <w:rsid w:val="7E469008"/>
    <w:rsid w:val="7E5113B1"/>
    <w:rsid w:val="7E5A33EB"/>
    <w:rsid w:val="7EA4B935"/>
    <w:rsid w:val="7EB70DE2"/>
    <w:rsid w:val="7F61850E"/>
    <w:rsid w:val="7F808AE2"/>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7B286"/>
  <w15:chartTrackingRefBased/>
  <w15:docId w15:val="{D4D874D7-B297-49C0-B14E-22DCDA1F5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2D7300CA"/>
    <w:pPr>
      <w:tabs>
        <w:tab w:val="center" w:pos="4680"/>
        <w:tab w:val="right" w:pos="9360"/>
      </w:tabs>
      <w:spacing w:after="0" w:line="240" w:lineRule="auto"/>
    </w:pPr>
  </w:style>
  <w:style w:type="paragraph" w:styleId="Footer">
    <w:name w:val="footer"/>
    <w:basedOn w:val="Normal"/>
    <w:uiPriority w:val="99"/>
    <w:unhideWhenUsed/>
    <w:rsid w:val="2D7300CA"/>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048D"/>
    <w:pPr>
      <w:ind w:left="720"/>
      <w:contextualSpacing/>
    </w:pPr>
  </w:style>
  <w:style w:type="paragraph" w:styleId="CommentText">
    <w:name w:val="annotation text"/>
    <w:basedOn w:val="Normal"/>
    <w:link w:val="CommentTextChar"/>
    <w:uiPriority w:val="99"/>
    <w:semiHidden/>
    <w:unhideWhenUsed/>
    <w:rsid w:val="0030669F"/>
    <w:pPr>
      <w:spacing w:line="240" w:lineRule="auto"/>
    </w:pPr>
    <w:rPr>
      <w:sz w:val="20"/>
      <w:szCs w:val="20"/>
    </w:rPr>
  </w:style>
  <w:style w:type="paragraph" w:styleId="FootnoteText">
    <w:name w:val="footnote text"/>
    <w:basedOn w:val="Normal"/>
    <w:link w:val="FootnoteTextChar"/>
    <w:uiPriority w:val="99"/>
    <w:semiHidden/>
    <w:unhideWhenUsed/>
    <w:rsid w:val="000021CD"/>
    <w:pPr>
      <w:spacing w:after="0" w:line="240" w:lineRule="auto"/>
    </w:pPr>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link w:val="CommentText"/>
    <w:uiPriority w:val="99"/>
    <w:semiHidden/>
    <w:rsid w:val="00DF477D"/>
    <w:rPr>
      <w:sz w:val="20"/>
      <w:szCs w:val="20"/>
    </w:rPr>
  </w:style>
  <w:style w:type="character" w:customStyle="1" w:styleId="FootnoteTextChar">
    <w:name w:val="Footnote Text Char"/>
    <w:basedOn w:val="DefaultParagraphFont"/>
    <w:link w:val="FootnoteText"/>
    <w:uiPriority w:val="99"/>
    <w:semiHidden/>
    <w:rsid w:val="000021CD"/>
    <w:rPr>
      <w:sz w:val="20"/>
      <w:szCs w:val="20"/>
    </w:rPr>
  </w:style>
  <w:style w:type="character" w:styleId="FootnoteReference">
    <w:name w:val="footnote reference"/>
    <w:basedOn w:val="DefaultParagraphFont"/>
    <w:uiPriority w:val="99"/>
    <w:semiHidden/>
    <w:unhideWhenUsed/>
    <w:rsid w:val="00DF477D"/>
    <w:rPr>
      <w:vertAlign w:val="superscript"/>
    </w:rPr>
  </w:style>
  <w:style w:type="character" w:styleId="Hyperlink">
    <w:name w:val="Hyperlink"/>
    <w:basedOn w:val="DefaultParagraphFont"/>
    <w:uiPriority w:val="99"/>
    <w:unhideWhenUsed/>
    <w:rsid w:val="00DF477D"/>
    <w:rPr>
      <w:color w:val="467886"/>
      <w:u w:val="single"/>
    </w:rPr>
  </w:style>
  <w:style w:type="character" w:styleId="UnresolvedMention">
    <w:name w:val="Unresolved Mention"/>
    <w:basedOn w:val="DefaultParagraphFont"/>
    <w:uiPriority w:val="99"/>
    <w:semiHidden/>
    <w:unhideWhenUsed/>
    <w:rsid w:val="008D5CDC"/>
    <w:rPr>
      <w:color w:val="605E5C"/>
      <w:shd w:val="clear" w:color="auto" w:fill="E1DFDD"/>
    </w:rPr>
  </w:style>
  <w:style w:type="paragraph" w:customStyle="1" w:styleId="Default">
    <w:name w:val="Default"/>
    <w:rsid w:val="00B4392A"/>
    <w:pPr>
      <w:autoSpaceDE w:val="0"/>
      <w:autoSpaceDN w:val="0"/>
      <w:adjustRightInd w:val="0"/>
      <w:spacing w:after="0" w:line="240" w:lineRule="auto"/>
    </w:pPr>
    <w:rPr>
      <w:rFonts w:ascii="Times New Roman" w:hAnsi="Times New Roman" w:cs="Times New Roman"/>
      <w:color w:val="000000"/>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pachamama.org.ec/noticias/audiencia-comision-interamericana-derechos-humanos-etsx3-6mppd" TargetMode="External"/><Relationship Id="rId13" Type="http://schemas.openxmlformats.org/officeDocument/2006/relationships/hyperlink" Target="https://www.radiopichincha.com/gobierno-suspendio-senal-medio-comunitario-tv-micc/" TargetMode="External"/><Relationship Id="rId18" Type="http://schemas.openxmlformats.org/officeDocument/2006/relationships/hyperlink" Target="https://fundamedios.org.ec/alertas/medio-comunitario-ecuatoriano-sufrio-ataque-digital-y-quedo-fuera-del-aire-5-horas/" TargetMode="External"/><Relationship Id="rId3" Type="http://schemas.openxmlformats.org/officeDocument/2006/relationships/hyperlink" Target="https://fundamedios.org.ec/wp-content/uploads/2026/07/informe-actualizado-2025.pdf.pdf" TargetMode="External"/><Relationship Id="rId21" Type="http://schemas.openxmlformats.org/officeDocument/2006/relationships/hyperlink" Target="https://www.radiopichincha.com/nuevos-ataques-informaticos-radio-pichincha/" TargetMode="External"/><Relationship Id="rId7" Type="http://schemas.openxmlformats.org/officeDocument/2006/relationships/hyperlink" Target="https://www.pachamama.org.ec/noticias/audiencia-comision-interamericana-derechos-humanos-etsx3" TargetMode="External"/><Relationship Id="rId12" Type="http://schemas.openxmlformats.org/officeDocument/2006/relationships/hyperlink" Target="https://x.com/inredh1/status/1972307030481186907" TargetMode="External"/><Relationship Id="rId17" Type="http://schemas.openxmlformats.org/officeDocument/2006/relationships/hyperlink" Target="https://www.facebook.com/watch/?v=827850969933828" TargetMode="External"/><Relationship Id="rId2" Type="http://schemas.openxmlformats.org/officeDocument/2006/relationships/hyperlink" Target="https://www.radiopichincha.com/relatora-onu-ley-transparencia-social-derechos/" TargetMode="External"/><Relationship Id="rId16" Type="http://schemas.openxmlformats.org/officeDocument/2006/relationships/hyperlink" Target="https://fundamedios.org.ec/alertas/ataque-digital-contra-radio-de-la-prefectura-de-pichincha-deja-su-pagina-web-inhabilitada/" TargetMode="External"/><Relationship Id="rId20" Type="http://schemas.openxmlformats.org/officeDocument/2006/relationships/hyperlink" Target="https://fundamedios.org.ec/fundamedios-fortalece-acciones-frente-a-la-censura-digital-que-afecta-a-medios-y-periodistas-en-ecuador/" TargetMode="External"/><Relationship Id="rId1" Type="http://schemas.openxmlformats.org/officeDocument/2006/relationships/hyperlink" Target="https://www.primicias.ec/politica/ley-transparencia-fundaciones-ecuador-registro-oficial-daniel-noboa-103894/" TargetMode="External"/><Relationship Id="rId6" Type="http://schemas.openxmlformats.org/officeDocument/2006/relationships/hyperlink" Target="https://www.pachamama.org.ec/noticias/comunicado-oficial-fundacion-pachamama" TargetMode="External"/><Relationship Id="rId11" Type="http://schemas.openxmlformats.org/officeDocument/2006/relationships/hyperlink" Target="https://x.com/inredh1/status/1972451643074433272" TargetMode="External"/><Relationship Id="rId5" Type="http://schemas.openxmlformats.org/officeDocument/2006/relationships/hyperlink" Target="https://www.radiopichincha.com/unorcac-congelamiento-cuentas-bancarias/" TargetMode="External"/><Relationship Id="rId15" Type="http://schemas.openxmlformats.org/officeDocument/2006/relationships/hyperlink" Target="https://x.com/BNPeriodismo/status/1977512127138333058" TargetMode="External"/><Relationship Id="rId10" Type="http://schemas.openxmlformats.org/officeDocument/2006/relationships/hyperlink" Target="https://www.facebook.com/share/p/17nDunNKcm/" TargetMode="External"/><Relationship Id="rId19" Type="http://schemas.openxmlformats.org/officeDocument/2006/relationships/hyperlink" Target="https://gk.city/2022/03/14/ciberataques-ecuador-organizaciones-medios/" TargetMode="External"/><Relationship Id="rId4" Type="http://schemas.openxmlformats.org/officeDocument/2006/relationships/hyperlink" Target="https://www.metroecuador.com.ec/noticias/2025/09/20/conaie-denuncia-bloqueo-de-cuentas-bancarias-de-dirigentes-y-organizaciones-indigenas-tras-convocatoria-a-paro-nacional/" TargetMode="External"/><Relationship Id="rId9" Type="http://schemas.openxmlformats.org/officeDocument/2006/relationships/hyperlink" Target="https://www.bbc.com/mundo/articles/cy5vl9wl6ngo" TargetMode="External"/><Relationship Id="rId14" Type="http://schemas.openxmlformats.org/officeDocument/2006/relationships/hyperlink" Target="https://inredh.org/archivos/pdf/analisis_paro_202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3B45978A-2481-4CCE-B6FF-977292E60167}">
  <ds:schemaRefs>
    <ds:schemaRef ds:uri="http://schemas.microsoft.com/sharepoint/v3/contenttype/forms"/>
  </ds:schemaRefs>
</ds:datastoreItem>
</file>

<file path=customXml/itemProps2.xml><?xml version="1.0" encoding="utf-8"?>
<ds:datastoreItem xmlns:ds="http://schemas.openxmlformats.org/officeDocument/2006/customXml" ds:itemID="{31E48316-1D88-4134-965D-C618E9E08F36}"/>
</file>

<file path=customXml/itemProps3.xml><?xml version="1.0" encoding="utf-8"?>
<ds:datastoreItem xmlns:ds="http://schemas.openxmlformats.org/officeDocument/2006/customXml" ds:itemID="{ADAF34AA-A134-4DC5-95BE-5806E8A324AC}">
  <ds:schemaRefs>
    <ds:schemaRef ds:uri="http://schemas.openxmlformats.org/officeDocument/2006/bibliography"/>
  </ds:schemaRefs>
</ds:datastoreItem>
</file>

<file path=customXml/itemProps4.xml><?xml version="1.0" encoding="utf-8"?>
<ds:datastoreItem xmlns:ds="http://schemas.openxmlformats.org/officeDocument/2006/customXml" ds:itemID="{45CF2485-3DEA-497A-896D-FA55CC1848B7}">
  <ds:schemaRefs>
    <ds:schemaRef ds:uri="http://schemas.microsoft.com/office/2006/metadata/properties"/>
    <ds:schemaRef ds:uri="http://schemas.microsoft.com/office/infopath/2007/PartnerControls"/>
    <ds:schemaRef ds:uri="985ec44e-1bab-4c0b-9df0-6ba128686fc9"/>
    <ds:schemaRef ds:uri="11a6fe0c-d8de-4390-afb3-d9c7c54181f0"/>
    <ds:schemaRef ds:uri="b248d7e1-e1e1-4a8e-9310-749402edb8a9"/>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3199</Words>
  <Characters>18238</Characters>
  <Application>Microsoft Office Word</Application>
  <DocSecurity>0</DocSecurity>
  <Lines>151</Lines>
  <Paragraphs>42</Paragraphs>
  <ScaleCrop>false</ScaleCrop>
  <Company/>
  <LinksUpToDate>false</LinksUpToDate>
  <CharactersWithSpaces>21395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Jurídico Microsoft</dc:creator>
  <cp:keywords/>
  <dc:description/>
  <cp:lastModifiedBy>Genesis Andrea Toapanta Ramos</cp:lastModifiedBy>
  <cp:revision>3</cp:revision>
  <cp:lastPrinted>2026-07-04T12:37:00Z</cp:lastPrinted>
  <dcterms:created xsi:type="dcterms:W3CDTF">2026-07-04T12:38:00Z</dcterms:created>
  <dcterms:modified xsi:type="dcterms:W3CDTF">2026-07-06T07:32:00Z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