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5D5F7" w14:textId="77777777" w:rsidR="009366E1" w:rsidRDefault="009366E1" w:rsidP="009366E1">
      <w:pPr>
        <w:shd w:val="clear" w:color="auto" w:fill="D9D9D9" w:themeFill="background1" w:themeFillShade="D9"/>
        <w:spacing w:after="0"/>
        <w:jc w:val="center"/>
        <w:rPr>
          <w:b/>
          <w:bCs/>
        </w:rPr>
      </w:pPr>
    </w:p>
    <w:p w14:paraId="56313AB2" w14:textId="25F4AEE2" w:rsidR="001E3370" w:rsidRPr="001E3370" w:rsidRDefault="001E3370" w:rsidP="001E3370">
      <w:pPr>
        <w:shd w:val="clear" w:color="auto" w:fill="D9D9D9" w:themeFill="background1" w:themeFillShade="D9"/>
        <w:jc w:val="center"/>
        <w:rPr>
          <w:b/>
          <w:bCs/>
        </w:rPr>
      </w:pPr>
      <w:r w:rsidRPr="001E3370">
        <w:rPr>
          <w:b/>
          <w:bCs/>
        </w:rPr>
        <w:t>EUROMIL Submission to the OHCHR</w:t>
      </w:r>
    </w:p>
    <w:p w14:paraId="68ADA0A1" w14:textId="77777777" w:rsidR="009366E1" w:rsidRDefault="001E3370" w:rsidP="009366E1">
      <w:pPr>
        <w:shd w:val="clear" w:color="auto" w:fill="D9D9D9" w:themeFill="background1" w:themeFillShade="D9"/>
        <w:spacing w:after="0"/>
        <w:jc w:val="center"/>
        <w:rPr>
          <w:b/>
          <w:bCs/>
        </w:rPr>
      </w:pPr>
      <w:r w:rsidRPr="001E3370">
        <w:rPr>
          <w:b/>
          <w:bCs/>
        </w:rPr>
        <w:t xml:space="preserve">Call for Comments on Draft General Comment No. 38 </w:t>
      </w:r>
    </w:p>
    <w:p w14:paraId="39A59EDF" w14:textId="1936DC49" w:rsidR="001E3370" w:rsidRDefault="001E3370" w:rsidP="009366E1">
      <w:pPr>
        <w:shd w:val="clear" w:color="auto" w:fill="D9D9D9" w:themeFill="background1" w:themeFillShade="D9"/>
        <w:spacing w:after="0"/>
        <w:jc w:val="center"/>
        <w:rPr>
          <w:b/>
          <w:bCs/>
        </w:rPr>
      </w:pPr>
      <w:r w:rsidRPr="001E3370">
        <w:rPr>
          <w:b/>
          <w:bCs/>
        </w:rPr>
        <w:t>(Article 22 ICCPR – Freedom of Association)</w:t>
      </w:r>
    </w:p>
    <w:p w14:paraId="3C705227" w14:textId="77777777" w:rsidR="009366E1" w:rsidRPr="001E3370" w:rsidRDefault="009366E1" w:rsidP="009366E1">
      <w:pPr>
        <w:shd w:val="clear" w:color="auto" w:fill="D9D9D9" w:themeFill="background1" w:themeFillShade="D9"/>
        <w:spacing w:after="0"/>
        <w:jc w:val="center"/>
        <w:rPr>
          <w:b/>
          <w:bCs/>
        </w:rPr>
      </w:pPr>
    </w:p>
    <w:p w14:paraId="21CCB38B" w14:textId="77777777" w:rsidR="001E3370" w:rsidRPr="0060740B" w:rsidRDefault="001E3370" w:rsidP="001E3370">
      <w:pPr>
        <w:jc w:val="both"/>
      </w:pPr>
    </w:p>
    <w:p w14:paraId="4510AFDE" w14:textId="77777777" w:rsidR="001E3370" w:rsidRPr="001E3370" w:rsidRDefault="001E3370" w:rsidP="001E3370">
      <w:pPr>
        <w:jc w:val="both"/>
        <w:rPr>
          <w:b/>
          <w:bCs/>
        </w:rPr>
      </w:pPr>
      <w:r w:rsidRPr="001E3370">
        <w:rPr>
          <w:b/>
          <w:bCs/>
        </w:rPr>
        <w:t>I. Introduction</w:t>
      </w:r>
    </w:p>
    <w:p w14:paraId="6CE93960" w14:textId="77777777" w:rsidR="001E3370" w:rsidRPr="0060740B" w:rsidRDefault="001E3370" w:rsidP="001E3370">
      <w:pPr>
        <w:jc w:val="both"/>
      </w:pPr>
      <w:r w:rsidRPr="0060740B">
        <w:t>The European Organisation of Military Associations and Trade Unions (EUROMIL) welcomes the opportunity to provide input to the draft General Comment No. 38 on Article 22 of the International Covenant on Civil and Political Rights (ICCPR).</w:t>
      </w:r>
    </w:p>
    <w:p w14:paraId="3DD08A0C" w14:textId="77777777" w:rsidR="001E3370" w:rsidRPr="0060740B" w:rsidRDefault="001E3370" w:rsidP="001E3370">
      <w:pPr>
        <w:jc w:val="both"/>
      </w:pPr>
      <w:r w:rsidRPr="0060740B">
        <w:t xml:space="preserve">EUROMIL represents military personnel across Europe and advocates for the protection of their fundamental rights, including the right to freedom of association. In this context, EUROMIL attaches particular importance to the interpretation and application of Article 22 </w:t>
      </w:r>
      <w:proofErr w:type="gramStart"/>
      <w:r w:rsidRPr="0060740B">
        <w:t>with regard to</w:t>
      </w:r>
      <w:proofErr w:type="gramEnd"/>
      <w:r w:rsidRPr="0060740B">
        <w:t xml:space="preserve"> members of the armed forces.</w:t>
      </w:r>
    </w:p>
    <w:p w14:paraId="10D43C43" w14:textId="09714F97" w:rsidR="001E3370" w:rsidRPr="0060740B" w:rsidRDefault="001E3370" w:rsidP="001E3370">
      <w:pPr>
        <w:jc w:val="both"/>
      </w:pPr>
      <w:r w:rsidRPr="0060740B">
        <w:t>EUROMIL welcomes the comprehensive and forward-looking nature of the draft General Comment, as well as its reaffirmation that freedom of association constitutes a cornerstone of democratic societies and an enabling right for the enjoyment of other fundamental freedoms.</w:t>
      </w:r>
    </w:p>
    <w:p w14:paraId="7F96AFA2" w14:textId="77777777" w:rsidR="001E3370" w:rsidRPr="0060740B" w:rsidRDefault="001E3370" w:rsidP="001E3370">
      <w:pPr>
        <w:jc w:val="both"/>
      </w:pPr>
      <w:r w:rsidRPr="0060740B">
        <w:t xml:space="preserve">At the same time, EUROMIL respectfully considers that further clarification would be beneficial </w:t>
      </w:r>
      <w:proofErr w:type="gramStart"/>
      <w:r w:rsidRPr="0060740B">
        <w:t>with regard to</w:t>
      </w:r>
      <w:proofErr w:type="gramEnd"/>
      <w:r w:rsidRPr="0060740B">
        <w:t xml:space="preserve"> the specific situation of military personnel. In practice, the implementation of Article 22 in this context remains uneven, and additional guidance could assist States Parties in ensuring that the right is both recognised and effectively exercised.</w:t>
      </w:r>
    </w:p>
    <w:p w14:paraId="52DCE3DE" w14:textId="77777777" w:rsidR="001E3370" w:rsidRPr="0060740B" w:rsidRDefault="001E3370" w:rsidP="001E3370">
      <w:pPr>
        <w:jc w:val="both"/>
      </w:pPr>
    </w:p>
    <w:p w14:paraId="64E62AE0" w14:textId="51BE7D06" w:rsidR="001E3370" w:rsidRDefault="001E3370" w:rsidP="001E3370">
      <w:pPr>
        <w:jc w:val="both"/>
        <w:rPr>
          <w:b/>
          <w:bCs/>
        </w:rPr>
      </w:pPr>
      <w:r w:rsidRPr="001E3370">
        <w:rPr>
          <w:b/>
          <w:bCs/>
        </w:rPr>
        <w:t>II. Specific Proposed Amendments (in order of the draft)</w:t>
      </w:r>
    </w:p>
    <w:p w14:paraId="6CFC4C5D" w14:textId="4B06F4B2" w:rsidR="001E3370" w:rsidRPr="001E3370" w:rsidRDefault="001E3370" w:rsidP="001E3370">
      <w:pPr>
        <w:jc w:val="both"/>
        <w:rPr>
          <w:b/>
          <w:bCs/>
        </w:rPr>
      </w:pPr>
      <w:r w:rsidRPr="001E3370">
        <w:rPr>
          <w:b/>
          <w:bCs/>
        </w:rPr>
        <w:t>1. Digital Dimension and De Facto Restrictions (after paragraph 11)</w:t>
      </w:r>
    </w:p>
    <w:p w14:paraId="38DEEDCF" w14:textId="61192E16" w:rsidR="001E3370" w:rsidRPr="0060740B" w:rsidRDefault="001E3370" w:rsidP="001E3370">
      <w:pPr>
        <w:jc w:val="both"/>
      </w:pPr>
      <w:r w:rsidRPr="0060740B">
        <w:t>EUROMIL notes the importance attributed in the draft to the role of digital technologies. In military contexts, particularly during deployments, restrictions on communication tools may have unintended consequences on the practical exercise of the right.</w:t>
      </w:r>
    </w:p>
    <w:p w14:paraId="5B55E275" w14:textId="77777777" w:rsidR="001E3370" w:rsidRPr="0060740B" w:rsidRDefault="001E3370" w:rsidP="001E3370">
      <w:pPr>
        <w:jc w:val="both"/>
      </w:pPr>
      <w:r w:rsidRPr="0060740B">
        <w:t>EUROMIL therefore suggests the following addition:</w:t>
      </w:r>
    </w:p>
    <w:p w14:paraId="7B06A965" w14:textId="2ED77615" w:rsidR="001E3370" w:rsidRPr="001E3370" w:rsidRDefault="001E3370" w:rsidP="001E3370">
      <w:pPr>
        <w:jc w:val="both"/>
        <w:rPr>
          <w:i/>
          <w:iCs/>
        </w:rPr>
      </w:pPr>
      <w:r w:rsidRPr="0060740B">
        <w:t>“</w:t>
      </w:r>
      <w:r w:rsidRPr="001E3370">
        <w:rPr>
          <w:i/>
          <w:iCs/>
        </w:rPr>
        <w:t>Restrictions on access to digital communication tools, including in military contexts such as deployments, must not result in a de facto denial of the right to freedom of association.</w:t>
      </w:r>
    </w:p>
    <w:p w14:paraId="5F59FA97" w14:textId="796AD097" w:rsidR="00403C4E" w:rsidRPr="009366E1" w:rsidRDefault="001E3370" w:rsidP="001E3370">
      <w:pPr>
        <w:jc w:val="both"/>
        <w:rPr>
          <w:i/>
          <w:iCs/>
        </w:rPr>
      </w:pPr>
      <w:r w:rsidRPr="001E3370">
        <w:rPr>
          <w:i/>
          <w:iCs/>
        </w:rPr>
        <w:t>Any such limitations must be strictly necessary and proportionate.”</w:t>
      </w:r>
    </w:p>
    <w:p w14:paraId="4E9D149C" w14:textId="2580F594" w:rsidR="001E3370" w:rsidRPr="001E3370" w:rsidRDefault="001E3370" w:rsidP="001E3370">
      <w:pPr>
        <w:jc w:val="both"/>
        <w:rPr>
          <w:b/>
          <w:bCs/>
        </w:rPr>
      </w:pPr>
      <w:r w:rsidRPr="001E3370">
        <w:rPr>
          <w:b/>
          <w:bCs/>
        </w:rPr>
        <w:lastRenderedPageBreak/>
        <w:t>2. Institutional Value of Freedom of Association (after paragraph 22/24)</w:t>
      </w:r>
    </w:p>
    <w:p w14:paraId="6BA73002" w14:textId="5BC6FE84" w:rsidR="001E3370" w:rsidRPr="0060740B" w:rsidRDefault="001E3370" w:rsidP="001E3370">
      <w:pPr>
        <w:jc w:val="both"/>
      </w:pPr>
      <w:r w:rsidRPr="0060740B">
        <w:t>EUROMIL observes that the draft primarily emphasises the individual and democratic dimensions of the right. It may be useful to also reflect its contribution to institutional functioning.</w:t>
      </w:r>
    </w:p>
    <w:p w14:paraId="07E9A628" w14:textId="77777777" w:rsidR="001E3370" w:rsidRPr="0060740B" w:rsidRDefault="001E3370" w:rsidP="001E3370">
      <w:pPr>
        <w:jc w:val="both"/>
      </w:pPr>
      <w:r w:rsidRPr="0060740B">
        <w:t>EUROMIL therefore suggests:</w:t>
      </w:r>
    </w:p>
    <w:p w14:paraId="44CCBADA" w14:textId="77777777" w:rsidR="001E3370" w:rsidRPr="001E3370" w:rsidRDefault="001E3370" w:rsidP="001E3370">
      <w:pPr>
        <w:jc w:val="both"/>
        <w:rPr>
          <w:i/>
          <w:iCs/>
        </w:rPr>
      </w:pPr>
      <w:r w:rsidRPr="001E3370">
        <w:rPr>
          <w:i/>
          <w:iCs/>
        </w:rPr>
        <w:t>“The effective protection of the right to freedom of association within the armed forces contributes not only to the protection of individual rights but also to institutional resilience, accountability and operational effectiveness.</w:t>
      </w:r>
    </w:p>
    <w:p w14:paraId="3C740927" w14:textId="379CF273" w:rsidR="001E3370" w:rsidRPr="00A53EC8" w:rsidRDefault="001E3370" w:rsidP="001E3370">
      <w:pPr>
        <w:jc w:val="both"/>
        <w:rPr>
          <w:i/>
          <w:iCs/>
        </w:rPr>
      </w:pPr>
      <w:r w:rsidRPr="001E3370">
        <w:rPr>
          <w:i/>
          <w:iCs/>
        </w:rPr>
        <w:t>Representative associations can serve as important channels for addressing grievances, improving working conditions and strengthening trust within defence institutions.”</w:t>
      </w:r>
    </w:p>
    <w:p w14:paraId="4A8FEF70" w14:textId="77777777" w:rsidR="001E3370" w:rsidRPr="001E3370" w:rsidRDefault="001E3370" w:rsidP="001E3370">
      <w:pPr>
        <w:jc w:val="both"/>
        <w:rPr>
          <w:b/>
          <w:bCs/>
        </w:rPr>
      </w:pPr>
      <w:r w:rsidRPr="001E3370">
        <w:rPr>
          <w:b/>
          <w:bCs/>
        </w:rPr>
        <w:t>3. Recognition of Evolving State Practice (after paragraph 26/27)</w:t>
      </w:r>
    </w:p>
    <w:p w14:paraId="2580FA29" w14:textId="0604EEEF" w:rsidR="001E3370" w:rsidRPr="0060740B" w:rsidRDefault="001E3370" w:rsidP="001E3370">
      <w:pPr>
        <w:jc w:val="both"/>
      </w:pPr>
      <w:r w:rsidRPr="0060740B">
        <w:t>EUROMIL notes the increasing number of States Parties that have introduced frameworks enabling military personnel to associate.</w:t>
      </w:r>
    </w:p>
    <w:p w14:paraId="6009CD23" w14:textId="77777777" w:rsidR="001E3370" w:rsidRPr="0060740B" w:rsidRDefault="001E3370" w:rsidP="001E3370">
      <w:pPr>
        <w:jc w:val="both"/>
      </w:pPr>
      <w:r w:rsidRPr="0060740B">
        <w:t>EUROMIL therefore suggests:</w:t>
      </w:r>
    </w:p>
    <w:p w14:paraId="37B461BB" w14:textId="77777777" w:rsidR="001E3370" w:rsidRPr="001E3370" w:rsidRDefault="001E3370" w:rsidP="001E3370">
      <w:pPr>
        <w:jc w:val="both"/>
        <w:rPr>
          <w:i/>
          <w:iCs/>
        </w:rPr>
      </w:pPr>
      <w:r w:rsidRPr="001E3370">
        <w:rPr>
          <w:i/>
          <w:iCs/>
        </w:rPr>
        <w:t>“The Committee notes that a growing number of States Parties have established frameworks allowing members of the armed forces to form or join professional associations or trade unions.</w:t>
      </w:r>
    </w:p>
    <w:p w14:paraId="729E216E" w14:textId="2A3F9821" w:rsidR="001E3370" w:rsidRPr="00D84F43" w:rsidRDefault="001E3370" w:rsidP="001E3370">
      <w:pPr>
        <w:jc w:val="both"/>
        <w:rPr>
          <w:i/>
          <w:iCs/>
        </w:rPr>
      </w:pPr>
      <w:r w:rsidRPr="001E3370">
        <w:rPr>
          <w:i/>
          <w:iCs/>
        </w:rPr>
        <w:t>This evolving practice demonstrates that the protection of these rights is compatible with military effectiveness, discipline and operational readiness.”</w:t>
      </w:r>
    </w:p>
    <w:p w14:paraId="37757365" w14:textId="77777777" w:rsidR="001E3370" w:rsidRPr="001E3370" w:rsidRDefault="001E3370" w:rsidP="001E3370">
      <w:pPr>
        <w:jc w:val="both"/>
        <w:rPr>
          <w:b/>
          <w:bCs/>
        </w:rPr>
      </w:pPr>
      <w:r w:rsidRPr="001E3370">
        <w:rPr>
          <w:b/>
          <w:bCs/>
        </w:rPr>
        <w:t>4. Clarification of the Rights of Military Personnel (after paragraph 27)</w:t>
      </w:r>
    </w:p>
    <w:p w14:paraId="66581D96" w14:textId="51F3596B" w:rsidR="001E3370" w:rsidRPr="0060740B" w:rsidRDefault="001E3370" w:rsidP="001E3370">
      <w:pPr>
        <w:jc w:val="both"/>
      </w:pPr>
      <w:r w:rsidRPr="0060740B">
        <w:t>EUROMIL welcomes the recognition that members of the armed forces are covered by Article 22, while noting that further clarification may assist in ensuring consistent implementation.</w:t>
      </w:r>
    </w:p>
    <w:p w14:paraId="5D73F8FA" w14:textId="77777777" w:rsidR="001E3370" w:rsidRPr="0060740B" w:rsidRDefault="001E3370" w:rsidP="001E3370">
      <w:pPr>
        <w:jc w:val="both"/>
      </w:pPr>
      <w:r w:rsidRPr="0060740B">
        <w:t>EUROMIL therefore suggests:</w:t>
      </w:r>
    </w:p>
    <w:p w14:paraId="7F1EB743" w14:textId="77777777" w:rsidR="001E3370" w:rsidRPr="001E3370" w:rsidRDefault="001E3370" w:rsidP="001E3370">
      <w:pPr>
        <w:jc w:val="both"/>
        <w:rPr>
          <w:i/>
          <w:iCs/>
        </w:rPr>
      </w:pPr>
      <w:r w:rsidRPr="001E3370">
        <w:rPr>
          <w:i/>
          <w:iCs/>
        </w:rPr>
        <w:t>“Any restrictions imposed on members of the armed forces must be interpreted narrowly and must not undermine the essence of the right to freedom of association. While States may regulate the exercise of this right, they remain under a positive obligation to ensure that military personnel have access to independent and representative associations capable of defending their professional, social and economic interests.</w:t>
      </w:r>
    </w:p>
    <w:p w14:paraId="5859990B" w14:textId="2941CA4F" w:rsidR="001E3370" w:rsidRPr="009366E1" w:rsidRDefault="001E3370" w:rsidP="001E3370">
      <w:pPr>
        <w:jc w:val="both"/>
        <w:rPr>
          <w:i/>
          <w:iCs/>
        </w:rPr>
      </w:pPr>
      <w:r w:rsidRPr="001E3370">
        <w:rPr>
          <w:i/>
          <w:iCs/>
        </w:rPr>
        <w:t>Such associations must be able to operate freely, represent their members without fear of reprisals, and engage in dialogue with competent authorities. Blanket prohibitions on the establishment or functioning of such associations are incompatible with article 22.”</w:t>
      </w:r>
    </w:p>
    <w:p w14:paraId="00511870" w14:textId="77777777" w:rsidR="001E3370" w:rsidRPr="001E3370" w:rsidRDefault="001E3370" w:rsidP="001E3370">
      <w:pPr>
        <w:jc w:val="both"/>
        <w:rPr>
          <w:b/>
          <w:bCs/>
        </w:rPr>
      </w:pPr>
      <w:r w:rsidRPr="001E3370">
        <w:rPr>
          <w:b/>
          <w:bCs/>
        </w:rPr>
        <w:lastRenderedPageBreak/>
        <w:t>5. Protection Against Reprisals in Hierarchical Structures (after paragraph 30)</w:t>
      </w:r>
    </w:p>
    <w:p w14:paraId="02BAEBE7" w14:textId="1D7B3246" w:rsidR="001E3370" w:rsidRPr="0060740B" w:rsidRDefault="001E3370" w:rsidP="001E3370">
      <w:pPr>
        <w:jc w:val="both"/>
      </w:pPr>
      <w:r w:rsidRPr="0060740B">
        <w:t xml:space="preserve">EUROMIL notes that the draft addresses reprisals in general terms. Given the </w:t>
      </w:r>
      <w:proofErr w:type="gramStart"/>
      <w:r w:rsidRPr="0060740B">
        <w:t>particular characteristics</w:t>
      </w:r>
      <w:proofErr w:type="gramEnd"/>
      <w:r w:rsidRPr="0060740B">
        <w:t xml:space="preserve"> of hierarchical institutions, additional clarification could be useful.</w:t>
      </w:r>
    </w:p>
    <w:p w14:paraId="57F8B44A" w14:textId="77777777" w:rsidR="001E3370" w:rsidRPr="0060740B" w:rsidRDefault="001E3370" w:rsidP="001E3370">
      <w:pPr>
        <w:jc w:val="both"/>
      </w:pPr>
      <w:r w:rsidRPr="0060740B">
        <w:t>EUROMIL therefore suggests:</w:t>
      </w:r>
    </w:p>
    <w:p w14:paraId="7CFA367D" w14:textId="77777777" w:rsidR="001E3370" w:rsidRPr="001E3370" w:rsidRDefault="001E3370" w:rsidP="001E3370">
      <w:pPr>
        <w:jc w:val="both"/>
        <w:rPr>
          <w:i/>
          <w:iCs/>
        </w:rPr>
      </w:pPr>
      <w:r w:rsidRPr="001E3370">
        <w:rPr>
          <w:i/>
          <w:iCs/>
        </w:rPr>
        <w:t>“Particular attention must be paid to hierarchical environments, such as the armed forces and law enforcement, where the risk of direct or indirect reprisals may be heightened.</w:t>
      </w:r>
    </w:p>
    <w:p w14:paraId="231413C4" w14:textId="61650B4B" w:rsidR="001E3370" w:rsidRPr="00393454" w:rsidRDefault="001E3370" w:rsidP="001E3370">
      <w:pPr>
        <w:jc w:val="both"/>
        <w:rPr>
          <w:i/>
          <w:iCs/>
        </w:rPr>
      </w:pPr>
      <w:r w:rsidRPr="001E3370">
        <w:rPr>
          <w:i/>
          <w:iCs/>
        </w:rPr>
        <w:t>States Parties must ensure effective safeguards against retaliation, including disciplinary measures, career disadvantages or informal pressure linked to participation in associations.”</w:t>
      </w:r>
    </w:p>
    <w:p w14:paraId="54470A50" w14:textId="77777777" w:rsidR="001E3370" w:rsidRPr="001E3370" w:rsidRDefault="001E3370" w:rsidP="001E3370">
      <w:pPr>
        <w:jc w:val="both"/>
        <w:rPr>
          <w:b/>
          <w:bCs/>
        </w:rPr>
      </w:pPr>
      <w:r w:rsidRPr="001E3370">
        <w:rPr>
          <w:b/>
          <w:bCs/>
        </w:rPr>
        <w:t>6. Limits to the Use of “National Security” Justifications (after paragraph 46)</w:t>
      </w:r>
    </w:p>
    <w:p w14:paraId="3D379903" w14:textId="5319BCF6" w:rsidR="001E3370" w:rsidRPr="0060740B" w:rsidRDefault="001E3370" w:rsidP="001E3370">
      <w:pPr>
        <w:jc w:val="both"/>
      </w:pPr>
      <w:r w:rsidRPr="0060740B">
        <w:t>EUROMIL welcomes the detailed treatment of permissible restrictions and considers that further clarification in the specific context of the armed forces would be beneficial.</w:t>
      </w:r>
    </w:p>
    <w:p w14:paraId="18F5EBAC" w14:textId="77777777" w:rsidR="001E3370" w:rsidRPr="0060740B" w:rsidRDefault="001E3370" w:rsidP="001E3370">
      <w:pPr>
        <w:jc w:val="both"/>
      </w:pPr>
      <w:r w:rsidRPr="0060740B">
        <w:t>EUROMIL therefore suggests:</w:t>
      </w:r>
    </w:p>
    <w:p w14:paraId="77674F9B" w14:textId="122C1028" w:rsidR="001E3370" w:rsidRPr="001E3370" w:rsidRDefault="001E3370" w:rsidP="001E3370">
      <w:pPr>
        <w:jc w:val="both"/>
        <w:rPr>
          <w:i/>
          <w:iCs/>
        </w:rPr>
      </w:pPr>
      <w:r w:rsidRPr="001E3370">
        <w:rPr>
          <w:i/>
          <w:iCs/>
        </w:rPr>
        <w:t>“The invocation of national security to restrict the right to freedom of association of members of the armed forces must be subject to strict scrutiny.</w:t>
      </w:r>
    </w:p>
    <w:p w14:paraId="4C9AE041" w14:textId="152BD4FE" w:rsidR="001E3370" w:rsidRPr="00E01FA5" w:rsidRDefault="001E3370" w:rsidP="001E3370">
      <w:pPr>
        <w:jc w:val="both"/>
        <w:rPr>
          <w:i/>
          <w:iCs/>
        </w:rPr>
      </w:pPr>
      <w:r w:rsidRPr="001E3370">
        <w:rPr>
          <w:i/>
          <w:iCs/>
        </w:rPr>
        <w:t>States Parties must demonstrate that any restriction responds to a concrete and identifiable risk and that less intrusive measures would be insufficient. General references to discipline, cohesion or institutional loyalty are not, in themselves, sufficient justification.”</w:t>
      </w:r>
    </w:p>
    <w:p w14:paraId="6C99EC6F" w14:textId="77777777" w:rsidR="001E3370" w:rsidRPr="001E3370" w:rsidRDefault="001E3370" w:rsidP="001E3370">
      <w:pPr>
        <w:jc w:val="both"/>
        <w:rPr>
          <w:b/>
          <w:bCs/>
        </w:rPr>
      </w:pPr>
      <w:r w:rsidRPr="001E3370">
        <w:rPr>
          <w:b/>
          <w:bCs/>
        </w:rPr>
        <w:t>7. Operational Context and Effective Exercise of the Right (after paragraph 52/53)</w:t>
      </w:r>
    </w:p>
    <w:p w14:paraId="3E4E82EE" w14:textId="66D5EF6F" w:rsidR="001E3370" w:rsidRPr="0060740B" w:rsidRDefault="001E3370" w:rsidP="001E3370">
      <w:pPr>
        <w:jc w:val="both"/>
      </w:pPr>
      <w:r w:rsidRPr="0060740B">
        <w:t>EUROMIL notes that the draft addresses situations of armed conflict and emergency. It may be useful to further reflect operational realities.</w:t>
      </w:r>
    </w:p>
    <w:p w14:paraId="6501BF0C" w14:textId="77777777" w:rsidR="001E3370" w:rsidRPr="0060740B" w:rsidRDefault="001E3370" w:rsidP="001E3370">
      <w:pPr>
        <w:jc w:val="both"/>
      </w:pPr>
      <w:r w:rsidRPr="0060740B">
        <w:t>EUROMIL therefore suggests:</w:t>
      </w:r>
    </w:p>
    <w:p w14:paraId="38E4F33D" w14:textId="77777777" w:rsidR="001E3370" w:rsidRPr="001E3370" w:rsidRDefault="001E3370" w:rsidP="001E3370">
      <w:pPr>
        <w:jc w:val="both"/>
        <w:rPr>
          <w:i/>
          <w:iCs/>
        </w:rPr>
      </w:pPr>
      <w:r w:rsidRPr="001E3370">
        <w:rPr>
          <w:i/>
          <w:iCs/>
        </w:rPr>
        <w:t>“In the context of military deployments, including prolonged or high-intensity operations, States Parties must take specific measures to ensure that the right to freedom of association remains practical and effective.</w:t>
      </w:r>
    </w:p>
    <w:p w14:paraId="34BA1041" w14:textId="77777777" w:rsidR="001E3370" w:rsidRPr="001E3370" w:rsidRDefault="001E3370" w:rsidP="001E3370">
      <w:pPr>
        <w:jc w:val="both"/>
        <w:rPr>
          <w:i/>
          <w:iCs/>
        </w:rPr>
      </w:pPr>
      <w:r w:rsidRPr="001E3370">
        <w:rPr>
          <w:i/>
          <w:iCs/>
        </w:rPr>
        <w:t xml:space="preserve">Operational conditions, including extended deployments, isolation, or high-risk environments, may affect the ability of personnel to exercise their rights. States should therefore facilitate access to representative associations, including through </w:t>
      </w:r>
      <w:r w:rsidRPr="001E3370">
        <w:rPr>
          <w:i/>
          <w:iCs/>
        </w:rPr>
        <w:lastRenderedPageBreak/>
        <w:t>appropriate communication channels, and ensure that no adverse consequences arise from membership or participation.”</w:t>
      </w:r>
    </w:p>
    <w:p w14:paraId="610E4B5A" w14:textId="77777777" w:rsidR="001E3370" w:rsidRPr="0060740B" w:rsidRDefault="001E3370" w:rsidP="001E3370">
      <w:pPr>
        <w:jc w:val="both"/>
      </w:pPr>
    </w:p>
    <w:p w14:paraId="16EB4DF5" w14:textId="7F9061DE" w:rsidR="001E3370" w:rsidRPr="00E01FA5" w:rsidRDefault="001E3370" w:rsidP="001E3370">
      <w:pPr>
        <w:jc w:val="both"/>
        <w:rPr>
          <w:b/>
          <w:bCs/>
        </w:rPr>
      </w:pPr>
      <w:r w:rsidRPr="001E3370">
        <w:rPr>
          <w:b/>
          <w:bCs/>
        </w:rPr>
        <w:t>III. Conclusion</w:t>
      </w:r>
    </w:p>
    <w:p w14:paraId="5643AE6D" w14:textId="77777777" w:rsidR="00FD59A3" w:rsidRDefault="001E3370" w:rsidP="001E3370">
      <w:pPr>
        <w:jc w:val="both"/>
      </w:pPr>
      <w:r w:rsidRPr="0060740B">
        <w:t>EUROMIL expresses its strong support for the adoption of General Comment No. 38 and welcomes its comprehensive approach.</w:t>
      </w:r>
      <w:r w:rsidR="00FD59A3">
        <w:t xml:space="preserve"> </w:t>
      </w:r>
      <w:r w:rsidRPr="0060740B">
        <w:t>At the same time, EUROMIL respectfully submits that the above clarifications could further strengthen the draft by ensuring that the right to freedom of association is effectively realised in all contexts, including within the armed forces.</w:t>
      </w:r>
      <w:r w:rsidR="00FD59A3">
        <w:t xml:space="preserve"> </w:t>
      </w:r>
    </w:p>
    <w:p w14:paraId="2959B65E" w14:textId="2324CFC6" w:rsidR="001E3370" w:rsidRPr="0060740B" w:rsidRDefault="001E3370" w:rsidP="001E3370">
      <w:pPr>
        <w:jc w:val="both"/>
      </w:pPr>
      <w:r w:rsidRPr="0060740B">
        <w:t>EUROMIL remains at the disposal of the Committee for any further information or dialogue.</w:t>
      </w:r>
    </w:p>
    <w:p w14:paraId="6FB526DF" w14:textId="55D737F8" w:rsidR="006F3B1C" w:rsidRPr="00F56B8C" w:rsidRDefault="006F3B1C" w:rsidP="00F56B8C"/>
    <w:sectPr w:rsidR="006F3B1C" w:rsidRPr="00F56B8C" w:rsidSect="00A65E77">
      <w:headerReference w:type="default" r:id="rId11"/>
      <w:footerReference w:type="default" r:id="rId12"/>
      <w:pgSz w:w="11906" w:h="16838"/>
      <w:pgMar w:top="2835" w:right="1440" w:bottom="1440" w:left="1440" w:header="720"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C2E96" w14:textId="77777777" w:rsidR="006936A5" w:rsidRDefault="006936A5" w:rsidP="007A691D">
      <w:pPr>
        <w:spacing w:after="0" w:line="240" w:lineRule="auto"/>
      </w:pPr>
      <w:r>
        <w:separator/>
      </w:r>
    </w:p>
  </w:endnote>
  <w:endnote w:type="continuationSeparator" w:id="0">
    <w:p w14:paraId="7E3050BC" w14:textId="77777777" w:rsidR="006936A5" w:rsidRDefault="006936A5" w:rsidP="007A6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61EF7" w14:textId="44D1FB56" w:rsidR="002E132D" w:rsidRPr="00A5620F" w:rsidRDefault="002E132D" w:rsidP="002E132D">
    <w:pPr>
      <w:pStyle w:val="Footer"/>
      <w:pBdr>
        <w:top w:val="single" w:sz="4" w:space="1" w:color="auto"/>
      </w:pBdr>
      <w:rPr>
        <w:rFonts w:cs="Calibri Light"/>
        <w:sz w:val="12"/>
        <w:szCs w:val="12"/>
        <w:lang w:val="fr-BE"/>
      </w:rPr>
    </w:pPr>
    <w:r w:rsidRPr="00A5620F">
      <w:rPr>
        <w:rFonts w:cs="Calibri Light"/>
        <w:sz w:val="12"/>
        <w:szCs w:val="12"/>
        <w:lang w:val="fr-BE"/>
      </w:rPr>
      <w:t xml:space="preserve">Boulevard du </w:t>
    </w:r>
    <w:r w:rsidR="009F3772">
      <w:rPr>
        <w:rFonts w:cs="Calibri Light"/>
        <w:sz w:val="12"/>
        <w:szCs w:val="12"/>
        <w:lang w:val="fr-BE"/>
      </w:rPr>
      <w:t>Jardin Botanique</w:t>
    </w:r>
    <w:r w:rsidR="00B5337D">
      <w:rPr>
        <w:rFonts w:cs="Calibri Light"/>
        <w:sz w:val="12"/>
        <w:szCs w:val="12"/>
        <w:lang w:val="fr-BE"/>
      </w:rPr>
      <w:t>, 20</w:t>
    </w:r>
    <w:r w:rsidR="00A24AA9">
      <w:rPr>
        <w:rFonts w:cs="Calibri Light"/>
        <w:sz w:val="12"/>
        <w:szCs w:val="12"/>
        <w:lang w:val="fr-BE"/>
      </w:rPr>
      <w:t xml:space="preserve"> (6th </w:t>
    </w:r>
    <w:proofErr w:type="spellStart"/>
    <w:r w:rsidR="00A24AA9">
      <w:rPr>
        <w:rFonts w:cs="Calibri Light"/>
        <w:sz w:val="12"/>
        <w:szCs w:val="12"/>
        <w:lang w:val="fr-BE"/>
      </w:rPr>
      <w:t>floor</w:t>
    </w:r>
    <w:proofErr w:type="spellEnd"/>
    <w:r w:rsidR="00A24AA9">
      <w:rPr>
        <w:rFonts w:cs="Calibri Light"/>
        <w:sz w:val="12"/>
        <w:szCs w:val="12"/>
        <w:lang w:val="fr-BE"/>
      </w:rPr>
      <w:t xml:space="preserve"> – ITUH)</w:t>
    </w:r>
  </w:p>
  <w:p w14:paraId="3E0ECBAA" w14:textId="3434EABA" w:rsidR="002E132D" w:rsidRPr="009F3772" w:rsidRDefault="002E132D" w:rsidP="002E132D">
    <w:pPr>
      <w:pStyle w:val="Footer"/>
      <w:tabs>
        <w:tab w:val="clear" w:pos="4513"/>
        <w:tab w:val="clear" w:pos="9026"/>
        <w:tab w:val="left" w:pos="5870"/>
      </w:tabs>
      <w:rPr>
        <w:rFonts w:cs="Calibri Light"/>
        <w:sz w:val="12"/>
        <w:szCs w:val="12"/>
        <w:lang w:val="fr-BE"/>
      </w:rPr>
    </w:pPr>
    <w:r w:rsidRPr="009F3772">
      <w:rPr>
        <w:rFonts w:cs="Calibri Light"/>
        <w:sz w:val="12"/>
        <w:szCs w:val="12"/>
        <w:lang w:val="fr-BE"/>
      </w:rPr>
      <w:t>1</w:t>
    </w:r>
    <w:r w:rsidR="00E42B78" w:rsidRPr="009F3772">
      <w:rPr>
        <w:rFonts w:cs="Calibri Light"/>
        <w:sz w:val="12"/>
        <w:szCs w:val="12"/>
        <w:lang w:val="fr-BE"/>
      </w:rPr>
      <w:t>00</w:t>
    </w:r>
    <w:r w:rsidRPr="009F3772">
      <w:rPr>
        <w:rFonts w:cs="Calibri Light"/>
        <w:sz w:val="12"/>
        <w:szCs w:val="12"/>
        <w:lang w:val="fr-BE"/>
      </w:rPr>
      <w:t>0</w:t>
    </w:r>
    <w:r w:rsidR="004C3BBA" w:rsidRPr="009F3772">
      <w:rPr>
        <w:rFonts w:cs="Calibri Light"/>
        <w:sz w:val="12"/>
        <w:szCs w:val="12"/>
        <w:lang w:val="fr-BE"/>
      </w:rPr>
      <w:t xml:space="preserve"> </w:t>
    </w:r>
    <w:r w:rsidRPr="009F3772">
      <w:rPr>
        <w:rFonts w:cs="Calibri Light"/>
        <w:sz w:val="12"/>
        <w:szCs w:val="12"/>
        <w:lang w:val="fr-BE"/>
      </w:rPr>
      <w:t>- Brussels (Belgium)</w:t>
    </w:r>
    <w:r w:rsidRPr="009F3772">
      <w:rPr>
        <w:rFonts w:cs="Calibri Light"/>
        <w:sz w:val="12"/>
        <w:szCs w:val="12"/>
        <w:lang w:val="fr-BE"/>
      </w:rPr>
      <w:tab/>
    </w:r>
  </w:p>
  <w:p w14:paraId="58A7FBBE" w14:textId="77777777" w:rsidR="002E132D" w:rsidRPr="004B3DB9" w:rsidRDefault="002E132D" w:rsidP="002E132D">
    <w:pPr>
      <w:pStyle w:val="Footer"/>
      <w:rPr>
        <w:rFonts w:cs="Calibri Light"/>
        <w:sz w:val="12"/>
        <w:szCs w:val="12"/>
      </w:rPr>
    </w:pPr>
    <w:proofErr w:type="gramStart"/>
    <w:r w:rsidRPr="004B3DB9">
      <w:rPr>
        <w:rFonts w:cs="Calibri Light"/>
        <w:sz w:val="12"/>
        <w:szCs w:val="12"/>
      </w:rPr>
      <w:t>Tel :</w:t>
    </w:r>
    <w:proofErr w:type="gramEnd"/>
    <w:r w:rsidRPr="004B3DB9">
      <w:rPr>
        <w:rFonts w:cs="Calibri Light"/>
        <w:sz w:val="12"/>
        <w:szCs w:val="12"/>
      </w:rPr>
      <w:t xml:space="preserve"> +32 480 660 933</w:t>
    </w:r>
  </w:p>
  <w:p w14:paraId="3F7190B3" w14:textId="77777777" w:rsidR="002E132D" w:rsidRPr="004B3DB9" w:rsidRDefault="002E132D" w:rsidP="002E132D">
    <w:pPr>
      <w:pStyle w:val="Footer"/>
      <w:tabs>
        <w:tab w:val="clear" w:pos="4513"/>
        <w:tab w:val="clear" w:pos="9026"/>
        <w:tab w:val="left" w:pos="4050"/>
      </w:tabs>
      <w:rPr>
        <w:rFonts w:cs="Calibri Light"/>
        <w:sz w:val="12"/>
        <w:szCs w:val="12"/>
      </w:rPr>
    </w:pPr>
    <w:proofErr w:type="gramStart"/>
    <w:r w:rsidRPr="004B3DB9">
      <w:rPr>
        <w:rFonts w:cs="Calibri Light"/>
        <w:sz w:val="12"/>
        <w:szCs w:val="12"/>
      </w:rPr>
      <w:t>Email :</w:t>
    </w:r>
    <w:proofErr w:type="gramEnd"/>
    <w:r w:rsidRPr="004B3DB9">
      <w:rPr>
        <w:rFonts w:cs="Calibri Light"/>
        <w:sz w:val="12"/>
        <w:szCs w:val="12"/>
      </w:rPr>
      <w:t xml:space="preserve"> </w:t>
    </w:r>
    <w:hyperlink r:id="rId1" w:history="1">
      <w:r w:rsidRPr="004B3DB9">
        <w:rPr>
          <w:rStyle w:val="Hyperlink"/>
          <w:rFonts w:cs="Calibri Light"/>
          <w:sz w:val="12"/>
          <w:szCs w:val="12"/>
        </w:rPr>
        <w:t>euromil@euromil.org</w:t>
      </w:r>
    </w:hyperlink>
  </w:p>
  <w:p w14:paraId="0828DF77" w14:textId="6E6F1143" w:rsidR="007A691D" w:rsidRPr="002E132D" w:rsidRDefault="007A691D" w:rsidP="002E13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BF84C" w14:textId="77777777" w:rsidR="006936A5" w:rsidRDefault="006936A5" w:rsidP="007A691D">
      <w:pPr>
        <w:spacing w:after="0" w:line="240" w:lineRule="auto"/>
      </w:pPr>
      <w:r>
        <w:separator/>
      </w:r>
    </w:p>
  </w:footnote>
  <w:footnote w:type="continuationSeparator" w:id="0">
    <w:p w14:paraId="1C4BCD3B" w14:textId="77777777" w:rsidR="006936A5" w:rsidRDefault="006936A5" w:rsidP="007A6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BA943" w14:textId="5D94F25D" w:rsidR="00F40E50" w:rsidRDefault="00F40E50" w:rsidP="00F40E50">
    <w:r>
      <w:rPr>
        <w:noProof/>
      </w:rPr>
      <mc:AlternateContent>
        <mc:Choice Requires="wps">
          <w:drawing>
            <wp:anchor distT="45720" distB="45720" distL="114300" distR="114300" simplePos="0" relativeHeight="251659264" behindDoc="1" locked="0" layoutInCell="1" allowOverlap="1" wp14:anchorId="0D4ED011" wp14:editId="2390E575">
              <wp:simplePos x="0" y="0"/>
              <wp:positionH relativeFrom="margin">
                <wp:posOffset>4495800</wp:posOffset>
              </wp:positionH>
              <wp:positionV relativeFrom="paragraph">
                <wp:posOffset>-259080</wp:posOffset>
              </wp:positionV>
              <wp:extent cx="1943100" cy="121920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219200"/>
                      </a:xfrm>
                      <a:prstGeom prst="rect">
                        <a:avLst/>
                      </a:prstGeom>
                      <a:solidFill>
                        <a:srgbClr val="FFFFFF"/>
                      </a:solidFill>
                      <a:ln w="9525">
                        <a:solidFill>
                          <a:schemeClr val="bg1"/>
                        </a:solidFill>
                        <a:miter lim="800000"/>
                        <a:headEnd/>
                        <a:tailEnd/>
                      </a:ln>
                    </wps:spPr>
                    <wps:txbx>
                      <w:txbxContent>
                        <w:p w14:paraId="2F3C7782" w14:textId="77777777" w:rsidR="00F40E50" w:rsidRDefault="00F40E50" w:rsidP="00F40E50">
                          <w:pPr>
                            <w:spacing w:after="0" w:line="240" w:lineRule="auto"/>
                            <w:jc w:val="center"/>
                            <w:rPr>
                              <w:sz w:val="12"/>
                              <w:szCs w:val="12"/>
                            </w:rPr>
                          </w:pPr>
                          <w:bookmarkStart w:id="0" w:name="_Hlk98234368"/>
                          <w:bookmarkEnd w:id="0"/>
                          <w:r>
                            <w:rPr>
                              <w:noProof/>
                              <w:sz w:val="20"/>
                              <w:szCs w:val="20"/>
                            </w:rPr>
                            <w:drawing>
                              <wp:inline distT="0" distB="0" distL="0" distR="0" wp14:anchorId="63D3995D" wp14:editId="47AF6392">
                                <wp:extent cx="546100" cy="546100"/>
                                <wp:effectExtent l="0" t="0" r="6350" b="6350"/>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3DC19157" w14:textId="77777777" w:rsidR="00F40E50" w:rsidRDefault="00F40E50" w:rsidP="00F40E50">
                          <w:pPr>
                            <w:spacing w:after="0" w:line="240" w:lineRule="auto"/>
                            <w:jc w:val="center"/>
                            <w:rPr>
                              <w:sz w:val="12"/>
                              <w:szCs w:val="12"/>
                            </w:rPr>
                          </w:pPr>
                          <w:r>
                            <w:rPr>
                              <w:sz w:val="12"/>
                              <w:szCs w:val="12"/>
                            </w:rPr>
                            <w:t>European Organisation of</w:t>
                          </w:r>
                        </w:p>
                        <w:p w14:paraId="45F18BA6" w14:textId="77777777" w:rsidR="00F40E50" w:rsidRDefault="00F40E50" w:rsidP="00F40E50">
                          <w:pPr>
                            <w:spacing w:after="0" w:line="240" w:lineRule="auto"/>
                            <w:jc w:val="center"/>
                            <w:rPr>
                              <w:sz w:val="12"/>
                              <w:szCs w:val="12"/>
                            </w:rPr>
                          </w:pPr>
                          <w:r>
                            <w:rPr>
                              <w:sz w:val="12"/>
                              <w:szCs w:val="12"/>
                            </w:rPr>
                            <w:t>Military Associations and</w:t>
                          </w:r>
                        </w:p>
                        <w:p w14:paraId="5E873F5C" w14:textId="77777777" w:rsidR="00F40E50" w:rsidRDefault="00F40E50" w:rsidP="00F40E50">
                          <w:pPr>
                            <w:spacing w:after="0" w:line="240" w:lineRule="auto"/>
                            <w:jc w:val="center"/>
                            <w:rPr>
                              <w:sz w:val="12"/>
                              <w:szCs w:val="12"/>
                            </w:rPr>
                          </w:pPr>
                          <w:r>
                            <w:rPr>
                              <w:sz w:val="12"/>
                              <w:szCs w:val="12"/>
                            </w:rPr>
                            <w:t>Trade Unions</w:t>
                          </w:r>
                        </w:p>
                        <w:p w14:paraId="0596A762" w14:textId="77777777" w:rsidR="00F40E50" w:rsidRDefault="00F40E50" w:rsidP="00F40E50">
                          <w:pPr>
                            <w:spacing w:after="0" w:line="240" w:lineRule="auto"/>
                            <w:jc w:val="center"/>
                            <w:rPr>
                              <w:sz w:val="12"/>
                              <w:szCs w:val="12"/>
                            </w:rPr>
                          </w:pPr>
                        </w:p>
                        <w:p w14:paraId="7FA010D9" w14:textId="77777777" w:rsidR="00F40E50" w:rsidRDefault="00F40E50" w:rsidP="00F40E50">
                          <w:pPr>
                            <w:spacing w:after="0" w:line="240" w:lineRule="auto"/>
                            <w:jc w:val="center"/>
                            <w:rPr>
                              <w:sz w:val="12"/>
                              <w:szCs w:val="12"/>
                            </w:rPr>
                          </w:pPr>
                          <w:r>
                            <w:rPr>
                              <w:sz w:val="12"/>
                              <w:szCs w:val="12"/>
                            </w:rPr>
                            <w:t>Brussels, Belgium</w:t>
                          </w:r>
                        </w:p>
                        <w:p w14:paraId="3AB34227" w14:textId="77777777" w:rsidR="00F40E50" w:rsidRDefault="00F40E50" w:rsidP="00F40E50">
                          <w:pPr>
                            <w:spacing w:after="0" w:line="240" w:lineRule="auto"/>
                            <w:jc w:val="center"/>
                            <w:rPr>
                              <w:sz w:val="12"/>
                              <w:szCs w:val="12"/>
                            </w:rPr>
                          </w:pPr>
                          <w:hyperlink r:id="rId2" w:history="1">
                            <w:r>
                              <w:rPr>
                                <w:rStyle w:val="Hyperlink"/>
                                <w:sz w:val="12"/>
                                <w:szCs w:val="12"/>
                              </w:rPr>
                              <w:t>http://euromil.org/</w:t>
                            </w:r>
                          </w:hyperlink>
                          <w:r>
                            <w:rPr>
                              <w:sz w:val="12"/>
                              <w:szCs w:val="12"/>
                            </w:rPr>
                            <w:t xml:space="preserve"> </w:t>
                          </w:r>
                        </w:p>
                        <w:p w14:paraId="09FDAC9C" w14:textId="77777777" w:rsidR="00F40E50" w:rsidRDefault="00F40E50" w:rsidP="00F40E50">
                          <w:pPr>
                            <w:rPr>
                              <w:sz w:val="12"/>
                              <w:szCs w:val="12"/>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4ED011" id="_x0000_t202" coordsize="21600,21600" o:spt="202" path="m,l,21600r21600,l21600,xe">
              <v:stroke joinstyle="miter"/>
              <v:path gradientshapeok="t" o:connecttype="rect"/>
            </v:shapetype>
            <v:shape id="Text Box 2" o:spid="_x0000_s1026" type="#_x0000_t202" style="position:absolute;margin-left:354pt;margin-top:-20.4pt;width:153pt;height:96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" strokecolor="white [3212]">
              <v:textbox>
                <w:txbxContent>
                  <w:p w14:paraId="2F3C7782" w14:textId="77777777" w:rsidR="00F40E50" w:rsidRDefault="00F40E50" w:rsidP="00F40E50">
                    <w:pPr>
                      <w:spacing w:after="0" w:line="240" w:lineRule="auto"/>
                      <w:jc w:val="center"/>
                      <w:rPr>
                        <w:sz w:val="12"/>
                        <w:szCs w:val="12"/>
                      </w:rPr>
                    </w:pPr>
                    <w:bookmarkStart w:id="1" w:name="_Hlk98234368"/>
                    <w:bookmarkEnd w:id="1"/>
                    <w:r>
                      <w:rPr>
                        <w:noProof/>
                        <w:sz w:val="20"/>
                        <w:szCs w:val="20"/>
                      </w:rPr>
                      <w:drawing>
                        <wp:inline distT="0" distB="0" distL="0" distR="0" wp14:anchorId="63D3995D" wp14:editId="47AF6392">
                          <wp:extent cx="546100" cy="546100"/>
                          <wp:effectExtent l="0" t="0" r="6350" b="6350"/>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con&#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3DC19157" w14:textId="77777777" w:rsidR="00F40E50" w:rsidRDefault="00F40E50" w:rsidP="00F40E50">
                    <w:pPr>
                      <w:spacing w:after="0" w:line="240" w:lineRule="auto"/>
                      <w:jc w:val="center"/>
                      <w:rPr>
                        <w:sz w:val="12"/>
                        <w:szCs w:val="12"/>
                      </w:rPr>
                    </w:pPr>
                    <w:r>
                      <w:rPr>
                        <w:sz w:val="12"/>
                        <w:szCs w:val="12"/>
                      </w:rPr>
                      <w:t>European Organisation of</w:t>
                    </w:r>
                  </w:p>
                  <w:p w14:paraId="45F18BA6" w14:textId="77777777" w:rsidR="00F40E50" w:rsidRDefault="00F40E50" w:rsidP="00F40E50">
                    <w:pPr>
                      <w:spacing w:after="0" w:line="240" w:lineRule="auto"/>
                      <w:jc w:val="center"/>
                      <w:rPr>
                        <w:sz w:val="12"/>
                        <w:szCs w:val="12"/>
                      </w:rPr>
                    </w:pPr>
                    <w:r>
                      <w:rPr>
                        <w:sz w:val="12"/>
                        <w:szCs w:val="12"/>
                      </w:rPr>
                      <w:t>Military Associations and</w:t>
                    </w:r>
                  </w:p>
                  <w:p w14:paraId="5E873F5C" w14:textId="77777777" w:rsidR="00F40E50" w:rsidRDefault="00F40E50" w:rsidP="00F40E50">
                    <w:pPr>
                      <w:spacing w:after="0" w:line="240" w:lineRule="auto"/>
                      <w:jc w:val="center"/>
                      <w:rPr>
                        <w:sz w:val="12"/>
                        <w:szCs w:val="12"/>
                      </w:rPr>
                    </w:pPr>
                    <w:r>
                      <w:rPr>
                        <w:sz w:val="12"/>
                        <w:szCs w:val="12"/>
                      </w:rPr>
                      <w:t>Trade Unions</w:t>
                    </w:r>
                  </w:p>
                  <w:p w14:paraId="0596A762" w14:textId="77777777" w:rsidR="00F40E50" w:rsidRDefault="00F40E50" w:rsidP="00F40E50">
                    <w:pPr>
                      <w:spacing w:after="0" w:line="240" w:lineRule="auto"/>
                      <w:jc w:val="center"/>
                      <w:rPr>
                        <w:sz w:val="12"/>
                        <w:szCs w:val="12"/>
                      </w:rPr>
                    </w:pPr>
                  </w:p>
                  <w:p w14:paraId="7FA010D9" w14:textId="77777777" w:rsidR="00F40E50" w:rsidRDefault="00F40E50" w:rsidP="00F40E50">
                    <w:pPr>
                      <w:spacing w:after="0" w:line="240" w:lineRule="auto"/>
                      <w:jc w:val="center"/>
                      <w:rPr>
                        <w:sz w:val="12"/>
                        <w:szCs w:val="12"/>
                      </w:rPr>
                    </w:pPr>
                    <w:r>
                      <w:rPr>
                        <w:sz w:val="12"/>
                        <w:szCs w:val="12"/>
                      </w:rPr>
                      <w:t>Brussels, Belgium</w:t>
                    </w:r>
                  </w:p>
                  <w:p w14:paraId="3AB34227" w14:textId="77777777" w:rsidR="00F40E50" w:rsidRDefault="00F40E50" w:rsidP="00F40E50">
                    <w:pPr>
                      <w:spacing w:after="0" w:line="240" w:lineRule="auto"/>
                      <w:jc w:val="center"/>
                      <w:rPr>
                        <w:sz w:val="12"/>
                        <w:szCs w:val="12"/>
                      </w:rPr>
                    </w:pPr>
                    <w:hyperlink r:id="rId4" w:history="1">
                      <w:r>
                        <w:rPr>
                          <w:rStyle w:val="Hyperlink"/>
                          <w:sz w:val="12"/>
                          <w:szCs w:val="12"/>
                        </w:rPr>
                        <w:t>http://euromil.org/</w:t>
                      </w:r>
                    </w:hyperlink>
                    <w:r>
                      <w:rPr>
                        <w:sz w:val="12"/>
                        <w:szCs w:val="12"/>
                      </w:rPr>
                      <w:t xml:space="preserve"> </w:t>
                    </w:r>
                  </w:p>
                  <w:p w14:paraId="09FDAC9C" w14:textId="77777777" w:rsidR="00F40E50" w:rsidRDefault="00F40E50" w:rsidP="00F40E50">
                    <w:pPr>
                      <w:rPr>
                        <w:sz w:val="12"/>
                        <w:szCs w:val="12"/>
                      </w:rPr>
                    </w:pPr>
                  </w:p>
                </w:txbxContent>
              </v:textbox>
              <w10:wrap type="square" anchorx="margin"/>
            </v:shape>
          </w:pict>
        </mc:Fallback>
      </mc:AlternateContent>
    </w:r>
  </w:p>
  <w:p w14:paraId="3EE94548" w14:textId="77777777" w:rsidR="00F40E50" w:rsidRDefault="00F40E50" w:rsidP="00F40E50">
    <w:pPr>
      <w:pStyle w:val="Header"/>
      <w:tabs>
        <w:tab w:val="left" w:pos="5309"/>
      </w:tabs>
      <w:rPr>
        <w:lang w:val="de-DE"/>
      </w:rPr>
    </w:pPr>
    <w:r>
      <w:rPr>
        <w:lang w:val="de-DE"/>
      </w:rPr>
      <w:tab/>
    </w:r>
    <w:r>
      <w:rPr>
        <w:lang w:val="de-DE"/>
      </w:rPr>
      <w:tab/>
    </w:r>
  </w:p>
  <w:p w14:paraId="1613C21C" w14:textId="77777777" w:rsidR="00F40E50" w:rsidRDefault="00F40E50" w:rsidP="00F40E50">
    <w:pPr>
      <w:pStyle w:val="Header"/>
      <w:jc w:val="right"/>
      <w:rPr>
        <w:lang w:val="de-DE"/>
      </w:rPr>
    </w:pPr>
  </w:p>
  <w:p w14:paraId="0F0A75AE" w14:textId="77777777" w:rsidR="00F40E50" w:rsidRDefault="00F40E50" w:rsidP="00F40E50">
    <w:pPr>
      <w:pStyle w:val="Header"/>
      <w:rPr>
        <w:lang w:val="de-DE"/>
      </w:rPr>
    </w:pPr>
  </w:p>
  <w:p w14:paraId="1F514EF5" w14:textId="77777777" w:rsidR="00F40E50" w:rsidRPr="00E07B60" w:rsidRDefault="00F40E50" w:rsidP="00F40E50">
    <w:pPr>
      <w:pStyle w:val="Header"/>
    </w:pPr>
  </w:p>
  <w:p w14:paraId="6FC9D4CC" w14:textId="76F07DD2" w:rsidR="007A691D" w:rsidRPr="00F40E50" w:rsidRDefault="007A691D" w:rsidP="00F40E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E0F1E"/>
    <w:multiLevelType w:val="hybridMultilevel"/>
    <w:tmpl w:val="8E0615EE"/>
    <w:lvl w:ilvl="0" w:tplc="6096C5D8">
      <w:numFmt w:val="bullet"/>
      <w:lvlText w:val="-"/>
      <w:lvlJc w:val="left"/>
      <w:pPr>
        <w:ind w:left="720" w:hanging="360"/>
      </w:pPr>
      <w:rPr>
        <w:rFonts w:ascii="Verdana" w:eastAsiaTheme="minorHAnsi" w:hAnsi="Verdana"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22B64FB1"/>
    <w:multiLevelType w:val="hybridMultilevel"/>
    <w:tmpl w:val="E160C666"/>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9684576"/>
    <w:multiLevelType w:val="hybridMultilevel"/>
    <w:tmpl w:val="CC7097DE"/>
    <w:lvl w:ilvl="0" w:tplc="A3B61870">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480B40"/>
    <w:multiLevelType w:val="hybridMultilevel"/>
    <w:tmpl w:val="108407F6"/>
    <w:lvl w:ilvl="0" w:tplc="5ADE8AB0">
      <w:start w:val="9"/>
      <w:numFmt w:val="bullet"/>
      <w:lvlText w:val="-"/>
      <w:lvlJc w:val="left"/>
      <w:pPr>
        <w:ind w:left="720" w:hanging="360"/>
      </w:pPr>
      <w:rPr>
        <w:rFonts w:ascii="Verdana" w:eastAsiaTheme="minorHAnsi" w:hAnsi="Verdana"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C981085"/>
    <w:multiLevelType w:val="hybridMultilevel"/>
    <w:tmpl w:val="C402115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8857AC0"/>
    <w:multiLevelType w:val="hybridMultilevel"/>
    <w:tmpl w:val="D3863202"/>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4B2C0EA2"/>
    <w:multiLevelType w:val="hybridMultilevel"/>
    <w:tmpl w:val="2B583F8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64CC329C"/>
    <w:multiLevelType w:val="hybridMultilevel"/>
    <w:tmpl w:val="181AEFAA"/>
    <w:lvl w:ilvl="0" w:tplc="78F83366">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023935"/>
    <w:multiLevelType w:val="hybridMultilevel"/>
    <w:tmpl w:val="22BA91AE"/>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7ED50758"/>
    <w:multiLevelType w:val="hybridMultilevel"/>
    <w:tmpl w:val="AC76D04E"/>
    <w:lvl w:ilvl="0" w:tplc="3CE21A70">
      <w:start w:val="9"/>
      <w:numFmt w:val="bullet"/>
      <w:lvlText w:val="-"/>
      <w:lvlJc w:val="left"/>
      <w:pPr>
        <w:ind w:left="720" w:hanging="360"/>
      </w:pPr>
      <w:rPr>
        <w:rFonts w:ascii="Verdana" w:eastAsiaTheme="minorHAnsi" w:hAnsi="Verdana"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793136192">
    <w:abstractNumId w:val="6"/>
  </w:num>
  <w:num w:numId="2" w16cid:durableId="1009717148">
    <w:abstractNumId w:val="5"/>
  </w:num>
  <w:num w:numId="3" w16cid:durableId="319772218">
    <w:abstractNumId w:val="4"/>
  </w:num>
  <w:num w:numId="4" w16cid:durableId="1945305465">
    <w:abstractNumId w:val="0"/>
  </w:num>
  <w:num w:numId="5" w16cid:durableId="1056004502">
    <w:abstractNumId w:val="1"/>
  </w:num>
  <w:num w:numId="6" w16cid:durableId="1907641164">
    <w:abstractNumId w:val="8"/>
  </w:num>
  <w:num w:numId="7" w16cid:durableId="197162950">
    <w:abstractNumId w:val="3"/>
  </w:num>
  <w:num w:numId="8" w16cid:durableId="1048215507">
    <w:abstractNumId w:val="9"/>
  </w:num>
  <w:num w:numId="9" w16cid:durableId="1525166599">
    <w:abstractNumId w:val="7"/>
  </w:num>
  <w:num w:numId="10" w16cid:durableId="2907887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91D"/>
    <w:rsid w:val="00003338"/>
    <w:rsid w:val="00054C3C"/>
    <w:rsid w:val="00064027"/>
    <w:rsid w:val="00065882"/>
    <w:rsid w:val="00072E12"/>
    <w:rsid w:val="00091A81"/>
    <w:rsid w:val="000A3CED"/>
    <w:rsid w:val="000D1D52"/>
    <w:rsid w:val="000D4F73"/>
    <w:rsid w:val="001223C5"/>
    <w:rsid w:val="001246CB"/>
    <w:rsid w:val="00142792"/>
    <w:rsid w:val="001515C1"/>
    <w:rsid w:val="00165D12"/>
    <w:rsid w:val="00187146"/>
    <w:rsid w:val="0019266F"/>
    <w:rsid w:val="00194F2A"/>
    <w:rsid w:val="00196635"/>
    <w:rsid w:val="001B49D6"/>
    <w:rsid w:val="001E3370"/>
    <w:rsid w:val="001E4076"/>
    <w:rsid w:val="00205C89"/>
    <w:rsid w:val="0023600A"/>
    <w:rsid w:val="002422FA"/>
    <w:rsid w:val="00244E0C"/>
    <w:rsid w:val="0025544C"/>
    <w:rsid w:val="0025548B"/>
    <w:rsid w:val="002B1936"/>
    <w:rsid w:val="002D747F"/>
    <w:rsid w:val="002E07C5"/>
    <w:rsid w:val="002E132D"/>
    <w:rsid w:val="002F593C"/>
    <w:rsid w:val="00312954"/>
    <w:rsid w:val="003352C9"/>
    <w:rsid w:val="00336236"/>
    <w:rsid w:val="003821E3"/>
    <w:rsid w:val="00392022"/>
    <w:rsid w:val="00393454"/>
    <w:rsid w:val="003942A9"/>
    <w:rsid w:val="003A3859"/>
    <w:rsid w:val="003B27B5"/>
    <w:rsid w:val="003F2D3C"/>
    <w:rsid w:val="00403C4E"/>
    <w:rsid w:val="0042375F"/>
    <w:rsid w:val="00424646"/>
    <w:rsid w:val="00430F25"/>
    <w:rsid w:val="00435DD7"/>
    <w:rsid w:val="00467854"/>
    <w:rsid w:val="00483CC6"/>
    <w:rsid w:val="004873C1"/>
    <w:rsid w:val="0049560E"/>
    <w:rsid w:val="00497929"/>
    <w:rsid w:val="004A5BEE"/>
    <w:rsid w:val="004B2205"/>
    <w:rsid w:val="004B3DB9"/>
    <w:rsid w:val="004C36D7"/>
    <w:rsid w:val="004C3BBA"/>
    <w:rsid w:val="004D2C91"/>
    <w:rsid w:val="004F6D1F"/>
    <w:rsid w:val="005034EA"/>
    <w:rsid w:val="0053503B"/>
    <w:rsid w:val="0057526B"/>
    <w:rsid w:val="005851B2"/>
    <w:rsid w:val="00594422"/>
    <w:rsid w:val="0059705F"/>
    <w:rsid w:val="005A2198"/>
    <w:rsid w:val="005C3730"/>
    <w:rsid w:val="005C3D50"/>
    <w:rsid w:val="005E1549"/>
    <w:rsid w:val="005F5288"/>
    <w:rsid w:val="006643F2"/>
    <w:rsid w:val="0069293D"/>
    <w:rsid w:val="006936A5"/>
    <w:rsid w:val="006A0351"/>
    <w:rsid w:val="006B1D0E"/>
    <w:rsid w:val="006E20D1"/>
    <w:rsid w:val="006E3140"/>
    <w:rsid w:val="006E3E2B"/>
    <w:rsid w:val="006E7837"/>
    <w:rsid w:val="006F3B1C"/>
    <w:rsid w:val="00704F31"/>
    <w:rsid w:val="00710392"/>
    <w:rsid w:val="007428FC"/>
    <w:rsid w:val="00745B49"/>
    <w:rsid w:val="00791B22"/>
    <w:rsid w:val="007A691D"/>
    <w:rsid w:val="007C76AE"/>
    <w:rsid w:val="007F7087"/>
    <w:rsid w:val="00801347"/>
    <w:rsid w:val="00821955"/>
    <w:rsid w:val="00837237"/>
    <w:rsid w:val="00845CFC"/>
    <w:rsid w:val="00861ABB"/>
    <w:rsid w:val="00865401"/>
    <w:rsid w:val="008A6F67"/>
    <w:rsid w:val="008B10B1"/>
    <w:rsid w:val="008B2C7D"/>
    <w:rsid w:val="008B5187"/>
    <w:rsid w:val="008F2AE1"/>
    <w:rsid w:val="00901D1C"/>
    <w:rsid w:val="009040EE"/>
    <w:rsid w:val="00904637"/>
    <w:rsid w:val="009366E1"/>
    <w:rsid w:val="009D6647"/>
    <w:rsid w:val="009E5D2C"/>
    <w:rsid w:val="009F3772"/>
    <w:rsid w:val="00A01A6C"/>
    <w:rsid w:val="00A24AA9"/>
    <w:rsid w:val="00A35B07"/>
    <w:rsid w:val="00A36B3F"/>
    <w:rsid w:val="00A53EC8"/>
    <w:rsid w:val="00A5620F"/>
    <w:rsid w:val="00A60924"/>
    <w:rsid w:val="00A65E77"/>
    <w:rsid w:val="00A802B5"/>
    <w:rsid w:val="00AB06B2"/>
    <w:rsid w:val="00AC34F9"/>
    <w:rsid w:val="00AD207B"/>
    <w:rsid w:val="00AD34F5"/>
    <w:rsid w:val="00AD7CCD"/>
    <w:rsid w:val="00AF0AA4"/>
    <w:rsid w:val="00AF231F"/>
    <w:rsid w:val="00B03636"/>
    <w:rsid w:val="00B3762E"/>
    <w:rsid w:val="00B5337D"/>
    <w:rsid w:val="00B54B2D"/>
    <w:rsid w:val="00B86271"/>
    <w:rsid w:val="00B87B95"/>
    <w:rsid w:val="00B97A6D"/>
    <w:rsid w:val="00B97DF2"/>
    <w:rsid w:val="00BA12A3"/>
    <w:rsid w:val="00BB7A3B"/>
    <w:rsid w:val="00BC3E62"/>
    <w:rsid w:val="00C40B24"/>
    <w:rsid w:val="00C55F88"/>
    <w:rsid w:val="00C762A7"/>
    <w:rsid w:val="00C77E87"/>
    <w:rsid w:val="00C94ED7"/>
    <w:rsid w:val="00CA3A6F"/>
    <w:rsid w:val="00CC367A"/>
    <w:rsid w:val="00CC7704"/>
    <w:rsid w:val="00CD7346"/>
    <w:rsid w:val="00D058E9"/>
    <w:rsid w:val="00D649BA"/>
    <w:rsid w:val="00D84F43"/>
    <w:rsid w:val="00D91213"/>
    <w:rsid w:val="00DA70C5"/>
    <w:rsid w:val="00DC0990"/>
    <w:rsid w:val="00DC6447"/>
    <w:rsid w:val="00DD6B37"/>
    <w:rsid w:val="00E00289"/>
    <w:rsid w:val="00E01FA5"/>
    <w:rsid w:val="00E3496A"/>
    <w:rsid w:val="00E42B78"/>
    <w:rsid w:val="00EC18F8"/>
    <w:rsid w:val="00EC4F17"/>
    <w:rsid w:val="00ED006D"/>
    <w:rsid w:val="00ED46E2"/>
    <w:rsid w:val="00ED4903"/>
    <w:rsid w:val="00ED7307"/>
    <w:rsid w:val="00EE28CB"/>
    <w:rsid w:val="00F20438"/>
    <w:rsid w:val="00F22CA1"/>
    <w:rsid w:val="00F40703"/>
    <w:rsid w:val="00F40E50"/>
    <w:rsid w:val="00F55BB4"/>
    <w:rsid w:val="00F56B8C"/>
    <w:rsid w:val="00FA7328"/>
    <w:rsid w:val="00FC4A39"/>
    <w:rsid w:val="00FD27BF"/>
    <w:rsid w:val="00FD5528"/>
    <w:rsid w:val="00FD59A3"/>
    <w:rsid w:val="00FE282B"/>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8B8ED"/>
  <w15:chartTrackingRefBased/>
  <w15:docId w15:val="{5CE0F7E6-BE31-4E9B-94BD-72293DBDB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22"/>
        <w:szCs w:val="22"/>
        <w:lang w:val="en-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6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691D"/>
    <w:rPr>
      <w:lang w:val="en-GB"/>
    </w:rPr>
  </w:style>
  <w:style w:type="paragraph" w:styleId="Footer">
    <w:name w:val="footer"/>
    <w:basedOn w:val="Normal"/>
    <w:link w:val="FooterChar"/>
    <w:uiPriority w:val="99"/>
    <w:unhideWhenUsed/>
    <w:rsid w:val="007A69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691D"/>
    <w:rPr>
      <w:lang w:val="en-GB"/>
    </w:rPr>
  </w:style>
  <w:style w:type="character" w:styleId="Hyperlink">
    <w:name w:val="Hyperlink"/>
    <w:basedOn w:val="DefaultParagraphFont"/>
    <w:uiPriority w:val="99"/>
    <w:unhideWhenUsed/>
    <w:rsid w:val="007A691D"/>
    <w:rPr>
      <w:color w:val="0563C1" w:themeColor="hyperlink"/>
      <w:u w:val="single"/>
    </w:rPr>
  </w:style>
  <w:style w:type="character" w:styleId="UnresolvedMention">
    <w:name w:val="Unresolved Mention"/>
    <w:basedOn w:val="DefaultParagraphFont"/>
    <w:uiPriority w:val="99"/>
    <w:semiHidden/>
    <w:unhideWhenUsed/>
    <w:rsid w:val="007C76AE"/>
    <w:rPr>
      <w:color w:val="605E5C"/>
      <w:shd w:val="clear" w:color="auto" w:fill="E1DFDD"/>
    </w:rPr>
  </w:style>
  <w:style w:type="paragraph" w:styleId="ListParagraph">
    <w:name w:val="List Paragraph"/>
    <w:basedOn w:val="Normal"/>
    <w:uiPriority w:val="34"/>
    <w:qFormat/>
    <w:rsid w:val="007C76AE"/>
    <w:pPr>
      <w:ind w:left="720"/>
      <w:contextualSpacing/>
    </w:pPr>
  </w:style>
  <w:style w:type="paragraph" w:styleId="FootnoteText">
    <w:name w:val="footnote text"/>
    <w:basedOn w:val="Normal"/>
    <w:link w:val="FootnoteTextChar"/>
    <w:uiPriority w:val="99"/>
    <w:semiHidden/>
    <w:unhideWhenUsed/>
    <w:rsid w:val="00A5620F"/>
    <w:pPr>
      <w:spacing w:after="0" w:line="240" w:lineRule="auto"/>
    </w:pPr>
    <w:rPr>
      <w:rFonts w:eastAsia="Times New Roman" w:cs="Times New Roman"/>
      <w:sz w:val="20"/>
      <w:szCs w:val="20"/>
      <w:lang w:eastAsia="de-DE"/>
    </w:rPr>
  </w:style>
  <w:style w:type="character" w:customStyle="1" w:styleId="FootnoteTextChar">
    <w:name w:val="Footnote Text Char"/>
    <w:basedOn w:val="DefaultParagraphFont"/>
    <w:link w:val="FootnoteText"/>
    <w:uiPriority w:val="99"/>
    <w:semiHidden/>
    <w:rsid w:val="00A5620F"/>
    <w:rPr>
      <w:rFonts w:eastAsia="Times New Roman" w:cs="Times New Roman"/>
      <w:sz w:val="20"/>
      <w:szCs w:val="20"/>
      <w:lang w:val="en-GB" w:eastAsia="de-DE"/>
    </w:rPr>
  </w:style>
  <w:style w:type="character" w:styleId="FootnoteReference">
    <w:name w:val="footnote reference"/>
    <w:basedOn w:val="DefaultParagraphFont"/>
    <w:uiPriority w:val="99"/>
    <w:semiHidden/>
    <w:unhideWhenUsed/>
    <w:rsid w:val="00A5620F"/>
    <w:rPr>
      <w:vertAlign w:val="superscript"/>
    </w:rPr>
  </w:style>
  <w:style w:type="character" w:styleId="CommentReference">
    <w:name w:val="annotation reference"/>
    <w:basedOn w:val="DefaultParagraphFont"/>
    <w:uiPriority w:val="99"/>
    <w:semiHidden/>
    <w:unhideWhenUsed/>
    <w:rsid w:val="00A5620F"/>
    <w:rPr>
      <w:sz w:val="16"/>
      <w:szCs w:val="16"/>
    </w:rPr>
  </w:style>
  <w:style w:type="paragraph" w:styleId="CommentText">
    <w:name w:val="annotation text"/>
    <w:basedOn w:val="Normal"/>
    <w:link w:val="CommentTextChar"/>
    <w:uiPriority w:val="99"/>
    <w:unhideWhenUsed/>
    <w:rsid w:val="00A5620F"/>
    <w:pPr>
      <w:spacing w:after="0" w:line="240" w:lineRule="auto"/>
    </w:pPr>
    <w:rPr>
      <w:rFonts w:eastAsia="Times New Roman" w:cs="Times New Roman"/>
      <w:sz w:val="20"/>
      <w:szCs w:val="20"/>
      <w:lang w:eastAsia="de-DE"/>
    </w:rPr>
  </w:style>
  <w:style w:type="character" w:customStyle="1" w:styleId="CommentTextChar">
    <w:name w:val="Comment Text Char"/>
    <w:basedOn w:val="DefaultParagraphFont"/>
    <w:link w:val="CommentText"/>
    <w:uiPriority w:val="99"/>
    <w:rsid w:val="00A5620F"/>
    <w:rPr>
      <w:rFonts w:eastAsia="Times New Roman" w:cs="Times New Roman"/>
      <w:sz w:val="20"/>
      <w:szCs w:val="20"/>
      <w:lang w:val="en-GB" w:eastAsia="de-DE"/>
    </w:rPr>
  </w:style>
  <w:style w:type="table" w:styleId="TableGrid">
    <w:name w:val="Table Grid"/>
    <w:basedOn w:val="TableNormal"/>
    <w:uiPriority w:val="39"/>
    <w:rsid w:val="00003338"/>
    <w:pPr>
      <w:spacing w:after="0" w:line="240" w:lineRule="auto"/>
    </w:pPr>
    <w:rPr>
      <w:rFonts w:asciiTheme="minorHAnsi" w:hAnsiTheme="minorHAnsi"/>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03338"/>
    <w:pPr>
      <w:spacing w:before="100" w:beforeAutospacing="1" w:after="100" w:afterAutospacing="1" w:line="240" w:lineRule="auto"/>
    </w:pPr>
    <w:rPr>
      <w:rFonts w:ascii="Times New Roman" w:eastAsia="Times New Roman" w:hAnsi="Times New Roman" w:cs="Times New Roman"/>
      <w:sz w:val="24"/>
      <w:szCs w:val="24"/>
      <w:lang w:val="en-US"/>
      <w14:ligatures w14:val="standardContextual"/>
    </w:rPr>
  </w:style>
  <w:style w:type="paragraph" w:styleId="Revision">
    <w:name w:val="Revision"/>
    <w:hidden/>
    <w:uiPriority w:val="99"/>
    <w:semiHidden/>
    <w:rsid w:val="005F5288"/>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808991">
      <w:bodyDiv w:val="1"/>
      <w:marLeft w:val="0"/>
      <w:marRight w:val="0"/>
      <w:marTop w:val="0"/>
      <w:marBottom w:val="0"/>
      <w:divBdr>
        <w:top w:val="none" w:sz="0" w:space="0" w:color="auto"/>
        <w:left w:val="none" w:sz="0" w:space="0" w:color="auto"/>
        <w:bottom w:val="none" w:sz="0" w:space="0" w:color="auto"/>
        <w:right w:val="none" w:sz="0" w:space="0" w:color="auto"/>
      </w:divBdr>
      <w:divsChild>
        <w:div w:id="786509181">
          <w:marLeft w:val="0"/>
          <w:marRight w:val="0"/>
          <w:marTop w:val="0"/>
          <w:marBottom w:val="0"/>
          <w:divBdr>
            <w:top w:val="none" w:sz="0" w:space="0" w:color="auto"/>
            <w:left w:val="none" w:sz="0" w:space="0" w:color="auto"/>
            <w:bottom w:val="none" w:sz="0" w:space="0" w:color="auto"/>
            <w:right w:val="none" w:sz="0" w:space="0" w:color="auto"/>
          </w:divBdr>
        </w:div>
      </w:divsChild>
    </w:div>
    <w:div w:id="1704944109">
      <w:bodyDiv w:val="1"/>
      <w:marLeft w:val="0"/>
      <w:marRight w:val="0"/>
      <w:marTop w:val="0"/>
      <w:marBottom w:val="0"/>
      <w:divBdr>
        <w:top w:val="none" w:sz="0" w:space="0" w:color="auto"/>
        <w:left w:val="none" w:sz="0" w:space="0" w:color="auto"/>
        <w:bottom w:val="none" w:sz="0" w:space="0" w:color="auto"/>
        <w:right w:val="none" w:sz="0" w:space="0" w:color="auto"/>
      </w:divBdr>
    </w:div>
    <w:div w:id="1880432742">
      <w:bodyDiv w:val="1"/>
      <w:marLeft w:val="0"/>
      <w:marRight w:val="0"/>
      <w:marTop w:val="0"/>
      <w:marBottom w:val="0"/>
      <w:divBdr>
        <w:top w:val="none" w:sz="0" w:space="0" w:color="auto"/>
        <w:left w:val="none" w:sz="0" w:space="0" w:color="auto"/>
        <w:bottom w:val="none" w:sz="0" w:space="0" w:color="auto"/>
        <w:right w:val="none" w:sz="0" w:space="0" w:color="auto"/>
      </w:divBdr>
      <w:divsChild>
        <w:div w:id="572130894">
          <w:marLeft w:val="0"/>
          <w:marRight w:val="0"/>
          <w:marTop w:val="0"/>
          <w:marBottom w:val="0"/>
          <w:divBdr>
            <w:top w:val="none" w:sz="0" w:space="0" w:color="auto"/>
            <w:left w:val="none" w:sz="0" w:space="0" w:color="auto"/>
            <w:bottom w:val="none" w:sz="0" w:space="0" w:color="auto"/>
            <w:right w:val="none" w:sz="0" w:space="0" w:color="auto"/>
          </w:divBdr>
        </w:div>
      </w:divsChild>
    </w:div>
    <w:div w:id="2033408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euromil@euromil.or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hyperlink" Target="http://euromil.org/" TargetMode="External"/><Relationship Id="rId1" Type="http://schemas.openxmlformats.org/officeDocument/2006/relationships/image" Target="media/image1.png"/><Relationship Id="rId4" Type="http://schemas.openxmlformats.org/officeDocument/2006/relationships/hyperlink" Target="http://euromi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854F2E-D88B-4D84-8A91-D5C2F32BAD7E}"/>
</file>

<file path=customXml/itemProps2.xml><?xml version="1.0" encoding="utf-8"?>
<ds:datastoreItem xmlns:ds="http://schemas.openxmlformats.org/officeDocument/2006/customXml" ds:itemID="{B8B5DE05-A70C-4F5D-8715-9ABD727C199C}">
  <ds:schemaRefs>
    <ds:schemaRef ds:uri="http://schemas.microsoft.com/sharepoint/v3/contenttype/forms"/>
  </ds:schemaRefs>
</ds:datastoreItem>
</file>

<file path=customXml/itemProps3.xml><?xml version="1.0" encoding="utf-8"?>
<ds:datastoreItem xmlns:ds="http://schemas.openxmlformats.org/officeDocument/2006/customXml" ds:itemID="{A2E29A63-17EE-4B42-A3F5-44687FC62922}">
  <ds:schemaRefs>
    <ds:schemaRef ds:uri="http://schemas.microsoft.com/office/2006/metadata/properties"/>
    <ds:schemaRef ds:uri="http://schemas.microsoft.com/office/infopath/2007/PartnerControls"/>
    <ds:schemaRef ds:uri="58a3c7c4-375c-4694-b791-467e3666b32b"/>
    <ds:schemaRef ds:uri="603df7ef-88d8-43d3-a2d5-ccadebc785e9"/>
  </ds:schemaRefs>
</ds:datastoreItem>
</file>

<file path=customXml/itemProps4.xml><?xml version="1.0" encoding="utf-8"?>
<ds:datastoreItem xmlns:ds="http://schemas.openxmlformats.org/officeDocument/2006/customXml" ds:itemID="{7ABE4EEB-5B1E-4AC1-B9D0-AE3E69833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1029</Words>
  <Characters>5867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Policy EUROMIL</dc:creator>
  <cp:keywords/>
  <dc:description/>
  <cp:lastModifiedBy>Project Officer</cp:lastModifiedBy>
  <cp:revision>14</cp:revision>
  <cp:lastPrinted>2025-12-04T08:07:00Z</cp:lastPrinted>
  <dcterms:created xsi:type="dcterms:W3CDTF">2026-04-28T09:48:00Z</dcterms:created>
  <dcterms:modified xsi:type="dcterms:W3CDTF">2026-04-29T07:25:00Z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y fmtid="{D5CDD505-2E9C-101B-9397-08002B2CF9AE}" pid="4" name="GrammarlyDocumentId">
    <vt:lpwstr>a26a3dd5684cd0b5438cd5f16a33b161683e4979bd757d19bcead69634f10ad2</vt:lpwstr>
  </property>
</Properties>
</file>