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F4F2B" w14:textId="3D66CE27" w:rsidR="1C82C8E1" w:rsidRDefault="1C82C8E1" w:rsidP="1C82C8E1">
      <w:pPr>
        <w:spacing w:after="60"/>
        <w:jc w:val="center"/>
        <w:rPr>
          <w:b/>
          <w:bCs/>
          <w:sz w:val="24"/>
          <w:szCs w:val="24"/>
        </w:rPr>
      </w:pPr>
    </w:p>
    <w:p w14:paraId="59AB1470" w14:textId="77777777" w:rsidR="00044F5E" w:rsidRDefault="00044F5E" w:rsidP="00044F5E">
      <w:pPr>
        <w:spacing w:after="60"/>
        <w:jc w:val="center"/>
      </w:pPr>
      <w:r>
        <w:rPr>
          <w:b/>
          <w:bCs/>
          <w:sz w:val="24"/>
          <w:szCs w:val="24"/>
        </w:rPr>
        <w:t>Comments on Draft General Comment No. 38</w:t>
      </w:r>
    </w:p>
    <w:p w14:paraId="133BF404" w14:textId="77777777" w:rsidR="00044F5E" w:rsidRDefault="00044F5E" w:rsidP="00044F5E">
      <w:pPr>
        <w:spacing w:after="60"/>
        <w:jc w:val="center"/>
      </w:pPr>
      <w:r>
        <w:rPr>
          <w:b/>
          <w:bCs/>
          <w:sz w:val="24"/>
          <w:szCs w:val="24"/>
        </w:rPr>
        <w:t>Article 22: Right to Freedom of Association</w:t>
      </w:r>
    </w:p>
    <w:p w14:paraId="7E0D036F" w14:textId="77777777" w:rsidR="00044F5E" w:rsidRDefault="00044F5E" w:rsidP="00044F5E">
      <w:pPr>
        <w:spacing w:after="240"/>
        <w:jc w:val="center"/>
      </w:pPr>
      <w:r>
        <w:t>June 2026</w:t>
      </w:r>
    </w:p>
    <w:p w14:paraId="5449AC30" w14:textId="77777777" w:rsidR="00044F5E" w:rsidRDefault="00044F5E" w:rsidP="00044F5E">
      <w:pPr>
        <w:spacing w:before="240" w:after="120"/>
      </w:pPr>
      <w:r>
        <w:rPr>
          <w:b/>
          <w:bCs/>
          <w:sz w:val="24"/>
          <w:szCs w:val="24"/>
        </w:rPr>
        <w:t>Introduction</w:t>
      </w:r>
    </w:p>
    <w:p w14:paraId="295F98D0" w14:textId="77777777" w:rsidR="00044F5E" w:rsidRDefault="00044F5E" w:rsidP="00044F5E">
      <w:pPr>
        <w:spacing w:after="120"/>
        <w:jc w:val="both"/>
      </w:pPr>
      <w:hyperlink r:id="rId10" w:history="1">
        <w:r>
          <w:rPr>
            <w:rStyle w:val="Hyperlink"/>
          </w:rPr>
          <w:t>South Asia Justice Campaign (SAJC)</w:t>
        </w:r>
      </w:hyperlink>
      <w:r>
        <w:t xml:space="preserve"> is pleased to submit comments on </w:t>
      </w:r>
      <w:hyperlink r:id="rId11" w:history="1">
        <w:r>
          <w:rPr>
            <w:rStyle w:val="Hyperlink"/>
          </w:rPr>
          <w:t>Draft General Comment No. 38 on Article 22</w:t>
        </w:r>
      </w:hyperlink>
      <w:r>
        <w:t xml:space="preserve"> of the International Covenant on Civil and Political Rights, in response to the Human Rights Committee’s invitation for comments ahead of the second reading.</w:t>
      </w:r>
    </w:p>
    <w:p w14:paraId="53762234" w14:textId="77777777" w:rsidR="00044F5E" w:rsidRDefault="00044F5E" w:rsidP="00044F5E">
      <w:pPr>
        <w:spacing w:after="120"/>
        <w:jc w:val="both"/>
      </w:pPr>
      <w:r>
        <w:t xml:space="preserve">SAJC works to promote human rights, democracy and pluralism in India, drawing on experience both from within the country and as a diaspora organisation. Its work encompasses research, documentation and advocacy at domestic and international fora, including sustained engagement with UN treaty bodies, Special Procedures and prevention mechanisms, focused </w:t>
      </w:r>
      <w:proofErr w:type="gramStart"/>
      <w:r>
        <w:t>in particular on</w:t>
      </w:r>
      <w:proofErr w:type="gramEnd"/>
      <w:r>
        <w:t xml:space="preserve"> patterns of discrimination and persecution affecting religious minorities, especially Muslims.</w:t>
      </w:r>
    </w:p>
    <w:p w14:paraId="760AF908" w14:textId="235DFC9D" w:rsidR="00044F5E" w:rsidRDefault="00044F5E" w:rsidP="00044F5E">
      <w:pPr>
        <w:spacing w:after="120"/>
        <w:jc w:val="both"/>
      </w:pPr>
      <w:r>
        <w:t>Associations working on minority rights</w:t>
      </w:r>
      <w:r w:rsidR="0D3EFF92">
        <w:t xml:space="preserve"> – especially rights of religious minorities - </w:t>
      </w:r>
      <w:r>
        <w:t xml:space="preserve">in India operate in an environment of escalating restrictions on freedom of association. Civil society organisations </w:t>
      </w:r>
      <w:r w:rsidR="4EBFAFF6">
        <w:t xml:space="preserve">with that focus, </w:t>
      </w:r>
      <w:r>
        <w:t>critical of government policy</w:t>
      </w:r>
      <w:r w:rsidR="103915E4">
        <w:t xml:space="preserve"> </w:t>
      </w:r>
      <w:r>
        <w:t>face a combination of regulatory, administrative and criminal measures that constrain their ability to form, operate and carry out their activities</w:t>
      </w:r>
      <w:r w:rsidR="0663FB14">
        <w:t xml:space="preserve"> lawfully and freely</w:t>
      </w:r>
      <w:r>
        <w:t>. These include the weaponisation of foreign contribution regulations to deny, suspend or revoke the operating licences of organisations receiving funding from abroad; the use of broadly framed counter-terrorism and national security legislation to ban advocacy organisations and criminalise their members; financial targeting through raids, account freezes and asset seizures; and the harassment and prosecution of human rights defenders, journalists and individuals engaged in independent fact-finding</w:t>
      </w:r>
      <w:r w:rsidR="5E056C7F">
        <w:t>s and legal aid  and  rehabilitation</w:t>
      </w:r>
      <w:r>
        <w:t xml:space="preserve">. Multiple </w:t>
      </w:r>
      <w:r w:rsidR="087ECBCF">
        <w:t xml:space="preserve">domestic </w:t>
      </w:r>
      <w:r>
        <w:t>regulatory frameworks are frequently applied simultaneously or in sequence to the same organisations, producing a cumulative effect that exceeds the impact of any single measure. In its 2024 concluding observations on India, this Committee expressed concern about “the misuse of the Foreign Contribution (Regulation) Act … which is used to target non-governmental organizations critical of the Government and to silence dissenting voices, including non-governmental organizations working on human rights issues,” noting that over 20,600 organisations had their licences cancelled under the Act between 2011 and 2021.</w:t>
      </w:r>
      <w:r w:rsidRPr="42DB1B5E">
        <w:rPr>
          <w:rStyle w:val="FootnoteReference"/>
        </w:rPr>
        <w:footnoteReference w:id="1"/>
      </w:r>
    </w:p>
    <w:p w14:paraId="1E00A770" w14:textId="77777777" w:rsidR="00044F5E" w:rsidRDefault="00044F5E" w:rsidP="00044F5E">
      <w:pPr>
        <w:spacing w:after="120"/>
        <w:jc w:val="both"/>
      </w:pPr>
      <w:r>
        <w:t>It is against this background that SAJC offers the following comments on the draft. Our observations are selective, focusing on specific paragraphs where we believe the draft could be strengthened to more fully capture the range of mechanisms through which freedom of association is restricted in practice. Each comment references the relevant paragraph and offers what we hope are useful suggestions for improving the text.</w:t>
      </w:r>
    </w:p>
    <w:p w14:paraId="1A242D03" w14:textId="77777777" w:rsidR="00044F5E" w:rsidRDefault="00044F5E" w:rsidP="00044F5E">
      <w:pPr>
        <w:spacing w:before="240" w:after="120"/>
      </w:pPr>
      <w:r>
        <w:rPr>
          <w:b/>
          <w:bCs/>
          <w:sz w:val="24"/>
          <w:szCs w:val="24"/>
        </w:rPr>
        <w:t>Substantive comments</w:t>
      </w:r>
    </w:p>
    <w:p w14:paraId="78DF7DD7" w14:textId="77777777" w:rsidR="00044F5E" w:rsidRDefault="00044F5E" w:rsidP="00044F5E">
      <w:pPr>
        <w:spacing w:before="240" w:after="120"/>
      </w:pPr>
      <w:r>
        <w:rPr>
          <w:b/>
          <w:bCs/>
          <w:i/>
          <w:iCs/>
        </w:rPr>
        <w:t>Paragraph 9 (particularly affected groups)</w:t>
      </w:r>
    </w:p>
    <w:p w14:paraId="30EB9253" w14:textId="3D8C04FC" w:rsidR="00044F5E" w:rsidRDefault="00044F5E" w:rsidP="00044F5E">
      <w:pPr>
        <w:spacing w:after="120"/>
        <w:jc w:val="both"/>
      </w:pPr>
      <w:r>
        <w:t>The draft identifies a range of groups facing a “differentiated and heightened impact” of restrictions on freedom of association (para. 9). SAJC welcomes the breadth of this list but notes the absence of persons belonging to religious, ethnic and linguistic minorities. Associations formed by or working on behalf of minority communities are among the most frequently targeted by restrictive measures globally, including through bans, deregistration, surveillance and the criminalisation of their activities and members. Their omission from an otherwise carefully enumerated list risks understating the extent to which restrictions on freedom of association are experienced along religious and ethnic lines.</w:t>
      </w:r>
      <w:r w:rsidR="004419B7">
        <w:t xml:space="preserve"> Para. 10 does refer to ‘minority groups or marginalized persons or communities,’ but only in general terms and in a different context—as a barometer of broader crackdowns rather than as part of the enumerated list of particularly affected individuals. A specific addition to the list in para. 9 would give this recognition greater precision and visibility.</w:t>
      </w:r>
    </w:p>
    <w:tbl>
      <w:tblPr>
        <w:tblStyle w:val="TableGrid"/>
        <w:tblW w:w="0" w:type="auto"/>
        <w:shd w:val="clear" w:color="auto" w:fill="E8E8E8" w:themeFill="background2"/>
        <w:tblLook w:val="04A0" w:firstRow="1" w:lastRow="0" w:firstColumn="1" w:lastColumn="0" w:noHBand="0" w:noVBand="1"/>
      </w:tblPr>
      <w:tblGrid>
        <w:gridCol w:w="9016"/>
      </w:tblGrid>
      <w:tr w:rsidR="00044F5E" w14:paraId="72DEACA3" w14:textId="77777777" w:rsidTr="00853A30">
        <w:tc>
          <w:tcPr>
            <w:tcW w:w="9016" w:type="dxa"/>
            <w:shd w:val="clear" w:color="auto" w:fill="E8E8E8" w:themeFill="background2"/>
          </w:tcPr>
          <w:p w14:paraId="58593F4F" w14:textId="77777777" w:rsidR="00044F5E" w:rsidRDefault="00044F5E" w:rsidP="00853A30">
            <w:pPr>
              <w:spacing w:after="120"/>
              <w:jc w:val="both"/>
            </w:pPr>
            <w:r w:rsidRPr="009C6FAA">
              <w:rPr>
                <w:i/>
                <w:iCs/>
                <w:u w:val="single"/>
              </w:rPr>
              <w:t>Suggested amendment:</w:t>
            </w:r>
            <w:r>
              <w:rPr>
                <w:i/>
                <w:iCs/>
              </w:rPr>
              <w:t xml:space="preserve"> </w:t>
            </w:r>
            <w:r>
              <w:t xml:space="preserve">Add </w:t>
            </w:r>
            <w:r>
              <w:rPr>
                <w:b/>
                <w:bCs/>
              </w:rPr>
              <w:t>“persons belonging to ethnic, religious and linguistic minorities”</w:t>
            </w:r>
            <w:r>
              <w:t xml:space="preserve"> to the enumerated list in paragraph 9, after “Indigenous Peoples.” This mirrors the language of article 27 of the </w:t>
            </w:r>
            <w:r>
              <w:lastRenderedPageBreak/>
              <w:t>Covenant and would bring the draft into closer alignment with the full range of groups whose associational freedoms are most frequently curtailed.</w:t>
            </w:r>
          </w:p>
        </w:tc>
      </w:tr>
    </w:tbl>
    <w:p w14:paraId="6D9DD7AC" w14:textId="77777777" w:rsidR="00044F5E" w:rsidRDefault="00044F5E" w:rsidP="00044F5E">
      <w:pPr>
        <w:spacing w:before="240" w:after="120"/>
      </w:pPr>
      <w:r>
        <w:rPr>
          <w:b/>
          <w:bCs/>
          <w:i/>
          <w:iCs/>
        </w:rPr>
        <w:lastRenderedPageBreak/>
        <w:t>Paragraphs 14 and 49 (foreign funding restrictions)</w:t>
      </w:r>
    </w:p>
    <w:p w14:paraId="5B67C117" w14:textId="77777777" w:rsidR="00044F5E" w:rsidRDefault="00044F5E" w:rsidP="00044F5E">
      <w:pPr>
        <w:spacing w:after="120"/>
        <w:jc w:val="both"/>
      </w:pPr>
      <w:r>
        <w:t xml:space="preserve">The draft rightly identifies “foreign agent” labelling laws as incompatible with the right to seek, receive and expend funding from abroad (para. 14) and excludes the motives underlying such laws from the legitimate grounds for restriction in article 22(2) (para. 49). However, the current framing addresses only one model of restriction on foreign-funded associations—laws that attach a stigmatising designation to organisations receiving funds from abroad. An equally widespread and often more restrictive model operates through prior-permission or licensing regimes, under which associations must obtain governmental authorisation before they may receive or utilise foreign contributions. Under such frameworks, the State does not label the association; it decides whether the association may receive foreign funding at all, with non-compliance typically criminalised. These regimes grant executive </w:t>
      </w:r>
      <w:proofErr w:type="gramStart"/>
      <w:r>
        <w:t>authorities</w:t>
      </w:r>
      <w:proofErr w:type="gramEnd"/>
      <w:r>
        <w:t xml:space="preserve"> broad discretion to deny, suspend or revoke authorisation, and can result in the mass cancellation of operating licences across entire sectors of civil society.</w:t>
      </w:r>
    </w:p>
    <w:tbl>
      <w:tblPr>
        <w:tblStyle w:val="TableGrid"/>
        <w:tblW w:w="0" w:type="auto"/>
        <w:shd w:val="clear" w:color="auto" w:fill="E8E8E8" w:themeFill="background2"/>
        <w:tblLook w:val="04A0" w:firstRow="1" w:lastRow="0" w:firstColumn="1" w:lastColumn="0" w:noHBand="0" w:noVBand="1"/>
      </w:tblPr>
      <w:tblGrid>
        <w:gridCol w:w="9016"/>
      </w:tblGrid>
      <w:tr w:rsidR="00044F5E" w14:paraId="56A369DF" w14:textId="77777777" w:rsidTr="00853A30">
        <w:tc>
          <w:tcPr>
            <w:tcW w:w="9016" w:type="dxa"/>
            <w:shd w:val="clear" w:color="auto" w:fill="E8E8E8" w:themeFill="background2"/>
          </w:tcPr>
          <w:p w14:paraId="366786DE" w14:textId="77777777" w:rsidR="00044F5E" w:rsidRPr="009C6FAA" w:rsidRDefault="00044F5E" w:rsidP="00853A30">
            <w:pPr>
              <w:spacing w:after="120"/>
              <w:jc w:val="both"/>
              <w:rPr>
                <w:u w:val="single"/>
              </w:rPr>
            </w:pPr>
            <w:r w:rsidRPr="009C6FAA">
              <w:rPr>
                <w:i/>
                <w:iCs/>
                <w:u w:val="single"/>
              </w:rPr>
              <w:t>Suggested amendments:</w:t>
            </w:r>
          </w:p>
          <w:p w14:paraId="3CADC1A0" w14:textId="77777777" w:rsidR="00044F5E" w:rsidRDefault="00044F5E" w:rsidP="00044F5E">
            <w:pPr>
              <w:pStyle w:val="ListParagraph"/>
              <w:numPr>
                <w:ilvl w:val="0"/>
                <w:numId w:val="1"/>
              </w:numPr>
              <w:spacing w:after="60"/>
              <w:contextualSpacing w:val="0"/>
              <w:jc w:val="both"/>
            </w:pPr>
            <w:r w:rsidRPr="009C6FAA">
              <w:rPr>
                <w:b/>
                <w:bCs/>
              </w:rPr>
              <w:t xml:space="preserve">Paragraph 14: </w:t>
            </w:r>
            <w:r>
              <w:t xml:space="preserve">Expand “without the risk of being labelled a ‘foreign agent’ or a threat to national security” to read: </w:t>
            </w:r>
            <w:r w:rsidRPr="009C6FAA">
              <w:rPr>
                <w:b/>
                <w:bCs/>
              </w:rPr>
              <w:t>“without the risk of being labelled a ‘foreign agent’ or a threat to national security, and without being subject to prior-permission or licensing regimes that make the receipt or use of foreign funding conditional on discretionary governmental authorisation.”</w:t>
            </w:r>
          </w:p>
          <w:p w14:paraId="70E9DBD5" w14:textId="77777777" w:rsidR="00044F5E" w:rsidRDefault="00044F5E" w:rsidP="00044F5E">
            <w:pPr>
              <w:pStyle w:val="ListParagraph"/>
              <w:numPr>
                <w:ilvl w:val="0"/>
                <w:numId w:val="1"/>
              </w:numPr>
              <w:spacing w:after="120"/>
              <w:contextualSpacing w:val="0"/>
              <w:jc w:val="both"/>
            </w:pPr>
            <w:r w:rsidRPr="009C6FAA">
              <w:rPr>
                <w:b/>
                <w:bCs/>
              </w:rPr>
              <w:t xml:space="preserve">Paragraph 49: </w:t>
            </w:r>
            <w:r>
              <w:t xml:space="preserve">Broaden “‘foreign agent’ or similar laws” to read: </w:t>
            </w:r>
            <w:r w:rsidRPr="009C6FAA">
              <w:rPr>
                <w:b/>
                <w:bCs/>
              </w:rPr>
              <w:t>“‘foreign agent’, prior-permission or similar laws.”</w:t>
            </w:r>
          </w:p>
        </w:tc>
      </w:tr>
    </w:tbl>
    <w:p w14:paraId="77D8DFF0" w14:textId="77777777" w:rsidR="004419B7" w:rsidRDefault="004419B7" w:rsidP="004419B7">
      <w:pPr>
        <w:spacing w:before="240" w:after="120"/>
        <w:rPr>
          <w:b/>
          <w:bCs/>
          <w:i/>
          <w:iCs/>
        </w:rPr>
      </w:pPr>
      <w:r w:rsidRPr="42DB1B5E">
        <w:rPr>
          <w:b/>
          <w:bCs/>
          <w:i/>
          <w:iCs/>
        </w:rPr>
        <w:t>Paragraph 30 (prohibited measures)</w:t>
      </w:r>
    </w:p>
    <w:p w14:paraId="5613FCF0" w14:textId="7511C18E" w:rsidR="004419B7" w:rsidRDefault="004419B7" w:rsidP="004419B7">
      <w:pPr>
        <w:spacing w:after="120"/>
        <w:jc w:val="both"/>
      </w:pPr>
      <w:r>
        <w:t xml:space="preserve">Paragraph 30 provides a valuable enumeration of measures incompatible with the obligation to respect the right to freedom of association, including arbitrary refusal to register and dissolution or banning. However, the list does not capture a set of intermediate measures that are, in practice, among the </w:t>
      </w:r>
      <w:proofErr w:type="gramStart"/>
      <w:r>
        <w:t>most commonly deployed</w:t>
      </w:r>
      <w:proofErr w:type="gramEnd"/>
      <w:r>
        <w:t xml:space="preserve"> precisely because they attract less scrutiny than outright dissolution: the suspension of an association’s registration or licence, the non-renewal of time-limited registrations, and the cancellation of registrations or licences en masse. Suspension freezes an association’s activities without the legal threshold required for formal dissolution. Non-renewal allows authorities to restrict associations simply by declining to extend a time-limited registration, avoiding the procedural safeguards that attach to revocation. Even where renewal is not formally refused, protracted and unexplained delays in processing renewal applications can leave associations in administrative limbo, unable to receive funds and carry out planned activities, yet not formally dissolved. </w:t>
      </w:r>
      <w:r w:rsidR="00AF4322">
        <w:t>Similarly, where a State bans or dissolves an association, extending the effects of that designation to affiliated institutions</w:t>
      </w:r>
      <w:r w:rsidR="00114E4B">
        <w:t xml:space="preserve">—such as schools, charities or publications associated with the banned entity—constitutes a further interference with freedom of association that must independently satisfy the conditions of article 22(2). </w:t>
      </w:r>
      <w:r>
        <w:t>Mass cancellation targets entire categories of civil society simultaneously, producing a systemic chilling effect that individual dissolution orders do not. States increasingly prefer these mechanisms to formal bans because they are administratively easier to execute and are more readily characterised as routine regulatory management rather than interference with freedom of association.</w:t>
      </w:r>
    </w:p>
    <w:tbl>
      <w:tblPr>
        <w:tblStyle w:val="TableGrid"/>
        <w:tblW w:w="0" w:type="auto"/>
        <w:shd w:val="clear" w:color="auto" w:fill="E8E8E8" w:themeFill="background2"/>
        <w:tblLook w:val="04A0" w:firstRow="1" w:lastRow="0" w:firstColumn="1" w:lastColumn="0" w:noHBand="0" w:noVBand="1"/>
      </w:tblPr>
      <w:tblGrid>
        <w:gridCol w:w="9016"/>
      </w:tblGrid>
      <w:tr w:rsidR="004419B7" w14:paraId="1558E98C" w14:textId="77777777" w:rsidTr="00BF3369">
        <w:tc>
          <w:tcPr>
            <w:tcW w:w="9016" w:type="dxa"/>
            <w:shd w:val="clear" w:color="auto" w:fill="E8E8E8" w:themeFill="background2"/>
          </w:tcPr>
          <w:p w14:paraId="57DB5BAD" w14:textId="111A2E01" w:rsidR="004419B7" w:rsidRDefault="004419B7" w:rsidP="00BF3369">
            <w:pPr>
              <w:spacing w:after="120"/>
              <w:jc w:val="both"/>
            </w:pPr>
            <w:r w:rsidRPr="009C6FAA">
              <w:rPr>
                <w:i/>
                <w:iCs/>
                <w:u w:val="single"/>
              </w:rPr>
              <w:t>Suggested amendment</w:t>
            </w:r>
            <w:r>
              <w:rPr>
                <w:i/>
                <w:iCs/>
              </w:rPr>
              <w:t xml:space="preserve">: </w:t>
            </w:r>
            <w:r>
              <w:t xml:space="preserve">Add </w:t>
            </w:r>
            <w:r>
              <w:rPr>
                <w:b/>
                <w:bCs/>
              </w:rPr>
              <w:t>“suspending, unreasonably delaying the renewal of, failing to renew, or cancelling en masse the registration or licences of associations</w:t>
            </w:r>
            <w:r w:rsidR="00114E4B">
              <w:rPr>
                <w:b/>
                <w:bCs/>
              </w:rPr>
              <w:t>, and extending the effects of a ban or dissolution to affiliated institutions</w:t>
            </w:r>
            <w:r>
              <w:rPr>
                <w:b/>
                <w:bCs/>
              </w:rPr>
              <w:t>”</w:t>
            </w:r>
            <w:r>
              <w:t xml:space="preserve"> to the list of prohibited measures in paragraph 30, after “dissolving or banning an association.”</w:t>
            </w:r>
          </w:p>
        </w:tc>
      </w:tr>
    </w:tbl>
    <w:p w14:paraId="562174A4" w14:textId="2D75DA17" w:rsidR="00044F5E" w:rsidRDefault="00044F5E" w:rsidP="00044F5E">
      <w:pPr>
        <w:spacing w:before="240" w:after="120"/>
      </w:pPr>
      <w:r>
        <w:rPr>
          <w:b/>
          <w:bCs/>
          <w:i/>
          <w:iCs/>
        </w:rPr>
        <w:t>Paragraph 35 (hostile actions against associations working on sensitive issues)</w:t>
      </w:r>
    </w:p>
    <w:p w14:paraId="5C848F3E" w14:textId="1A1B71F4" w:rsidR="00044F5E" w:rsidRDefault="00044F5E" w:rsidP="00044F5E">
      <w:pPr>
        <w:spacing w:after="120"/>
        <w:jc w:val="both"/>
      </w:pPr>
      <w:r>
        <w:t xml:space="preserve">Paragraph 35 establishes an important positive obligation on States to address hostile actions, discourses and narratives directed at associations working on issues considered controversial or sensitive. The illustrative list of such issues—gender, migrants’ rights, corruption, extractive industries, megaprojects and political opposition—is useful but omits one of the most consistently targeted areas of associational activity: the rights of ethnic, religious or linguistic minorities. Associations working on minority rights, </w:t>
      </w:r>
      <w:r w:rsidR="00114E4B">
        <w:t xml:space="preserve">including those working on minorities’ religious rights, </w:t>
      </w:r>
      <w:r>
        <w:t>particularly where those minorities face majoritarian hostility, are among the most exposed to State-orchestrated or State-tolerated stigmatisation, hostile narratives and attacks. Their absence from an otherwise broad list risks suggesting that the heightened protection this paragraph envisages does not extend to minority rights work.</w:t>
      </w:r>
    </w:p>
    <w:tbl>
      <w:tblPr>
        <w:tblStyle w:val="TableGrid"/>
        <w:tblW w:w="0" w:type="auto"/>
        <w:shd w:val="clear" w:color="auto" w:fill="E8E8E8" w:themeFill="background2"/>
        <w:tblLook w:val="04A0" w:firstRow="1" w:lastRow="0" w:firstColumn="1" w:lastColumn="0" w:noHBand="0" w:noVBand="1"/>
      </w:tblPr>
      <w:tblGrid>
        <w:gridCol w:w="9016"/>
      </w:tblGrid>
      <w:tr w:rsidR="00044F5E" w14:paraId="7121BA0E" w14:textId="77777777" w:rsidTr="00853A30">
        <w:tc>
          <w:tcPr>
            <w:tcW w:w="9016" w:type="dxa"/>
            <w:shd w:val="clear" w:color="auto" w:fill="E8E8E8" w:themeFill="background2"/>
          </w:tcPr>
          <w:p w14:paraId="64782B4B" w14:textId="77777777" w:rsidR="00044F5E" w:rsidRDefault="00044F5E" w:rsidP="00853A30">
            <w:pPr>
              <w:spacing w:after="120"/>
              <w:jc w:val="both"/>
            </w:pPr>
            <w:r w:rsidRPr="009C6FAA">
              <w:rPr>
                <w:i/>
                <w:iCs/>
                <w:u w:val="single"/>
              </w:rPr>
              <w:lastRenderedPageBreak/>
              <w:t>Suggested amendment:</w:t>
            </w:r>
            <w:r>
              <w:rPr>
                <w:i/>
                <w:iCs/>
              </w:rPr>
              <w:t xml:space="preserve"> </w:t>
            </w:r>
            <w:r>
              <w:t xml:space="preserve">Add </w:t>
            </w:r>
            <w:r>
              <w:rPr>
                <w:b/>
                <w:bCs/>
              </w:rPr>
              <w:t>“the rights of ethnic, religious or linguistic minorities”</w:t>
            </w:r>
            <w:r>
              <w:t xml:space="preserve"> to the illustrative list, after “migrants’ rights.”</w:t>
            </w:r>
          </w:p>
        </w:tc>
      </w:tr>
    </w:tbl>
    <w:p w14:paraId="34B5D99E" w14:textId="77777777" w:rsidR="00044F5E" w:rsidRDefault="00044F5E" w:rsidP="00044F5E">
      <w:pPr>
        <w:spacing w:before="240" w:after="120"/>
      </w:pPr>
      <w:r>
        <w:rPr>
          <w:b/>
          <w:bCs/>
          <w:i/>
          <w:iCs/>
        </w:rPr>
        <w:t>Paragraphs 30 and 32 (reprisals for engagement with international human rights mechanisms)</w:t>
      </w:r>
    </w:p>
    <w:p w14:paraId="3F6A4FF3" w14:textId="2293DDEC" w:rsidR="00044F5E" w:rsidRDefault="00044F5E" w:rsidP="00044F5E">
      <w:pPr>
        <w:spacing w:after="120"/>
        <w:jc w:val="both"/>
      </w:pPr>
      <w:r>
        <w:t>The draft lists “reprisals” among prohibited measures (para. 30) and identifies categories of individuals protected from extraterritorial interference (para. 32), including journalists, human rights defenders, environmental defenders, lawyers and trade union members. However, neither paragraph identifies engagement or cooperation with international human rights mechanisms as a specific activity that triggers these protections. Reprisals against individuals and associations for cooperating with the United Nations is a well-documented and systemic problem, recognised as a distinct category of concern within the UN system through the Secretary-General’s annual reporting and a dedicated focal point on intimidation and reprisals. Associations that engage with such mechanisms face specific forms of retaliation, including travel bans timed to prevent attendance at sessions, deregistration following submissions, surveillance of members who meet with mandate-holders,</w:t>
      </w:r>
      <w:r w:rsidR="004419B7">
        <w:t xml:space="preserve"> detentions—including prolonged detention without trial—of association members,</w:t>
      </w:r>
      <w:r>
        <w:t xml:space="preserve"> and criminalisation framed as responses to activity abroad. The Committee has a direct institutional interest in addressing this: its ability to receive credible information from civil society depends on associations being able to engage with it without fear of retaliation.</w:t>
      </w:r>
    </w:p>
    <w:tbl>
      <w:tblPr>
        <w:tblStyle w:val="TableGrid"/>
        <w:tblW w:w="0" w:type="auto"/>
        <w:shd w:val="clear" w:color="auto" w:fill="E8E8E8" w:themeFill="background2"/>
        <w:tblLook w:val="04A0" w:firstRow="1" w:lastRow="0" w:firstColumn="1" w:lastColumn="0" w:noHBand="0" w:noVBand="1"/>
      </w:tblPr>
      <w:tblGrid>
        <w:gridCol w:w="9016"/>
      </w:tblGrid>
      <w:tr w:rsidR="00044F5E" w14:paraId="505F0EDA" w14:textId="77777777" w:rsidTr="00853A30">
        <w:tc>
          <w:tcPr>
            <w:tcW w:w="9016" w:type="dxa"/>
            <w:shd w:val="clear" w:color="auto" w:fill="E8E8E8" w:themeFill="background2"/>
          </w:tcPr>
          <w:p w14:paraId="6C89F70A" w14:textId="77777777" w:rsidR="00044F5E" w:rsidRPr="009C6FAA" w:rsidRDefault="00044F5E" w:rsidP="00853A30">
            <w:pPr>
              <w:spacing w:after="120"/>
              <w:jc w:val="both"/>
              <w:rPr>
                <w:u w:val="single"/>
              </w:rPr>
            </w:pPr>
            <w:r w:rsidRPr="009C6FAA">
              <w:rPr>
                <w:i/>
                <w:iCs/>
                <w:u w:val="single"/>
              </w:rPr>
              <w:t>Suggested amendments:</w:t>
            </w:r>
          </w:p>
          <w:p w14:paraId="03D72BB4" w14:textId="77777777" w:rsidR="00044F5E" w:rsidRDefault="00044F5E" w:rsidP="00044F5E">
            <w:pPr>
              <w:pStyle w:val="ListParagraph"/>
              <w:numPr>
                <w:ilvl w:val="0"/>
                <w:numId w:val="2"/>
              </w:numPr>
              <w:spacing w:after="60"/>
              <w:contextualSpacing w:val="0"/>
              <w:jc w:val="both"/>
            </w:pPr>
            <w:r w:rsidRPr="009C6FAA">
              <w:rPr>
                <w:b/>
                <w:bCs/>
              </w:rPr>
              <w:t xml:space="preserve">Paragraph 30: </w:t>
            </w:r>
            <w:r>
              <w:t xml:space="preserve">After “reprisals, and harassment of association’s members, including through administrative proceedings and requirements,” add: </w:t>
            </w:r>
            <w:r w:rsidRPr="009C6FAA">
              <w:rPr>
                <w:b/>
                <w:bCs/>
              </w:rPr>
              <w:t>“including reprisals for engagement or cooperation with international human rights mechanisms.”</w:t>
            </w:r>
          </w:p>
          <w:p w14:paraId="70B44F9C" w14:textId="77777777" w:rsidR="00044F5E" w:rsidRDefault="00044F5E" w:rsidP="00044F5E">
            <w:pPr>
              <w:pStyle w:val="ListParagraph"/>
              <w:numPr>
                <w:ilvl w:val="0"/>
                <w:numId w:val="2"/>
              </w:numPr>
              <w:spacing w:after="120"/>
              <w:contextualSpacing w:val="0"/>
              <w:jc w:val="both"/>
            </w:pPr>
            <w:r w:rsidRPr="009C6FAA">
              <w:rPr>
                <w:b/>
                <w:bCs/>
              </w:rPr>
              <w:t xml:space="preserve">Paragraph 32: </w:t>
            </w:r>
            <w:r>
              <w:t xml:space="preserve">Add </w:t>
            </w:r>
            <w:r w:rsidRPr="009C6FAA">
              <w:rPr>
                <w:b/>
                <w:bCs/>
              </w:rPr>
              <w:t>“individuals and associations engaging or cooperating with international human rights mechanisms”</w:t>
            </w:r>
            <w:r>
              <w:t xml:space="preserve"> to the list of protected actors.</w:t>
            </w:r>
          </w:p>
        </w:tc>
      </w:tr>
    </w:tbl>
    <w:p w14:paraId="69C9B2B6" w14:textId="77777777" w:rsidR="00044F5E" w:rsidRDefault="00044F5E" w:rsidP="00044F5E">
      <w:pPr>
        <w:spacing w:before="240" w:after="120"/>
      </w:pPr>
      <w:r>
        <w:rPr>
          <w:b/>
          <w:bCs/>
          <w:i/>
          <w:iCs/>
        </w:rPr>
        <w:t>Paragraph 43 (legality of restrictions)</w:t>
      </w:r>
    </w:p>
    <w:p w14:paraId="79D9D112" w14:textId="77777777" w:rsidR="00044F5E" w:rsidRDefault="00044F5E" w:rsidP="00044F5E">
      <w:pPr>
        <w:spacing w:after="120"/>
        <w:jc w:val="both"/>
      </w:pPr>
      <w:r>
        <w:t>Paragraph 43 provides useful guidance on the legality requirement, illustrating it with examples of vague registration criteria, open-ended definitions such as “extremist activity,” and dissolution on grounds of “interference with the domestic affairs of the country.” These examples address entry-point and exit-point decisions—whether an association may be formed or dissolved. However, the paragraph does not address the legality of ongoing administrative discretion within regulatory or licensing frameworks, where an association’s continued operation depends on periodic decisions—licence renewal, compliance determinations, funding approvals—governed by criteria so broad that they vest effectively unreviewable discretion in the executive. A regulatory framework may be “provided by law” in a formal sense while failing the legality condition in substance, if the criteria governing its application are so elastic that administrative authorities can restrict any association at will.</w:t>
      </w:r>
    </w:p>
    <w:tbl>
      <w:tblPr>
        <w:tblStyle w:val="TableGrid"/>
        <w:tblW w:w="0" w:type="auto"/>
        <w:shd w:val="clear" w:color="auto" w:fill="E8E8E8" w:themeFill="background2"/>
        <w:tblLook w:val="04A0" w:firstRow="1" w:lastRow="0" w:firstColumn="1" w:lastColumn="0" w:noHBand="0" w:noVBand="1"/>
      </w:tblPr>
      <w:tblGrid>
        <w:gridCol w:w="9016"/>
      </w:tblGrid>
      <w:tr w:rsidR="00044F5E" w14:paraId="2EDA4AED" w14:textId="77777777" w:rsidTr="00853A30">
        <w:tc>
          <w:tcPr>
            <w:tcW w:w="9016" w:type="dxa"/>
            <w:shd w:val="clear" w:color="auto" w:fill="E8E8E8" w:themeFill="background2"/>
          </w:tcPr>
          <w:p w14:paraId="3436A164" w14:textId="77777777" w:rsidR="00044F5E" w:rsidRDefault="00044F5E" w:rsidP="00853A30">
            <w:pPr>
              <w:spacing w:after="120"/>
              <w:jc w:val="both"/>
            </w:pPr>
            <w:r w:rsidRPr="009C6FAA">
              <w:rPr>
                <w:i/>
                <w:iCs/>
                <w:u w:val="single"/>
              </w:rPr>
              <w:t>Suggested amendment</w:t>
            </w:r>
            <w:r w:rsidRPr="009C6FAA">
              <w:rPr>
                <w:i/>
                <w:iCs/>
              </w:rPr>
              <w:t xml:space="preserve">: </w:t>
            </w:r>
            <w:r>
              <w:t xml:space="preserve">Add the following after the existing examples of criteria that fail the legality condition: </w:t>
            </w:r>
            <w:r w:rsidRPr="009C6FAA">
              <w:rPr>
                <w:b/>
                <w:bCs/>
              </w:rPr>
              <w:t>“Similarly, regulatory or licensing frameworks that vest broad or unreviewable discretion in administrative authorities to grant, deny, suspend or revoke the registration or operating licences of associations—including on the basis of vaguely defined criteria such as ‘public interest’ or general compliance requirements—do not meet the legality condition, regardless of whether a formal legal basis for the framework exists.”</w:t>
            </w:r>
          </w:p>
        </w:tc>
      </w:tr>
    </w:tbl>
    <w:p w14:paraId="07793886" w14:textId="77777777" w:rsidR="00044F5E" w:rsidRDefault="00044F5E" w:rsidP="00044F5E">
      <w:pPr>
        <w:spacing w:before="240" w:after="120"/>
      </w:pPr>
      <w:r>
        <w:rPr>
          <w:b/>
          <w:bCs/>
          <w:i/>
          <w:iCs/>
        </w:rPr>
        <w:t>Paragraph 34 (cumulative and indirect measures)</w:t>
      </w:r>
    </w:p>
    <w:p w14:paraId="507A18A9" w14:textId="72C884A7" w:rsidR="00044F5E" w:rsidRDefault="00044F5E" w:rsidP="00044F5E">
      <w:pPr>
        <w:spacing w:after="120"/>
        <w:jc w:val="both"/>
      </w:pPr>
      <w:r>
        <w:t xml:space="preserve">SAJC welcomes the recognition in paragraph 34 that the enabling environment must be assessed “comprehensively and in </w:t>
      </w:r>
      <w:proofErr w:type="spellStart"/>
      <w:r>
        <w:t>globo</w:t>
      </w:r>
      <w:proofErr w:type="spellEnd"/>
      <w:r>
        <w:t xml:space="preserve">” and that cumulative measures can breach freedom of association even where no single action taken in isolation appears decisive. This is an important principle. </w:t>
      </w:r>
      <w:r w:rsidR="2AA47C57">
        <w:t xml:space="preserve">For its effective operationalisation the provision </w:t>
      </w:r>
      <w:r>
        <w:t>would benefit</w:t>
      </w:r>
      <w:r w:rsidR="215FED7E">
        <w:t xml:space="preserve">, in language, </w:t>
      </w:r>
      <w:r>
        <w:t>from an indication of the forms that cumulative restriction typically takes—in particular, the simultaneous or sequential application of multiple distinct regulatory frameworks to the same associations, producing a combined effect that exceeds the impact of any single instrument.</w:t>
      </w:r>
    </w:p>
    <w:tbl>
      <w:tblPr>
        <w:tblStyle w:val="TableGrid"/>
        <w:tblW w:w="0" w:type="auto"/>
        <w:shd w:val="clear" w:color="auto" w:fill="E8E8E8" w:themeFill="background2"/>
        <w:tblLook w:val="04A0" w:firstRow="1" w:lastRow="0" w:firstColumn="1" w:lastColumn="0" w:noHBand="0" w:noVBand="1"/>
      </w:tblPr>
      <w:tblGrid>
        <w:gridCol w:w="9016"/>
      </w:tblGrid>
      <w:tr w:rsidR="00044F5E" w14:paraId="61CBF736" w14:textId="77777777" w:rsidTr="00853A30">
        <w:tc>
          <w:tcPr>
            <w:tcW w:w="9016" w:type="dxa"/>
            <w:shd w:val="clear" w:color="auto" w:fill="E8E8E8" w:themeFill="background2"/>
          </w:tcPr>
          <w:p w14:paraId="7710FD22" w14:textId="77777777" w:rsidR="00044F5E" w:rsidRDefault="00044F5E" w:rsidP="00853A30">
            <w:pPr>
              <w:spacing w:after="120"/>
              <w:jc w:val="both"/>
            </w:pPr>
            <w:r w:rsidRPr="009C6FAA">
              <w:rPr>
                <w:i/>
                <w:iCs/>
                <w:u w:val="single"/>
              </w:rPr>
              <w:t>Suggested amendment</w:t>
            </w:r>
            <w:r>
              <w:rPr>
                <w:i/>
                <w:iCs/>
              </w:rPr>
              <w:t xml:space="preserve">: </w:t>
            </w:r>
            <w:r>
              <w:t xml:space="preserve">Add the following to paragraph 34: </w:t>
            </w:r>
            <w:r>
              <w:rPr>
                <w:b/>
                <w:bCs/>
              </w:rPr>
              <w:t xml:space="preserve">“In particular, the simultaneous or sequential application of multiple regulatory frameworks to the same associations—such as foreign funding regulations, counter-terrorism legislation, financial investigation powers and criminal law—must be assessed in its cumulative effect, not instrument by instrument. Where the combined operation of formally distinct legal frameworks produces a restriction on freedom of association that no single </w:t>
            </w:r>
            <w:r>
              <w:rPr>
                <w:b/>
                <w:bCs/>
              </w:rPr>
              <w:lastRenderedPageBreak/>
              <w:t>measure would independently justify, the cumulative effect constitutes an interference with article 22 that must meet the conditions of article 22(2).”</w:t>
            </w:r>
          </w:p>
        </w:tc>
      </w:tr>
    </w:tbl>
    <w:p w14:paraId="68D7C82D" w14:textId="77777777" w:rsidR="00044F5E" w:rsidRDefault="00044F5E" w:rsidP="00044F5E">
      <w:pPr>
        <w:spacing w:after="120"/>
        <w:jc w:val="both"/>
      </w:pPr>
    </w:p>
    <w:p w14:paraId="6908043A" w14:textId="77777777" w:rsidR="00087CEA" w:rsidRDefault="00087CEA"/>
    <w:sectPr w:rsidR="00087CEA" w:rsidSect="00044F5E">
      <w:headerReference w:type="default" r:id="rId12"/>
      <w:footerReference w:type="default" r:id="rId13"/>
      <w:headerReference w:type="first" r:id="rId14"/>
      <w:footerReference w:type="first" r:id="rId15"/>
      <w:pgSz w:w="11906" w:h="16838"/>
      <w:pgMar w:top="1440" w:right="1440" w:bottom="1440" w:left="1440" w:header="0"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A75E8" w14:textId="77777777" w:rsidR="001801F4" w:rsidRDefault="001801F4" w:rsidP="00044F5E">
      <w:r>
        <w:separator/>
      </w:r>
    </w:p>
  </w:endnote>
  <w:endnote w:type="continuationSeparator" w:id="0">
    <w:p w14:paraId="0EBF46ED" w14:textId="77777777" w:rsidR="001801F4" w:rsidRDefault="001801F4" w:rsidP="00044F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D6149" w14:textId="77777777" w:rsidR="00044F5E" w:rsidRDefault="00044F5E">
    <w:pPr>
      <w:jc w:val="center"/>
    </w:pPr>
    <w:r>
      <w:rPr>
        <w:sz w:val="16"/>
        <w:szCs w:val="16"/>
      </w:rPr>
      <w:fldChar w:fldCharType="begin"/>
    </w:r>
    <w:r>
      <w:rPr>
        <w:sz w:val="16"/>
        <w:szCs w:val="16"/>
      </w:rPr>
      <w:instrText>PAGE</w:instrText>
    </w:r>
    <w:r>
      <w:rPr>
        <w:sz w:val="16"/>
        <w:szCs w:val="16"/>
      </w:rPr>
      <w:fldChar w:fldCharType="separate"/>
    </w:r>
    <w:r>
      <w:rPr>
        <w:noProof/>
        <w:sz w:val="16"/>
        <w:szCs w:val="16"/>
      </w:rPr>
      <w:t>1</w:t>
    </w:r>
    <w:r>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C82C8E1" w14:paraId="05B1C4DD" w14:textId="77777777" w:rsidTr="1C82C8E1">
      <w:trPr>
        <w:trHeight w:val="300"/>
      </w:trPr>
      <w:tc>
        <w:tcPr>
          <w:tcW w:w="3005" w:type="dxa"/>
        </w:tcPr>
        <w:p w14:paraId="19F0861A" w14:textId="33A31AC1" w:rsidR="1C82C8E1" w:rsidRDefault="1C82C8E1" w:rsidP="1C82C8E1">
          <w:pPr>
            <w:pStyle w:val="Header"/>
            <w:ind w:left="-115"/>
          </w:pPr>
        </w:p>
      </w:tc>
      <w:tc>
        <w:tcPr>
          <w:tcW w:w="3005" w:type="dxa"/>
        </w:tcPr>
        <w:p w14:paraId="01D732C6" w14:textId="7DA6CAA6" w:rsidR="1C82C8E1" w:rsidRDefault="1C82C8E1" w:rsidP="1C82C8E1">
          <w:pPr>
            <w:pStyle w:val="Header"/>
            <w:jc w:val="center"/>
          </w:pPr>
        </w:p>
      </w:tc>
      <w:tc>
        <w:tcPr>
          <w:tcW w:w="3005" w:type="dxa"/>
        </w:tcPr>
        <w:p w14:paraId="063AE14C" w14:textId="0CBAA756" w:rsidR="1C82C8E1" w:rsidRDefault="1C82C8E1" w:rsidP="1C82C8E1">
          <w:pPr>
            <w:pStyle w:val="Header"/>
            <w:ind w:right="-115"/>
            <w:jc w:val="right"/>
          </w:pPr>
        </w:p>
      </w:tc>
    </w:tr>
  </w:tbl>
  <w:p w14:paraId="2C64822C" w14:textId="796ECF00" w:rsidR="1C82C8E1" w:rsidRDefault="1C82C8E1" w:rsidP="1C82C8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07E35" w14:textId="77777777" w:rsidR="001801F4" w:rsidRDefault="001801F4" w:rsidP="00044F5E">
      <w:r>
        <w:separator/>
      </w:r>
    </w:p>
  </w:footnote>
  <w:footnote w:type="continuationSeparator" w:id="0">
    <w:p w14:paraId="543F6643" w14:textId="77777777" w:rsidR="001801F4" w:rsidRDefault="001801F4" w:rsidP="00044F5E">
      <w:r>
        <w:continuationSeparator/>
      </w:r>
    </w:p>
  </w:footnote>
  <w:footnote w:id="1">
    <w:p w14:paraId="39276653" w14:textId="77777777" w:rsidR="00044F5E" w:rsidRDefault="00044F5E" w:rsidP="00044F5E">
      <w:r>
        <w:rPr>
          <w:rStyle w:val="FootnoteReference"/>
        </w:rPr>
        <w:footnoteRef/>
      </w:r>
      <w:r>
        <w:rPr>
          <w:sz w:val="16"/>
          <w:szCs w:val="16"/>
        </w:rPr>
        <w:t xml:space="preserve">Human Rights Committee, </w:t>
      </w:r>
      <w:r>
        <w:rPr>
          <w:i/>
          <w:iCs/>
          <w:sz w:val="16"/>
          <w:szCs w:val="16"/>
        </w:rPr>
        <w:t>Concluding observations on the fourth periodic report of India</w:t>
      </w:r>
      <w:r>
        <w:rPr>
          <w:sz w:val="16"/>
          <w:szCs w:val="16"/>
        </w:rPr>
        <w:t xml:space="preserve">, </w:t>
      </w:r>
      <w:hyperlink r:id="rId1" w:history="1">
        <w:r w:rsidRPr="009C6FAA">
          <w:rPr>
            <w:rStyle w:val="Hyperlink"/>
            <w:sz w:val="16"/>
            <w:szCs w:val="16"/>
          </w:rPr>
          <w:t>CCPR/C/IND/CO/4,</w:t>
        </w:r>
      </w:hyperlink>
      <w:r>
        <w:rPr>
          <w:sz w:val="16"/>
          <w:szCs w:val="16"/>
        </w:rPr>
        <w:t xml:space="preserve"> 2 September 2024, para. 53.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C82C8E1" w14:paraId="1CCF027B" w14:textId="77777777" w:rsidTr="1C82C8E1">
      <w:trPr>
        <w:trHeight w:val="300"/>
      </w:trPr>
      <w:tc>
        <w:tcPr>
          <w:tcW w:w="3005" w:type="dxa"/>
        </w:tcPr>
        <w:p w14:paraId="646578B5" w14:textId="275A02C1" w:rsidR="1C82C8E1" w:rsidRDefault="1C82C8E1" w:rsidP="1C82C8E1">
          <w:pPr>
            <w:pStyle w:val="Header"/>
            <w:ind w:left="-115"/>
          </w:pPr>
        </w:p>
      </w:tc>
      <w:tc>
        <w:tcPr>
          <w:tcW w:w="3005" w:type="dxa"/>
        </w:tcPr>
        <w:p w14:paraId="6F9AC2C9" w14:textId="7AB1A2E4" w:rsidR="1C82C8E1" w:rsidRDefault="1C82C8E1" w:rsidP="1C82C8E1">
          <w:pPr>
            <w:pStyle w:val="Header"/>
            <w:jc w:val="center"/>
          </w:pPr>
        </w:p>
      </w:tc>
      <w:tc>
        <w:tcPr>
          <w:tcW w:w="3005" w:type="dxa"/>
        </w:tcPr>
        <w:p w14:paraId="3F5BCCD7" w14:textId="2A48B4F3" w:rsidR="1C82C8E1" w:rsidRDefault="1C82C8E1" w:rsidP="1C82C8E1">
          <w:pPr>
            <w:pStyle w:val="Header"/>
            <w:ind w:right="-115"/>
            <w:jc w:val="right"/>
          </w:pPr>
        </w:p>
      </w:tc>
    </w:tr>
  </w:tbl>
  <w:p w14:paraId="196AE719" w14:textId="6B024702" w:rsidR="1C82C8E1" w:rsidRDefault="1C82C8E1" w:rsidP="1C82C8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273BF" w14:textId="77777777" w:rsidR="00044F5E" w:rsidRDefault="00044F5E" w:rsidP="009C6FAA">
    <w:pPr>
      <w:pStyle w:val="Header"/>
      <w:jc w:val="center"/>
    </w:pPr>
    <w:r>
      <w:fldChar w:fldCharType="begin"/>
    </w:r>
    <w:r>
      <w:instrText xml:space="preserve"> INCLUDEPICTURE "https://southasiajusticecampaign.org/wp-content/uploads/2023/04/SAJC-logo-2-edited-1024x576.png" \* MERGEFORMATINET </w:instrText>
    </w:r>
    <w:r>
      <w:fldChar w:fldCharType="separate"/>
    </w:r>
    <w:r>
      <w:rPr>
        <w:noProof/>
      </w:rPr>
      <w:drawing>
        <wp:inline distT="0" distB="0" distL="0" distR="0" wp14:anchorId="5DC8A8D2" wp14:editId="76015B8C">
          <wp:extent cx="2124434" cy="1195200"/>
          <wp:effectExtent l="0" t="0" r="0" b="0"/>
          <wp:docPr id="8057706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0156" cy="1260305"/>
                  </a:xfrm>
                  <a:prstGeom prst="rect">
                    <a:avLst/>
                  </a:prstGeom>
                  <a:noFill/>
                  <a:ln>
                    <a:noFill/>
                  </a:ln>
                </pic:spPr>
              </pic:pic>
            </a:graphicData>
          </a:graphic>
        </wp:inline>
      </w:drawing>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B47C42"/>
    <w:multiLevelType w:val="hybridMultilevel"/>
    <w:tmpl w:val="1C706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E954A8D"/>
    <w:multiLevelType w:val="hybridMultilevel"/>
    <w:tmpl w:val="C1FC7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1362798">
    <w:abstractNumId w:val="1"/>
  </w:num>
  <w:num w:numId="2" w16cid:durableId="1434129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F5E"/>
    <w:rsid w:val="0000732D"/>
    <w:rsid w:val="000122D4"/>
    <w:rsid w:val="00017FE9"/>
    <w:rsid w:val="00044F5E"/>
    <w:rsid w:val="00054481"/>
    <w:rsid w:val="00087CEA"/>
    <w:rsid w:val="0009176A"/>
    <w:rsid w:val="00114E4B"/>
    <w:rsid w:val="00130DDE"/>
    <w:rsid w:val="001801F4"/>
    <w:rsid w:val="001B00FA"/>
    <w:rsid w:val="001C4B11"/>
    <w:rsid w:val="002315F6"/>
    <w:rsid w:val="0029327B"/>
    <w:rsid w:val="00354F60"/>
    <w:rsid w:val="00387689"/>
    <w:rsid w:val="00391DF9"/>
    <w:rsid w:val="003B6C15"/>
    <w:rsid w:val="003E6747"/>
    <w:rsid w:val="004419B7"/>
    <w:rsid w:val="00442EA0"/>
    <w:rsid w:val="004576C8"/>
    <w:rsid w:val="004D746D"/>
    <w:rsid w:val="0051228B"/>
    <w:rsid w:val="005869E9"/>
    <w:rsid w:val="00672BEF"/>
    <w:rsid w:val="006C53C7"/>
    <w:rsid w:val="007110A8"/>
    <w:rsid w:val="007359DF"/>
    <w:rsid w:val="00774734"/>
    <w:rsid w:val="007978DA"/>
    <w:rsid w:val="007A3F47"/>
    <w:rsid w:val="007A67A0"/>
    <w:rsid w:val="008209B2"/>
    <w:rsid w:val="00861432"/>
    <w:rsid w:val="008618F3"/>
    <w:rsid w:val="008C513D"/>
    <w:rsid w:val="009044F8"/>
    <w:rsid w:val="00953D59"/>
    <w:rsid w:val="009828B8"/>
    <w:rsid w:val="009A741B"/>
    <w:rsid w:val="009B0C7B"/>
    <w:rsid w:val="009E155B"/>
    <w:rsid w:val="009E5095"/>
    <w:rsid w:val="009F7ABF"/>
    <w:rsid w:val="00A5227C"/>
    <w:rsid w:val="00A91FEE"/>
    <w:rsid w:val="00AF4322"/>
    <w:rsid w:val="00BB17AD"/>
    <w:rsid w:val="00BD3677"/>
    <w:rsid w:val="00BE3189"/>
    <w:rsid w:val="00C75F97"/>
    <w:rsid w:val="00CF3A47"/>
    <w:rsid w:val="00D065F6"/>
    <w:rsid w:val="00D1148C"/>
    <w:rsid w:val="00DD51AE"/>
    <w:rsid w:val="00DF5CB1"/>
    <w:rsid w:val="00E27887"/>
    <w:rsid w:val="00E34BEB"/>
    <w:rsid w:val="00E902C1"/>
    <w:rsid w:val="00EA1F70"/>
    <w:rsid w:val="00EB4B9D"/>
    <w:rsid w:val="00ED5BCB"/>
    <w:rsid w:val="00ED7802"/>
    <w:rsid w:val="00EF4629"/>
    <w:rsid w:val="00EF790E"/>
    <w:rsid w:val="00F17EC4"/>
    <w:rsid w:val="00F46E16"/>
    <w:rsid w:val="00FD0346"/>
    <w:rsid w:val="00FE7730"/>
    <w:rsid w:val="00FF0379"/>
    <w:rsid w:val="0663FB14"/>
    <w:rsid w:val="087ECBCF"/>
    <w:rsid w:val="0A145769"/>
    <w:rsid w:val="0D3EFF92"/>
    <w:rsid w:val="103915E4"/>
    <w:rsid w:val="1C5E1BFB"/>
    <w:rsid w:val="1C82C8E1"/>
    <w:rsid w:val="1F044974"/>
    <w:rsid w:val="215FED7E"/>
    <w:rsid w:val="235BB0F1"/>
    <w:rsid w:val="2AA47C57"/>
    <w:rsid w:val="370BB9F5"/>
    <w:rsid w:val="42DB1B5E"/>
    <w:rsid w:val="4AFE1C7F"/>
    <w:rsid w:val="4EBFAFF6"/>
    <w:rsid w:val="51CEEB08"/>
    <w:rsid w:val="5E056C7F"/>
    <w:rsid w:val="753E347E"/>
    <w:rsid w:val="7F613027"/>
  </w:rsids>
  <m:mathPr>
    <m:mathFont m:val="Cambria Math"/>
    <m:brkBin m:val="before"/>
    <m:brkBinSub m:val="--"/>
    <m:smallFrac m:val="0"/>
    <m:dispDef/>
    <m:lMargin m:val="0"/>
    <m:rMargin m:val="0"/>
    <m:defJc m:val="centerGroup"/>
    <m:wrapIndent m:val="1440"/>
    <m:intLim m:val="subSup"/>
    <m:naryLim m:val="undOvr"/>
  </m:mathPr>
  <w:themeFontLang w:val="en-I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B13627"/>
  <w15:chartTrackingRefBased/>
  <w15:docId w15:val="{C122D74B-2D53-3346-86DE-A25B1CE4B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F5E"/>
    <w:pPr>
      <w:spacing w:after="0" w:line="240" w:lineRule="auto"/>
    </w:pPr>
    <w:rPr>
      <w:rFonts w:ascii="Times New Roman" w:eastAsia="Times New Roman" w:hAnsi="Times New Roman" w:cs="Times New Roman"/>
      <w:kern w:val="0"/>
      <w:sz w:val="20"/>
      <w:szCs w:val="20"/>
      <w:lang w:eastAsia="en-GB"/>
      <w14:ligatures w14:val="none"/>
    </w:rPr>
  </w:style>
  <w:style w:type="paragraph" w:styleId="Heading1">
    <w:name w:val="heading 1"/>
    <w:basedOn w:val="Normal"/>
    <w:next w:val="Normal"/>
    <w:link w:val="Heading1Char"/>
    <w:uiPriority w:val="9"/>
    <w:qFormat/>
    <w:rsid w:val="00044F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4F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4F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4F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4F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4F5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4F5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4F5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4F5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4F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4F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4F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4F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4F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4F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4F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4F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4F5E"/>
    <w:rPr>
      <w:rFonts w:eastAsiaTheme="majorEastAsia" w:cstheme="majorBidi"/>
      <w:color w:val="272727" w:themeColor="text1" w:themeTint="D8"/>
    </w:rPr>
  </w:style>
  <w:style w:type="paragraph" w:styleId="Title">
    <w:name w:val="Title"/>
    <w:basedOn w:val="Normal"/>
    <w:next w:val="Normal"/>
    <w:link w:val="TitleChar"/>
    <w:uiPriority w:val="10"/>
    <w:qFormat/>
    <w:rsid w:val="00044F5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4F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4F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4F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4F5E"/>
    <w:pPr>
      <w:spacing w:before="160"/>
      <w:jc w:val="center"/>
    </w:pPr>
    <w:rPr>
      <w:i/>
      <w:iCs/>
      <w:color w:val="404040" w:themeColor="text1" w:themeTint="BF"/>
    </w:rPr>
  </w:style>
  <w:style w:type="character" w:customStyle="1" w:styleId="QuoteChar">
    <w:name w:val="Quote Char"/>
    <w:basedOn w:val="DefaultParagraphFont"/>
    <w:link w:val="Quote"/>
    <w:uiPriority w:val="29"/>
    <w:rsid w:val="00044F5E"/>
    <w:rPr>
      <w:i/>
      <w:iCs/>
      <w:color w:val="404040" w:themeColor="text1" w:themeTint="BF"/>
    </w:rPr>
  </w:style>
  <w:style w:type="paragraph" w:styleId="ListParagraph">
    <w:name w:val="List Paragraph"/>
    <w:basedOn w:val="Normal"/>
    <w:qFormat/>
    <w:rsid w:val="00044F5E"/>
    <w:pPr>
      <w:ind w:left="720"/>
      <w:contextualSpacing/>
    </w:pPr>
  </w:style>
  <w:style w:type="character" w:styleId="IntenseEmphasis">
    <w:name w:val="Intense Emphasis"/>
    <w:basedOn w:val="DefaultParagraphFont"/>
    <w:uiPriority w:val="21"/>
    <w:qFormat/>
    <w:rsid w:val="00044F5E"/>
    <w:rPr>
      <w:i/>
      <w:iCs/>
      <w:color w:val="0F4761" w:themeColor="accent1" w:themeShade="BF"/>
    </w:rPr>
  </w:style>
  <w:style w:type="paragraph" w:styleId="IntenseQuote">
    <w:name w:val="Intense Quote"/>
    <w:basedOn w:val="Normal"/>
    <w:next w:val="Normal"/>
    <w:link w:val="IntenseQuoteChar"/>
    <w:uiPriority w:val="30"/>
    <w:qFormat/>
    <w:rsid w:val="00044F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4F5E"/>
    <w:rPr>
      <w:i/>
      <w:iCs/>
      <w:color w:val="0F4761" w:themeColor="accent1" w:themeShade="BF"/>
    </w:rPr>
  </w:style>
  <w:style w:type="character" w:styleId="IntenseReference">
    <w:name w:val="Intense Reference"/>
    <w:basedOn w:val="DefaultParagraphFont"/>
    <w:uiPriority w:val="32"/>
    <w:qFormat/>
    <w:rsid w:val="00044F5E"/>
    <w:rPr>
      <w:b/>
      <w:bCs/>
      <w:smallCaps/>
      <w:color w:val="0F4761" w:themeColor="accent1" w:themeShade="BF"/>
      <w:spacing w:val="5"/>
    </w:rPr>
  </w:style>
  <w:style w:type="character" w:styleId="Hyperlink">
    <w:name w:val="Hyperlink"/>
    <w:uiPriority w:val="99"/>
    <w:unhideWhenUsed/>
    <w:rsid w:val="00044F5E"/>
    <w:rPr>
      <w:color w:val="0563C1"/>
      <w:u w:val="single"/>
    </w:rPr>
  </w:style>
  <w:style w:type="character" w:styleId="FootnoteReference">
    <w:name w:val="footnote reference"/>
    <w:uiPriority w:val="99"/>
    <w:semiHidden/>
    <w:unhideWhenUsed/>
    <w:rsid w:val="00044F5E"/>
    <w:rPr>
      <w:vertAlign w:val="superscript"/>
    </w:rPr>
  </w:style>
  <w:style w:type="paragraph" w:styleId="Header">
    <w:name w:val="header"/>
    <w:basedOn w:val="Normal"/>
    <w:link w:val="HeaderChar"/>
    <w:uiPriority w:val="99"/>
    <w:unhideWhenUsed/>
    <w:rsid w:val="00044F5E"/>
    <w:pPr>
      <w:tabs>
        <w:tab w:val="center" w:pos="4513"/>
        <w:tab w:val="right" w:pos="9026"/>
      </w:tabs>
    </w:pPr>
  </w:style>
  <w:style w:type="character" w:customStyle="1" w:styleId="HeaderChar">
    <w:name w:val="Header Char"/>
    <w:basedOn w:val="DefaultParagraphFont"/>
    <w:link w:val="Header"/>
    <w:uiPriority w:val="99"/>
    <w:rsid w:val="00044F5E"/>
    <w:rPr>
      <w:rFonts w:ascii="Times New Roman" w:eastAsia="Times New Roman" w:hAnsi="Times New Roman" w:cs="Times New Roman"/>
      <w:kern w:val="0"/>
      <w:sz w:val="20"/>
      <w:szCs w:val="20"/>
      <w:lang w:eastAsia="en-GB"/>
      <w14:ligatures w14:val="none"/>
    </w:rPr>
  </w:style>
  <w:style w:type="table" w:styleId="TableGrid">
    <w:name w:val="Table Grid"/>
    <w:basedOn w:val="TableNormal"/>
    <w:uiPriority w:val="39"/>
    <w:rsid w:val="00044F5E"/>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44F5E"/>
    <w:rPr>
      <w:color w:val="96607D" w:themeColor="followedHyperlink"/>
      <w:u w:val="single"/>
    </w:rPr>
  </w:style>
  <w:style w:type="paragraph" w:styleId="Footer">
    <w:name w:val="footer"/>
    <w:basedOn w:val="Normal"/>
    <w:uiPriority w:val="99"/>
    <w:unhideWhenUsed/>
    <w:rsid w:val="1C82C8E1"/>
    <w:pPr>
      <w:tabs>
        <w:tab w:val="center" w:pos="4680"/>
        <w:tab w:val="right" w:pos="9360"/>
      </w:tabs>
    </w:p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kern w:val="0"/>
      <w:sz w:val="20"/>
      <w:szCs w:val="20"/>
      <w:lang w:eastAsia="en-GB"/>
      <w14:ligatures w14:val="none"/>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4419B7"/>
    <w:pPr>
      <w:spacing w:after="0" w:line="240" w:lineRule="auto"/>
    </w:pPr>
    <w:rPr>
      <w:rFonts w:ascii="Times New Roman" w:eastAsia="Times New Roman" w:hAnsi="Times New Roman" w:cs="Times New Roman"/>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ohchr.org/en/calls-for-input/2026/call-comments-draft-general-comment-no-38-article-22-right-freedom-association"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southasiajusticecampaign.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digitallibrary.un.org/record/4060201?v=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CD2928E1-FB23-4768-9A03-19DC92A8CF92}"/>
</file>

<file path=customXml/itemProps2.xml><?xml version="1.0" encoding="utf-8"?>
<ds:datastoreItem xmlns:ds="http://schemas.openxmlformats.org/officeDocument/2006/customXml" ds:itemID="{62E69E88-2131-41F2-8BA9-EDFF63213798}">
  <ds:schemaRefs>
    <ds:schemaRef ds:uri="http://schemas.microsoft.com/sharepoint/v3/contenttype/forms"/>
  </ds:schemaRefs>
</ds:datastoreItem>
</file>

<file path=customXml/itemProps3.xml><?xml version="1.0" encoding="utf-8"?>
<ds:datastoreItem xmlns:ds="http://schemas.openxmlformats.org/officeDocument/2006/customXml" ds:itemID="{C82B14B5-2C72-4EE6-B9C5-EF3B0ACCA7F8}">
  <ds:schemaRefs>
    <ds:schemaRef ds:uri="http://schemas.microsoft.com/office/2006/metadata/properties"/>
    <ds:schemaRef ds:uri="http://schemas.microsoft.com/office/infopath/2007/PartnerControls"/>
    <ds:schemaRef ds:uri="985ec44e-1bab-4c0b-9df0-6ba128686fc9"/>
    <ds:schemaRef ds:uri="11a6fe0c-d8de-4390-afb3-d9c7c54181f0"/>
    <ds:schemaRef ds:uri="b248d7e1-e1e1-4a8e-9310-749402edb8a9"/>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16</TotalTime>
  <Pages>4</Pages>
  <Words>2129</Words>
  <Characters>12138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abhimanyusk@protonmail.com</dc:creator>
  <cp:keywords/>
  <dc:description/>
  <cp:lastModifiedBy>Cherry Balmaceda</cp:lastModifiedBy>
  <cp:revision>8</cp:revision>
  <dcterms:created xsi:type="dcterms:W3CDTF">2026-06-25T10:24:00Z</dcterms:created>
  <dcterms:modified xsi:type="dcterms:W3CDTF">2026-07-06T10:16:00Z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