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5" Type="http://schemas.microsoft.com/office/2020/02/relationships/classificationlabels" Target="docMetadata/LabelInfo.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83402" w14:textId="5BFEE1DB" w:rsidR="00E955E3" w:rsidRPr="009E5CAE" w:rsidRDefault="0080208D" w:rsidP="0008072D">
      <w:pPr>
        <w:tabs>
          <w:tab w:val="left" w:pos="709"/>
        </w:tabs>
        <w:spacing w:before="120"/>
        <w:ind w:left="567" w:firstLine="567"/>
        <w:rPr>
          <w:rFonts w:eastAsiaTheme="minorEastAsia"/>
          <w:b/>
          <w:bCs/>
          <w:color w:val="000000" w:themeColor="text1"/>
          <w:sz w:val="36"/>
          <w:szCs w:val="36"/>
        </w:rPr>
      </w:pPr>
      <w:r>
        <w:rPr>
          <w:rFonts w:eastAsiaTheme="minorEastAsia"/>
          <w:b/>
          <w:bCs/>
          <w:color w:val="000000" w:themeColor="text1"/>
          <w:sz w:val="36"/>
          <w:szCs w:val="36"/>
        </w:rPr>
        <w:t xml:space="preserve"> </w:t>
      </w:r>
    </w:p>
    <w:p w14:paraId="4203F6B6" w14:textId="2228034C" w:rsidR="00E955E3" w:rsidRPr="009E5CAE" w:rsidRDefault="00BB3CC9" w:rsidP="00AB49A2">
      <w:pPr>
        <w:pStyle w:val="HChG"/>
        <w:tabs>
          <w:tab w:val="left" w:pos="709"/>
        </w:tabs>
        <w:ind w:hanging="141"/>
      </w:pPr>
      <w:r w:rsidRPr="009E5CAE">
        <w:rPr>
          <w:rFonts w:eastAsiaTheme="minorEastAsia"/>
        </w:rPr>
        <w:tab/>
      </w:r>
      <w:r w:rsidRPr="009E5CAE">
        <w:rPr>
          <w:rFonts w:eastAsiaTheme="minorEastAsia"/>
        </w:rPr>
        <w:tab/>
      </w:r>
      <w:r w:rsidR="00051E66" w:rsidRPr="00051E66">
        <w:rPr>
          <w:rFonts w:eastAsiaTheme="minorEastAsia"/>
        </w:rPr>
        <w:t>Submission on Draft General Comment No. 38 (Article 22 ICCPR)</w:t>
      </w:r>
      <w:r w:rsidR="00E955E3" w:rsidRPr="009E5CAE">
        <w:rPr>
          <w:rStyle w:val="FootnoteReference"/>
        </w:rPr>
        <w:footnoteReference w:customMarkFollows="1" w:id="1"/>
        <w:t>*</w:t>
      </w:r>
      <w:r w:rsidR="00E955E3" w:rsidRPr="009E5CAE">
        <w:t xml:space="preserve">  </w:t>
      </w:r>
    </w:p>
    <w:p w14:paraId="2F9816A6" w14:textId="69C6A9F3" w:rsidR="00BB3CC9" w:rsidRPr="009E5CAE" w:rsidRDefault="00BB3CC9" w:rsidP="0008072D">
      <w:pPr>
        <w:pStyle w:val="HChG"/>
        <w:tabs>
          <w:tab w:val="left" w:pos="709"/>
        </w:tabs>
      </w:pPr>
      <w:r w:rsidRPr="009E5CAE">
        <w:tab/>
        <w:t>I.</w:t>
      </w:r>
      <w:r w:rsidR="002A3854" w:rsidRPr="009E5CAE">
        <w:tab/>
      </w:r>
      <w:r w:rsidR="00051E66" w:rsidRPr="00051E66">
        <w:t>Introduction</w:t>
      </w:r>
    </w:p>
    <w:p w14:paraId="47941C6E" w14:textId="311680D4" w:rsidR="0080208D" w:rsidRPr="0080208D" w:rsidRDefault="0080208D" w:rsidP="0008072D">
      <w:pPr>
        <w:pStyle w:val="SingleTxtG"/>
        <w:tabs>
          <w:tab w:val="left" w:pos="709"/>
        </w:tabs>
        <w:rPr>
          <w:color w:val="0D0D0D" w:themeColor="text1" w:themeTint="F2"/>
        </w:rPr>
      </w:pPr>
      <w:r w:rsidRPr="0080208D">
        <w:rPr>
          <w:color w:val="0D0D0D" w:themeColor="text1" w:themeTint="F2"/>
        </w:rPr>
        <w:t>This submission is made in response to the call for comments on Draft General Comment No. 38 on Article 22 of the International Covenant on Civil and Political Rights.</w:t>
      </w:r>
      <w:r>
        <w:rPr>
          <w:rStyle w:val="FootnoteReference"/>
          <w:color w:val="0D0D0D" w:themeColor="text1" w:themeTint="F2"/>
        </w:rPr>
        <w:footnoteReference w:id="2"/>
      </w:r>
    </w:p>
    <w:p w14:paraId="181374EA" w14:textId="77777777" w:rsidR="0080208D" w:rsidRPr="0080208D" w:rsidRDefault="0080208D" w:rsidP="0008072D">
      <w:pPr>
        <w:pStyle w:val="SingleTxtG"/>
        <w:tabs>
          <w:tab w:val="left" w:pos="709"/>
        </w:tabs>
        <w:rPr>
          <w:color w:val="0D0D0D" w:themeColor="text1" w:themeTint="F2"/>
        </w:rPr>
      </w:pPr>
      <w:r w:rsidRPr="0080208D">
        <w:rPr>
          <w:color w:val="0D0D0D" w:themeColor="text1" w:themeTint="F2"/>
        </w:rPr>
        <w:t>The author is a prospective legal practitioner in South Africa and submits these observations based on an analysis of structural, institutional, and practical conditions affecting the exercise of freedom of association within the legal profession.</w:t>
      </w:r>
    </w:p>
    <w:p w14:paraId="3D78FD64" w14:textId="77777777" w:rsidR="0080208D" w:rsidRPr="0080208D" w:rsidRDefault="0080208D" w:rsidP="0008072D">
      <w:pPr>
        <w:pStyle w:val="SingleTxtG"/>
        <w:tabs>
          <w:tab w:val="left" w:pos="709"/>
        </w:tabs>
        <w:rPr>
          <w:color w:val="0D0D0D" w:themeColor="text1" w:themeTint="F2"/>
        </w:rPr>
      </w:pPr>
      <w:r w:rsidRPr="0080208D">
        <w:rPr>
          <w:color w:val="0D0D0D" w:themeColor="text1" w:themeTint="F2"/>
        </w:rPr>
        <w:t xml:space="preserve">This submission focuses on the </w:t>
      </w:r>
      <w:r w:rsidRPr="0080208D">
        <w:rPr>
          <w:b/>
          <w:bCs/>
          <w:color w:val="0D0D0D" w:themeColor="text1" w:themeTint="F2"/>
        </w:rPr>
        <w:t>interaction between legal education, professional regulation, and associational autonomy</w:t>
      </w:r>
      <w:r w:rsidRPr="0080208D">
        <w:rPr>
          <w:color w:val="0D0D0D" w:themeColor="text1" w:themeTint="F2"/>
        </w:rPr>
        <w:t xml:space="preserve">, and seeks to highlight how freedom of association under Article 22 may be affected not only by formal legal restrictions, but also by </w:t>
      </w:r>
      <w:r w:rsidRPr="0080208D">
        <w:rPr>
          <w:b/>
          <w:bCs/>
          <w:color w:val="0D0D0D" w:themeColor="text1" w:themeTint="F2"/>
        </w:rPr>
        <w:t>institutional design, access conditions, and cumulative structural effects</w:t>
      </w:r>
      <w:r w:rsidRPr="0080208D">
        <w:rPr>
          <w:color w:val="0D0D0D" w:themeColor="text1" w:themeTint="F2"/>
        </w:rPr>
        <w:t>.</w:t>
      </w:r>
    </w:p>
    <w:p w14:paraId="659DAAA3" w14:textId="77777777" w:rsidR="0080208D" w:rsidRPr="0080208D" w:rsidRDefault="0080208D" w:rsidP="0008072D">
      <w:pPr>
        <w:pStyle w:val="SingleTxtG"/>
        <w:tabs>
          <w:tab w:val="left" w:pos="709"/>
        </w:tabs>
        <w:rPr>
          <w:color w:val="0D0D0D" w:themeColor="text1" w:themeTint="F2"/>
        </w:rPr>
      </w:pPr>
      <w:r w:rsidRPr="0080208D">
        <w:rPr>
          <w:color w:val="0D0D0D" w:themeColor="text1" w:themeTint="F2"/>
        </w:rPr>
        <w:t xml:space="preserve">Where appropriate, this submission relies on </w:t>
      </w:r>
      <w:r w:rsidRPr="0080208D">
        <w:rPr>
          <w:b/>
          <w:bCs/>
          <w:color w:val="0D0D0D" w:themeColor="text1" w:themeTint="F2"/>
        </w:rPr>
        <w:t>publicly available policy documents and institutional frameworks</w:t>
      </w:r>
      <w:r w:rsidRPr="0080208D">
        <w:rPr>
          <w:color w:val="0D0D0D" w:themeColor="text1" w:themeTint="F2"/>
        </w:rPr>
        <w:t xml:space="preserve">, including the use of </w:t>
      </w:r>
      <w:r w:rsidRPr="0080208D">
        <w:rPr>
          <w:b/>
          <w:bCs/>
          <w:color w:val="0D0D0D" w:themeColor="text1" w:themeTint="F2"/>
        </w:rPr>
        <w:t>direct quotations</w:t>
      </w:r>
      <w:r w:rsidRPr="0080208D">
        <w:rPr>
          <w:color w:val="0D0D0D" w:themeColor="text1" w:themeTint="F2"/>
        </w:rPr>
        <w:t xml:space="preserve"> to illustrate how such frameworks may influence participation and associational activity in practice.</w:t>
      </w:r>
    </w:p>
    <w:p w14:paraId="05522B9F" w14:textId="77777777" w:rsidR="00051E66" w:rsidRDefault="00051E66" w:rsidP="0008072D">
      <w:pPr>
        <w:pStyle w:val="SingleTxtG"/>
        <w:tabs>
          <w:tab w:val="left" w:pos="709"/>
        </w:tabs>
      </w:pPr>
    </w:p>
    <w:p w14:paraId="1E6D9F8B" w14:textId="7A93A7C8" w:rsidR="00051E66" w:rsidRPr="009E5CAE" w:rsidRDefault="00051E66" w:rsidP="0008072D">
      <w:pPr>
        <w:pStyle w:val="HChG"/>
        <w:tabs>
          <w:tab w:val="left" w:pos="709"/>
        </w:tabs>
      </w:pPr>
      <w:r w:rsidRPr="009E5CAE">
        <w:tab/>
      </w:r>
      <w:r>
        <w:t>2</w:t>
      </w:r>
      <w:r w:rsidRPr="009E5CAE">
        <w:t>.</w:t>
      </w:r>
      <w:r w:rsidRPr="009E5CAE">
        <w:tab/>
      </w:r>
      <w:r w:rsidR="0080208D" w:rsidRPr="0080208D">
        <w:t>General Observations on Draft General Comment No. 38</w:t>
      </w:r>
    </w:p>
    <w:p w14:paraId="7D04335F" w14:textId="56EDFDF4" w:rsidR="0080208D" w:rsidRDefault="0080208D" w:rsidP="0008072D">
      <w:pPr>
        <w:pStyle w:val="SingleTxtG"/>
        <w:tabs>
          <w:tab w:val="left" w:pos="709"/>
        </w:tabs>
      </w:pPr>
      <w:r w:rsidRPr="0080208D">
        <w:t xml:space="preserve">The author welcomes the development of General Comment No. 38 and supports an interpretation of Article 22 that recognises the </w:t>
      </w:r>
      <w:r w:rsidRPr="0080208D">
        <w:rPr>
          <w:b/>
          <w:bCs/>
        </w:rPr>
        <w:t>practical and effective exercise</w:t>
      </w:r>
      <w:r w:rsidRPr="0080208D">
        <w:t xml:space="preserve"> of freedom of association.</w:t>
      </w:r>
      <w:r w:rsidR="001378E0">
        <w:rPr>
          <w:rStyle w:val="FootnoteReference"/>
        </w:rPr>
        <w:footnoteReference w:id="3"/>
      </w:r>
    </w:p>
    <w:p w14:paraId="515FE10F" w14:textId="77777777" w:rsidR="0080208D" w:rsidRDefault="0080208D" w:rsidP="0008072D">
      <w:pPr>
        <w:pStyle w:val="SingleTxtG"/>
        <w:tabs>
          <w:tab w:val="left" w:pos="709"/>
        </w:tabs>
      </w:pPr>
    </w:p>
    <w:p w14:paraId="4F6C23D8" w14:textId="10B43227" w:rsidR="0080208D" w:rsidRPr="0080208D" w:rsidRDefault="0080208D" w:rsidP="0008072D">
      <w:pPr>
        <w:pStyle w:val="SingleTxtG"/>
        <w:tabs>
          <w:tab w:val="left" w:pos="709"/>
        </w:tabs>
        <w:ind w:left="0"/>
        <w:rPr>
          <w:b/>
          <w:bCs/>
        </w:rPr>
      </w:pPr>
      <w:r>
        <w:rPr>
          <w:b/>
          <w:bCs/>
        </w:rPr>
        <w:tab/>
      </w:r>
      <w:r w:rsidRPr="0080208D">
        <w:rPr>
          <w:b/>
          <w:bCs/>
        </w:rPr>
        <w:t xml:space="preserve">2.1.  </w:t>
      </w:r>
      <w:r w:rsidR="003615B6">
        <w:rPr>
          <w:b/>
          <w:bCs/>
        </w:rPr>
        <w:t>St</w:t>
      </w:r>
      <w:r w:rsidR="003615B6" w:rsidRPr="003615B6">
        <w:rPr>
          <w:b/>
          <w:bCs/>
        </w:rPr>
        <w:t>ructural and Practical Dimensions of Article</w:t>
      </w:r>
      <w:r w:rsidR="003615B6">
        <w:rPr>
          <w:b/>
          <w:bCs/>
        </w:rPr>
        <w:t xml:space="preserve"> 22</w:t>
      </w:r>
    </w:p>
    <w:p w14:paraId="2B8F7535" w14:textId="77777777" w:rsidR="0080208D" w:rsidRPr="0080208D" w:rsidRDefault="0080208D" w:rsidP="0008072D">
      <w:pPr>
        <w:pStyle w:val="SingleTxtG"/>
        <w:tabs>
          <w:tab w:val="left" w:pos="709"/>
        </w:tabs>
      </w:pPr>
      <w:r w:rsidRPr="0080208D">
        <w:t xml:space="preserve">The Draft General Comment appropriately recognises that restrictions on freedom of association may arise not only through explicit legal prohibitions, but also through </w:t>
      </w:r>
      <w:r w:rsidRPr="0080208D">
        <w:rPr>
          <w:b/>
          <w:bCs/>
        </w:rPr>
        <w:t>indirect or structural conditions</w:t>
      </w:r>
      <w:r w:rsidRPr="0080208D">
        <w:t>.</w:t>
      </w:r>
    </w:p>
    <w:p w14:paraId="39902E1F" w14:textId="77777777" w:rsidR="0080208D" w:rsidRPr="0080208D" w:rsidRDefault="0080208D" w:rsidP="0008072D">
      <w:pPr>
        <w:pStyle w:val="SingleTxtG"/>
        <w:tabs>
          <w:tab w:val="left" w:pos="709"/>
        </w:tabs>
      </w:pPr>
      <w:r w:rsidRPr="0080208D">
        <w:t>In this regard, the author submits that particular attention should be given to:</w:t>
      </w:r>
    </w:p>
    <w:p w14:paraId="6B463A1E" w14:textId="77777777" w:rsidR="0080208D" w:rsidRPr="0080208D" w:rsidRDefault="0080208D">
      <w:pPr>
        <w:pStyle w:val="SingleTxtG"/>
        <w:numPr>
          <w:ilvl w:val="0"/>
          <w:numId w:val="6"/>
        </w:numPr>
        <w:tabs>
          <w:tab w:val="left" w:pos="709"/>
        </w:tabs>
      </w:pPr>
      <w:r w:rsidRPr="0080208D">
        <w:t xml:space="preserve">centralised regulatory frameworks; </w:t>
      </w:r>
    </w:p>
    <w:p w14:paraId="00308F75" w14:textId="77777777" w:rsidR="0080208D" w:rsidRPr="0080208D" w:rsidRDefault="0080208D">
      <w:pPr>
        <w:pStyle w:val="SingleTxtG"/>
        <w:numPr>
          <w:ilvl w:val="0"/>
          <w:numId w:val="6"/>
        </w:numPr>
        <w:tabs>
          <w:tab w:val="left" w:pos="709"/>
        </w:tabs>
      </w:pPr>
      <w:r w:rsidRPr="0080208D">
        <w:t xml:space="preserve">conditions governing entry into professions; </w:t>
      </w:r>
    </w:p>
    <w:p w14:paraId="61FC2709" w14:textId="77777777" w:rsidR="0080208D" w:rsidRPr="0080208D" w:rsidRDefault="0080208D">
      <w:pPr>
        <w:pStyle w:val="SingleTxtG"/>
        <w:numPr>
          <w:ilvl w:val="0"/>
          <w:numId w:val="6"/>
        </w:numPr>
        <w:tabs>
          <w:tab w:val="left" w:pos="709"/>
        </w:tabs>
      </w:pPr>
      <w:r w:rsidRPr="0080208D">
        <w:t xml:space="preserve">language and access barriers; </w:t>
      </w:r>
    </w:p>
    <w:p w14:paraId="21727291" w14:textId="77777777" w:rsidR="0080208D" w:rsidRPr="0080208D" w:rsidRDefault="0080208D">
      <w:pPr>
        <w:pStyle w:val="SingleTxtG"/>
        <w:numPr>
          <w:ilvl w:val="0"/>
          <w:numId w:val="6"/>
        </w:numPr>
        <w:tabs>
          <w:tab w:val="left" w:pos="709"/>
        </w:tabs>
      </w:pPr>
      <w:r w:rsidRPr="0080208D">
        <w:t xml:space="preserve">institutional design and participation mechanisms; and </w:t>
      </w:r>
    </w:p>
    <w:p w14:paraId="3EA1F4ED" w14:textId="77777777" w:rsidR="0080208D" w:rsidRDefault="0080208D">
      <w:pPr>
        <w:pStyle w:val="SingleTxtG"/>
        <w:numPr>
          <w:ilvl w:val="0"/>
          <w:numId w:val="6"/>
        </w:numPr>
        <w:tabs>
          <w:tab w:val="left" w:pos="709"/>
        </w:tabs>
      </w:pPr>
      <w:r w:rsidRPr="0080208D">
        <w:t xml:space="preserve">broader professional and societal environments. </w:t>
      </w:r>
    </w:p>
    <w:p w14:paraId="363ED121" w14:textId="77777777" w:rsidR="0080208D" w:rsidRPr="0080208D" w:rsidRDefault="0080208D" w:rsidP="0008072D">
      <w:pPr>
        <w:pStyle w:val="SingleTxtG"/>
        <w:tabs>
          <w:tab w:val="left" w:pos="709"/>
        </w:tabs>
      </w:pPr>
    </w:p>
    <w:p w14:paraId="7133E482" w14:textId="60A6667D" w:rsidR="0080208D" w:rsidRDefault="0080208D" w:rsidP="0008072D">
      <w:pPr>
        <w:pStyle w:val="SingleTxtG"/>
        <w:tabs>
          <w:tab w:val="left" w:pos="709"/>
        </w:tabs>
      </w:pPr>
      <w:r w:rsidRPr="0080208D">
        <w:t xml:space="preserve">These factors may influence the </w:t>
      </w:r>
      <w:r w:rsidRPr="0080208D">
        <w:rPr>
          <w:b/>
          <w:bCs/>
        </w:rPr>
        <w:t>effective exercise of associational rights</w:t>
      </w:r>
      <w:r w:rsidRPr="0080208D">
        <w:t>, even where no formal restriction exists.</w:t>
      </w:r>
    </w:p>
    <w:p w14:paraId="11D4964D" w14:textId="77777777" w:rsidR="0080208D" w:rsidRDefault="0080208D" w:rsidP="0008072D">
      <w:pPr>
        <w:pStyle w:val="SingleTxtG"/>
        <w:tabs>
          <w:tab w:val="left" w:pos="709"/>
        </w:tabs>
      </w:pPr>
    </w:p>
    <w:p w14:paraId="6ED23A39" w14:textId="1883FB3F" w:rsidR="0080208D" w:rsidRPr="0080208D" w:rsidRDefault="0080208D" w:rsidP="0008072D">
      <w:pPr>
        <w:pStyle w:val="SingleTxtG"/>
        <w:tabs>
          <w:tab w:val="clear" w:pos="1701"/>
          <w:tab w:val="left" w:pos="709"/>
        </w:tabs>
        <w:ind w:left="0"/>
        <w:rPr>
          <w:b/>
          <w:bCs/>
        </w:rPr>
      </w:pPr>
      <w:r>
        <w:rPr>
          <w:b/>
          <w:bCs/>
        </w:rPr>
        <w:tab/>
      </w:r>
      <w:r w:rsidRPr="0080208D">
        <w:rPr>
          <w:b/>
          <w:bCs/>
        </w:rPr>
        <w:t>2.2</w:t>
      </w:r>
      <w:r>
        <w:rPr>
          <w:b/>
          <w:bCs/>
        </w:rPr>
        <w:t>.</w:t>
      </w:r>
      <w:r w:rsidRPr="0080208D">
        <w:rPr>
          <w:b/>
          <w:bCs/>
        </w:rPr>
        <w:t xml:space="preserve"> </w:t>
      </w:r>
      <w:r>
        <w:rPr>
          <w:b/>
          <w:bCs/>
        </w:rPr>
        <w:t xml:space="preserve"> </w:t>
      </w:r>
      <w:r w:rsidRPr="0080208D">
        <w:rPr>
          <w:b/>
          <w:bCs/>
        </w:rPr>
        <w:t>Participation as a Core Component of Article 22</w:t>
      </w:r>
    </w:p>
    <w:p w14:paraId="1210853C" w14:textId="77777777" w:rsidR="0080208D" w:rsidRPr="0080208D" w:rsidRDefault="0080208D" w:rsidP="0008072D">
      <w:pPr>
        <w:pStyle w:val="SingleTxtG"/>
        <w:tabs>
          <w:tab w:val="left" w:pos="709"/>
        </w:tabs>
      </w:pPr>
      <w:r w:rsidRPr="0080208D">
        <w:t xml:space="preserve">Freedom of association includes not only the ability to form or join associations, but also the ability to </w:t>
      </w:r>
      <w:r w:rsidRPr="0080208D">
        <w:rPr>
          <w:b/>
          <w:bCs/>
        </w:rPr>
        <w:t>participate meaningfully</w:t>
      </w:r>
      <w:r w:rsidRPr="0080208D">
        <w:t xml:space="preserve"> in them.</w:t>
      </w:r>
    </w:p>
    <w:p w14:paraId="1ED41143" w14:textId="77777777" w:rsidR="0080208D" w:rsidRPr="0080208D" w:rsidRDefault="0080208D" w:rsidP="0008072D">
      <w:pPr>
        <w:pStyle w:val="SingleTxtG"/>
        <w:tabs>
          <w:tab w:val="left" w:pos="709"/>
        </w:tabs>
      </w:pPr>
      <w:r w:rsidRPr="0080208D">
        <w:t>This includes the ability to:</w:t>
      </w:r>
    </w:p>
    <w:p w14:paraId="48A6EF3C" w14:textId="77777777" w:rsidR="0080208D" w:rsidRPr="0080208D" w:rsidRDefault="0080208D">
      <w:pPr>
        <w:pStyle w:val="SingleTxtG"/>
        <w:numPr>
          <w:ilvl w:val="0"/>
          <w:numId w:val="7"/>
        </w:numPr>
        <w:tabs>
          <w:tab w:val="left" w:pos="709"/>
        </w:tabs>
      </w:pPr>
      <w:r w:rsidRPr="0080208D">
        <w:t xml:space="preserve">influence professional and institutional frameworks; </w:t>
      </w:r>
    </w:p>
    <w:p w14:paraId="4734BDF8" w14:textId="77777777" w:rsidR="0080208D" w:rsidRPr="0080208D" w:rsidRDefault="0080208D">
      <w:pPr>
        <w:pStyle w:val="SingleTxtG"/>
        <w:numPr>
          <w:ilvl w:val="0"/>
          <w:numId w:val="7"/>
        </w:numPr>
        <w:tabs>
          <w:tab w:val="left" w:pos="709"/>
        </w:tabs>
      </w:pPr>
      <w:r w:rsidRPr="0080208D">
        <w:t xml:space="preserve">contribute to the development of standards and practices; and </w:t>
      </w:r>
    </w:p>
    <w:p w14:paraId="4D689F85" w14:textId="77777777" w:rsidR="0080208D" w:rsidRPr="0080208D" w:rsidRDefault="0080208D">
      <w:pPr>
        <w:pStyle w:val="SingleTxtG"/>
        <w:numPr>
          <w:ilvl w:val="0"/>
          <w:numId w:val="7"/>
        </w:numPr>
        <w:tabs>
          <w:tab w:val="left" w:pos="709"/>
        </w:tabs>
      </w:pPr>
      <w:r w:rsidRPr="0080208D">
        <w:t xml:space="preserve">engage in discourse relating to the administration of justice. </w:t>
      </w:r>
    </w:p>
    <w:p w14:paraId="41BC95A5" w14:textId="7E2AF733" w:rsidR="0080208D" w:rsidRPr="0080208D" w:rsidRDefault="0080208D" w:rsidP="0008072D">
      <w:pPr>
        <w:pStyle w:val="SingleTxtG"/>
        <w:tabs>
          <w:tab w:val="left" w:pos="709"/>
        </w:tabs>
      </w:pPr>
      <w:r w:rsidRPr="0080208D">
        <w:t xml:space="preserve">International standards emphasise that lawyers must be able to participate in professional life and public discussion </w:t>
      </w:r>
      <w:r w:rsidRPr="0080208D">
        <w:rPr>
          <w:b/>
          <w:bCs/>
        </w:rPr>
        <w:t>without restriction or interference</w:t>
      </w:r>
      <w:r w:rsidRPr="0080208D">
        <w:t>.</w:t>
      </w:r>
      <w:r w:rsidR="001378E0">
        <w:rPr>
          <w:rStyle w:val="FootnoteReference"/>
        </w:rPr>
        <w:footnoteReference w:id="4"/>
      </w:r>
    </w:p>
    <w:p w14:paraId="7AC5BD18" w14:textId="77777777" w:rsidR="0080208D" w:rsidRPr="0080208D" w:rsidRDefault="0080208D" w:rsidP="0008072D">
      <w:pPr>
        <w:pStyle w:val="SingleTxtG"/>
        <w:tabs>
          <w:tab w:val="left" w:pos="709"/>
        </w:tabs>
      </w:pPr>
      <w:r w:rsidRPr="0080208D">
        <w:t>Where participation is structurally limited, the effective enjoyment of Article 22 rights may be diminished.</w:t>
      </w:r>
    </w:p>
    <w:p w14:paraId="0EF43FFA" w14:textId="1976B4E6" w:rsidR="0080208D" w:rsidRPr="0080208D" w:rsidRDefault="0080208D" w:rsidP="0008072D">
      <w:pPr>
        <w:pStyle w:val="SingleTxtG"/>
        <w:tabs>
          <w:tab w:val="left" w:pos="709"/>
        </w:tabs>
      </w:pPr>
    </w:p>
    <w:p w14:paraId="4B470FD8" w14:textId="7BBB102B" w:rsidR="0080208D" w:rsidRPr="0080208D" w:rsidRDefault="001378E0" w:rsidP="0008072D">
      <w:pPr>
        <w:pStyle w:val="SingleTxtG"/>
        <w:tabs>
          <w:tab w:val="left" w:pos="709"/>
        </w:tabs>
        <w:ind w:left="0"/>
        <w:rPr>
          <w:b/>
          <w:bCs/>
        </w:rPr>
      </w:pPr>
      <w:r>
        <w:rPr>
          <w:b/>
          <w:bCs/>
        </w:rPr>
        <w:tab/>
      </w:r>
      <w:r w:rsidR="0080208D" w:rsidRPr="0080208D">
        <w:rPr>
          <w:b/>
          <w:bCs/>
        </w:rPr>
        <w:t>2.3 Pluralism and Associational Autonomy</w:t>
      </w:r>
    </w:p>
    <w:p w14:paraId="0037A9E3" w14:textId="77777777" w:rsidR="0080208D" w:rsidRPr="0080208D" w:rsidRDefault="0080208D" w:rsidP="0008072D">
      <w:pPr>
        <w:pStyle w:val="SingleTxtG"/>
        <w:tabs>
          <w:tab w:val="left" w:pos="709"/>
        </w:tabs>
      </w:pPr>
      <w:r w:rsidRPr="0080208D">
        <w:t>Pluralism is a foundational principle underlying freedom of association.</w:t>
      </w:r>
    </w:p>
    <w:p w14:paraId="727D29D3" w14:textId="77777777" w:rsidR="0080208D" w:rsidRPr="0080208D" w:rsidRDefault="0080208D" w:rsidP="0008072D">
      <w:pPr>
        <w:pStyle w:val="SingleTxtG"/>
        <w:tabs>
          <w:tab w:val="left" w:pos="709"/>
        </w:tabs>
      </w:pPr>
      <w:r w:rsidRPr="0080208D">
        <w:t>International standards recognise that lawyers must be able to:</w:t>
      </w:r>
    </w:p>
    <w:p w14:paraId="46BA84FB" w14:textId="77777777" w:rsidR="0080208D" w:rsidRPr="0080208D" w:rsidRDefault="0080208D">
      <w:pPr>
        <w:pStyle w:val="SingleTxtG"/>
        <w:numPr>
          <w:ilvl w:val="0"/>
          <w:numId w:val="8"/>
        </w:numPr>
        <w:tabs>
          <w:tab w:val="clear" w:pos="720"/>
          <w:tab w:val="left" w:pos="709"/>
          <w:tab w:val="num" w:pos="1854"/>
        </w:tabs>
        <w:ind w:left="1854"/>
      </w:pPr>
      <w:r w:rsidRPr="0080208D">
        <w:t xml:space="preserve">form and join </w:t>
      </w:r>
      <w:r w:rsidRPr="0080208D">
        <w:rPr>
          <w:b/>
          <w:bCs/>
        </w:rPr>
        <w:t>self-governing professional associations</w:t>
      </w:r>
      <w:r w:rsidRPr="0080208D">
        <w:t xml:space="preserve">; </w:t>
      </w:r>
    </w:p>
    <w:p w14:paraId="7C8C66AC" w14:textId="77777777" w:rsidR="0080208D" w:rsidRPr="0080208D" w:rsidRDefault="0080208D">
      <w:pPr>
        <w:pStyle w:val="SingleTxtG"/>
        <w:numPr>
          <w:ilvl w:val="0"/>
          <w:numId w:val="8"/>
        </w:numPr>
        <w:tabs>
          <w:tab w:val="clear" w:pos="720"/>
          <w:tab w:val="left" w:pos="709"/>
          <w:tab w:val="num" w:pos="1854"/>
        </w:tabs>
        <w:ind w:left="1854"/>
      </w:pPr>
      <w:r w:rsidRPr="0080208D">
        <w:t xml:space="preserve">elect their own governing bodies; and </w:t>
      </w:r>
    </w:p>
    <w:p w14:paraId="314BDE5B" w14:textId="09D32F92" w:rsidR="0080208D" w:rsidRPr="0080208D" w:rsidRDefault="0080208D">
      <w:pPr>
        <w:pStyle w:val="SingleTxtG"/>
        <w:numPr>
          <w:ilvl w:val="0"/>
          <w:numId w:val="8"/>
        </w:numPr>
        <w:tabs>
          <w:tab w:val="clear" w:pos="720"/>
          <w:tab w:val="left" w:pos="709"/>
          <w:tab w:val="num" w:pos="1854"/>
        </w:tabs>
        <w:ind w:left="1854"/>
      </w:pPr>
      <w:r w:rsidRPr="0080208D">
        <w:t xml:space="preserve">exercise their functions </w:t>
      </w:r>
      <w:r w:rsidRPr="0080208D">
        <w:rPr>
          <w:b/>
          <w:bCs/>
        </w:rPr>
        <w:t>without external interference</w:t>
      </w:r>
      <w:r w:rsidRPr="0080208D">
        <w:t>.</w:t>
      </w:r>
      <w:r w:rsidR="001378E0">
        <w:rPr>
          <w:rStyle w:val="FootnoteReference"/>
        </w:rPr>
        <w:footnoteReference w:id="5"/>
      </w:r>
    </w:p>
    <w:p w14:paraId="469E04ED" w14:textId="77777777" w:rsidR="0080208D" w:rsidRPr="0080208D" w:rsidRDefault="0080208D" w:rsidP="0008072D">
      <w:pPr>
        <w:pStyle w:val="SingleTxtG"/>
        <w:tabs>
          <w:tab w:val="left" w:pos="709"/>
        </w:tabs>
        <w:ind w:left="2268"/>
      </w:pPr>
      <w:r w:rsidRPr="0080208D">
        <w:t>The existence of multiple associations within a profession supports:</w:t>
      </w:r>
    </w:p>
    <w:p w14:paraId="372FD6F5" w14:textId="77777777" w:rsidR="0080208D" w:rsidRPr="0080208D" w:rsidRDefault="0080208D">
      <w:pPr>
        <w:pStyle w:val="SingleTxtG"/>
        <w:numPr>
          <w:ilvl w:val="0"/>
          <w:numId w:val="9"/>
        </w:numPr>
        <w:tabs>
          <w:tab w:val="clear" w:pos="720"/>
          <w:tab w:val="left" w:pos="709"/>
          <w:tab w:val="num" w:pos="1854"/>
        </w:tabs>
        <w:ind w:left="1854"/>
      </w:pPr>
      <w:r w:rsidRPr="0080208D">
        <w:t xml:space="preserve">diversity of viewpoints; </w:t>
      </w:r>
    </w:p>
    <w:p w14:paraId="41564D32" w14:textId="77777777" w:rsidR="0080208D" w:rsidRPr="0080208D" w:rsidRDefault="0080208D">
      <w:pPr>
        <w:pStyle w:val="SingleTxtG"/>
        <w:numPr>
          <w:ilvl w:val="0"/>
          <w:numId w:val="9"/>
        </w:numPr>
        <w:tabs>
          <w:tab w:val="clear" w:pos="720"/>
          <w:tab w:val="left" w:pos="709"/>
          <w:tab w:val="num" w:pos="1854"/>
        </w:tabs>
        <w:ind w:left="1854"/>
      </w:pPr>
      <w:r w:rsidRPr="0080208D">
        <w:t xml:space="preserve">independence of professional standards; and </w:t>
      </w:r>
    </w:p>
    <w:p w14:paraId="26DC48FD" w14:textId="77777777" w:rsidR="0080208D" w:rsidRDefault="0080208D">
      <w:pPr>
        <w:pStyle w:val="SingleTxtG"/>
        <w:numPr>
          <w:ilvl w:val="0"/>
          <w:numId w:val="9"/>
        </w:numPr>
        <w:tabs>
          <w:tab w:val="clear" w:pos="720"/>
          <w:tab w:val="left" w:pos="709"/>
          <w:tab w:val="num" w:pos="1854"/>
        </w:tabs>
        <w:ind w:left="1854"/>
      </w:pPr>
      <w:r w:rsidRPr="0080208D">
        <w:t xml:space="preserve">resilience of institutional frameworks. </w:t>
      </w:r>
    </w:p>
    <w:p w14:paraId="0E9CB02A" w14:textId="77777777" w:rsidR="001378E0" w:rsidRDefault="001378E0" w:rsidP="0008072D">
      <w:pPr>
        <w:pStyle w:val="SingleTxtG"/>
        <w:tabs>
          <w:tab w:val="left" w:pos="709"/>
        </w:tabs>
        <w:ind w:left="0"/>
        <w:rPr>
          <w:b/>
          <w:bCs/>
        </w:rPr>
      </w:pPr>
    </w:p>
    <w:p w14:paraId="5DEEA15B" w14:textId="52683C21" w:rsidR="0080208D" w:rsidRPr="0080208D" w:rsidRDefault="001378E0" w:rsidP="0008072D">
      <w:pPr>
        <w:pStyle w:val="SingleTxtG"/>
        <w:tabs>
          <w:tab w:val="left" w:pos="709"/>
        </w:tabs>
        <w:ind w:left="0"/>
        <w:rPr>
          <w:b/>
          <w:bCs/>
        </w:rPr>
      </w:pPr>
      <w:r>
        <w:rPr>
          <w:b/>
          <w:bCs/>
        </w:rPr>
        <w:tab/>
      </w:r>
      <w:r w:rsidR="0080208D" w:rsidRPr="0080208D">
        <w:rPr>
          <w:b/>
          <w:bCs/>
        </w:rPr>
        <w:t>2.4 Interaction Between Education, Regulation, and Association</w:t>
      </w:r>
    </w:p>
    <w:p w14:paraId="26B11313" w14:textId="77777777" w:rsidR="0080208D" w:rsidRPr="0080208D" w:rsidRDefault="0080208D" w:rsidP="0008072D">
      <w:pPr>
        <w:pStyle w:val="SingleTxtG"/>
        <w:tabs>
          <w:tab w:val="left" w:pos="709"/>
        </w:tabs>
      </w:pPr>
      <w:r w:rsidRPr="0080208D">
        <w:t>In professions such as law, access to the profession is mediated through:</w:t>
      </w:r>
    </w:p>
    <w:p w14:paraId="723592C5" w14:textId="77777777" w:rsidR="0080208D" w:rsidRPr="0080208D" w:rsidRDefault="0080208D">
      <w:pPr>
        <w:pStyle w:val="SingleTxtG"/>
        <w:numPr>
          <w:ilvl w:val="0"/>
          <w:numId w:val="10"/>
        </w:numPr>
        <w:tabs>
          <w:tab w:val="clear" w:pos="720"/>
          <w:tab w:val="left" w:pos="709"/>
          <w:tab w:val="num" w:pos="1854"/>
        </w:tabs>
        <w:ind w:left="1854"/>
      </w:pPr>
      <w:r w:rsidRPr="0080208D">
        <w:t xml:space="preserve">legal education; </w:t>
      </w:r>
    </w:p>
    <w:p w14:paraId="0C4C8BBA" w14:textId="77777777" w:rsidR="0080208D" w:rsidRPr="0080208D" w:rsidRDefault="0080208D">
      <w:pPr>
        <w:pStyle w:val="SingleTxtG"/>
        <w:numPr>
          <w:ilvl w:val="0"/>
          <w:numId w:val="10"/>
        </w:numPr>
        <w:tabs>
          <w:tab w:val="clear" w:pos="720"/>
          <w:tab w:val="left" w:pos="709"/>
          <w:tab w:val="num" w:pos="1854"/>
        </w:tabs>
        <w:ind w:left="1854"/>
      </w:pPr>
      <w:r w:rsidRPr="0080208D">
        <w:t xml:space="preserve">professional qualification processes; </w:t>
      </w:r>
    </w:p>
    <w:p w14:paraId="6F99114B" w14:textId="77777777" w:rsidR="0080208D" w:rsidRPr="0080208D" w:rsidRDefault="0080208D">
      <w:pPr>
        <w:pStyle w:val="SingleTxtG"/>
        <w:numPr>
          <w:ilvl w:val="0"/>
          <w:numId w:val="10"/>
        </w:numPr>
        <w:tabs>
          <w:tab w:val="clear" w:pos="720"/>
          <w:tab w:val="left" w:pos="709"/>
          <w:tab w:val="num" w:pos="1854"/>
        </w:tabs>
        <w:ind w:left="1854"/>
      </w:pPr>
      <w:r w:rsidRPr="0080208D">
        <w:t xml:space="preserve">regulatory admission frameworks. </w:t>
      </w:r>
    </w:p>
    <w:p w14:paraId="5E396953" w14:textId="6AE88503" w:rsidR="0080208D" w:rsidRPr="0080208D" w:rsidRDefault="0080208D" w:rsidP="0008072D">
      <w:pPr>
        <w:pStyle w:val="SingleTxtG"/>
        <w:tabs>
          <w:tab w:val="left" w:pos="709"/>
        </w:tabs>
        <w:ind w:left="2268"/>
      </w:pPr>
      <w:r w:rsidRPr="0080208D">
        <w:t xml:space="preserve">International standards emphasise that entry into the legal profession must be </w:t>
      </w:r>
      <w:r w:rsidRPr="0080208D">
        <w:rPr>
          <w:b/>
          <w:bCs/>
        </w:rPr>
        <w:t>non-discriminatory and properly structured</w:t>
      </w:r>
      <w:r w:rsidRPr="0080208D">
        <w:t>, and supported by education and professional bodies.</w:t>
      </w:r>
      <w:r w:rsidR="001378E0">
        <w:rPr>
          <w:rStyle w:val="FootnoteReference"/>
        </w:rPr>
        <w:footnoteReference w:id="6"/>
      </w:r>
    </w:p>
    <w:p w14:paraId="5B8A7163" w14:textId="77777777" w:rsidR="0080208D" w:rsidRPr="0080208D" w:rsidRDefault="0080208D" w:rsidP="0008072D">
      <w:pPr>
        <w:pStyle w:val="SingleTxtG"/>
        <w:tabs>
          <w:tab w:val="left" w:pos="709"/>
        </w:tabs>
        <w:ind w:left="2268"/>
      </w:pPr>
      <w:r w:rsidRPr="0080208D">
        <w:t>Where these systems are closely integrated or centrally controlled, they may shape:</w:t>
      </w:r>
    </w:p>
    <w:p w14:paraId="692CD3CE" w14:textId="77777777" w:rsidR="0080208D" w:rsidRPr="0080208D" w:rsidRDefault="0080208D">
      <w:pPr>
        <w:pStyle w:val="SingleTxtG"/>
        <w:numPr>
          <w:ilvl w:val="0"/>
          <w:numId w:val="11"/>
        </w:numPr>
        <w:tabs>
          <w:tab w:val="clear" w:pos="720"/>
          <w:tab w:val="left" w:pos="709"/>
          <w:tab w:val="num" w:pos="1854"/>
        </w:tabs>
        <w:ind w:left="1854"/>
      </w:pPr>
      <w:r w:rsidRPr="0080208D">
        <w:t xml:space="preserve">who is able to enter the profession; </w:t>
      </w:r>
    </w:p>
    <w:p w14:paraId="77C674CD" w14:textId="77777777" w:rsidR="0080208D" w:rsidRPr="0080208D" w:rsidRDefault="0080208D">
      <w:pPr>
        <w:pStyle w:val="SingleTxtG"/>
        <w:numPr>
          <w:ilvl w:val="0"/>
          <w:numId w:val="11"/>
        </w:numPr>
        <w:tabs>
          <w:tab w:val="clear" w:pos="720"/>
          <w:tab w:val="left" w:pos="709"/>
          <w:tab w:val="num" w:pos="1854"/>
        </w:tabs>
        <w:ind w:left="1854"/>
      </w:pPr>
      <w:r w:rsidRPr="0080208D">
        <w:t xml:space="preserve">what perspectives are represented; and </w:t>
      </w:r>
    </w:p>
    <w:p w14:paraId="137BDD0D" w14:textId="77777777" w:rsidR="0080208D" w:rsidRPr="0080208D" w:rsidRDefault="0080208D">
      <w:pPr>
        <w:pStyle w:val="SingleTxtG"/>
        <w:numPr>
          <w:ilvl w:val="0"/>
          <w:numId w:val="11"/>
        </w:numPr>
        <w:tabs>
          <w:tab w:val="clear" w:pos="720"/>
          <w:tab w:val="left" w:pos="709"/>
          <w:tab w:val="num" w:pos="1854"/>
        </w:tabs>
        <w:ind w:left="1854"/>
      </w:pPr>
      <w:r w:rsidRPr="0080208D">
        <w:t>the extent to which independent associations can meaningfully influence standards and practice.</w:t>
      </w:r>
    </w:p>
    <w:p w14:paraId="646FC463" w14:textId="77777777" w:rsidR="00051E66" w:rsidRDefault="00051E66" w:rsidP="0008072D">
      <w:pPr>
        <w:pStyle w:val="SingleTxtG"/>
        <w:tabs>
          <w:tab w:val="left" w:pos="709"/>
        </w:tabs>
      </w:pPr>
    </w:p>
    <w:p w14:paraId="58DCEEE7" w14:textId="2FF4D6B2" w:rsidR="00051E66" w:rsidRDefault="00051E66" w:rsidP="0008072D">
      <w:pPr>
        <w:pStyle w:val="HChG"/>
        <w:tabs>
          <w:tab w:val="left" w:pos="709"/>
        </w:tabs>
      </w:pPr>
      <w:r w:rsidRPr="009E5CAE">
        <w:tab/>
      </w:r>
      <w:r>
        <w:t>3</w:t>
      </w:r>
      <w:r w:rsidRPr="009E5CAE">
        <w:t>.</w:t>
      </w:r>
      <w:r w:rsidRPr="009E5CAE">
        <w:tab/>
      </w:r>
      <w:r w:rsidRPr="00051E66">
        <w:t>Paragraph-Specific Comments</w:t>
      </w:r>
      <w:r w:rsidR="0008072D">
        <w:br/>
      </w:r>
    </w:p>
    <w:p w14:paraId="730B6018" w14:textId="2F2EC2D3" w:rsidR="001378E0" w:rsidRPr="001378E0" w:rsidRDefault="0008072D" w:rsidP="0008072D">
      <w:pPr>
        <w:pStyle w:val="SingleTxtG"/>
        <w:tabs>
          <w:tab w:val="left" w:pos="709"/>
        </w:tabs>
        <w:ind w:left="0"/>
        <w:rPr>
          <w:b/>
          <w:bCs/>
        </w:rPr>
      </w:pPr>
      <w:r>
        <w:rPr>
          <w:b/>
          <w:bCs/>
        </w:rPr>
        <w:tab/>
      </w:r>
      <w:r w:rsidR="001378E0" w:rsidRPr="001378E0">
        <w:rPr>
          <w:b/>
          <w:bCs/>
        </w:rPr>
        <w:t>3.1 Paragraph 7 — Freedom to Determine Associational Activity</w:t>
      </w:r>
    </w:p>
    <w:p w14:paraId="16727028" w14:textId="50A4E7F0" w:rsidR="001378E0" w:rsidRPr="001378E0" w:rsidRDefault="001378E0" w:rsidP="0008072D">
      <w:pPr>
        <w:pStyle w:val="SingleTxtG"/>
        <w:tabs>
          <w:tab w:val="left" w:pos="709"/>
        </w:tabs>
      </w:pPr>
      <w:r w:rsidRPr="001378E0">
        <w:t>Paragraph 7 of the Draft General Comment affirms that individuals have the right to determine the structure, organisation, and activities of their associations.</w:t>
      </w:r>
      <w:r w:rsidR="0008072D">
        <w:rPr>
          <w:rStyle w:val="FootnoteReference"/>
        </w:rPr>
        <w:footnoteReference w:id="7"/>
      </w:r>
    </w:p>
    <w:p w14:paraId="3F4576B0" w14:textId="77777777" w:rsidR="001378E0" w:rsidRPr="001378E0" w:rsidRDefault="001378E0" w:rsidP="0008072D">
      <w:pPr>
        <w:pStyle w:val="SingleTxtG"/>
        <w:tabs>
          <w:tab w:val="left" w:pos="709"/>
        </w:tabs>
      </w:pPr>
      <w:r w:rsidRPr="001378E0">
        <w:t xml:space="preserve">This freedom must be understood not only as a formal entitlement, but as requiring the existence of </w:t>
      </w:r>
      <w:r w:rsidRPr="001378E0">
        <w:rPr>
          <w:b/>
          <w:bCs/>
        </w:rPr>
        <w:t>real and meaningful opportunities</w:t>
      </w:r>
      <w:r w:rsidRPr="001378E0">
        <w:t xml:space="preserve"> through which such choice can be exercised. In professional contexts, particularly within regulated professions such as law, the scope of this freedom is closely linked to the </w:t>
      </w:r>
      <w:r w:rsidRPr="001378E0">
        <w:rPr>
          <w:b/>
          <w:bCs/>
        </w:rPr>
        <w:t>availability of institutional plurality</w:t>
      </w:r>
      <w:r w:rsidRPr="001378E0">
        <w:t>.</w:t>
      </w:r>
    </w:p>
    <w:p w14:paraId="66E714B4" w14:textId="77777777" w:rsidR="001378E0" w:rsidRPr="001378E0" w:rsidRDefault="001378E0" w:rsidP="0008072D">
      <w:pPr>
        <w:pStyle w:val="SingleTxtG"/>
        <w:tabs>
          <w:tab w:val="left" w:pos="709"/>
        </w:tabs>
      </w:pPr>
      <w:r w:rsidRPr="001378E0">
        <w:t xml:space="preserve">Where professional organisation is structured around a </w:t>
      </w:r>
      <w:r w:rsidRPr="001378E0">
        <w:rPr>
          <w:b/>
          <w:bCs/>
        </w:rPr>
        <w:t>single centralised regulatory body</w:t>
      </w:r>
      <w:r w:rsidRPr="001378E0">
        <w:t>, and where alternative or independent associations do not have a meaningful role in:</w:t>
      </w:r>
    </w:p>
    <w:p w14:paraId="4A122444" w14:textId="77777777" w:rsidR="001378E0" w:rsidRPr="001378E0" w:rsidRDefault="001378E0">
      <w:pPr>
        <w:pStyle w:val="SingleTxtG"/>
        <w:numPr>
          <w:ilvl w:val="0"/>
          <w:numId w:val="12"/>
        </w:numPr>
        <w:tabs>
          <w:tab w:val="left" w:pos="709"/>
        </w:tabs>
      </w:pPr>
      <w:r w:rsidRPr="001378E0">
        <w:t xml:space="preserve">regulation; </w:t>
      </w:r>
    </w:p>
    <w:p w14:paraId="35062D9B" w14:textId="77777777" w:rsidR="001378E0" w:rsidRPr="001378E0" w:rsidRDefault="001378E0">
      <w:pPr>
        <w:pStyle w:val="SingleTxtG"/>
        <w:numPr>
          <w:ilvl w:val="0"/>
          <w:numId w:val="12"/>
        </w:numPr>
        <w:tabs>
          <w:tab w:val="left" w:pos="709"/>
        </w:tabs>
      </w:pPr>
      <w:r w:rsidRPr="001378E0">
        <w:t xml:space="preserve">standard-setting; or </w:t>
      </w:r>
    </w:p>
    <w:p w14:paraId="4910522C" w14:textId="77777777" w:rsidR="001378E0" w:rsidRDefault="001378E0">
      <w:pPr>
        <w:pStyle w:val="SingleTxtG"/>
        <w:numPr>
          <w:ilvl w:val="0"/>
          <w:numId w:val="12"/>
        </w:numPr>
        <w:tabs>
          <w:tab w:val="left" w:pos="709"/>
        </w:tabs>
      </w:pPr>
      <w:r w:rsidRPr="001378E0">
        <w:t xml:space="preserve">professional representation </w:t>
      </w:r>
    </w:p>
    <w:p w14:paraId="1035850A" w14:textId="77777777" w:rsidR="0008072D" w:rsidRPr="001378E0" w:rsidRDefault="0008072D" w:rsidP="0008072D">
      <w:pPr>
        <w:pStyle w:val="SingleTxtG"/>
        <w:tabs>
          <w:tab w:val="left" w:pos="709"/>
        </w:tabs>
      </w:pPr>
    </w:p>
    <w:p w14:paraId="122D4B09" w14:textId="77777777" w:rsidR="001378E0" w:rsidRPr="001378E0" w:rsidRDefault="001378E0" w:rsidP="0008072D">
      <w:pPr>
        <w:pStyle w:val="SingleTxtG"/>
        <w:tabs>
          <w:tab w:val="left" w:pos="709"/>
        </w:tabs>
      </w:pPr>
      <w:r w:rsidRPr="001378E0">
        <w:t xml:space="preserve">the ability to determine associational activity may be </w:t>
      </w:r>
      <w:r w:rsidRPr="001378E0">
        <w:rPr>
          <w:b/>
          <w:bCs/>
        </w:rPr>
        <w:t>substantively constrained</w:t>
      </w:r>
      <w:r w:rsidRPr="001378E0">
        <w:t>, even if formally recognised.</w:t>
      </w:r>
    </w:p>
    <w:p w14:paraId="6EA46512" w14:textId="37FAA094" w:rsidR="001378E0" w:rsidRPr="001378E0" w:rsidRDefault="001378E0" w:rsidP="0008072D">
      <w:pPr>
        <w:pStyle w:val="SingleTxtG"/>
        <w:tabs>
          <w:tab w:val="left" w:pos="709"/>
        </w:tabs>
      </w:pPr>
      <w:r w:rsidRPr="001378E0">
        <w:t>International standards provide that lawyers must be able to form and join organisations of their choosing, including professional associations, and that such associations should play a role in protecting members’ interests and maintaining professional standards.</w:t>
      </w:r>
      <w:r w:rsidR="0008072D">
        <w:rPr>
          <w:rStyle w:val="FootnoteReference"/>
        </w:rPr>
        <w:footnoteReference w:id="8"/>
      </w:r>
    </w:p>
    <w:p w14:paraId="5838D7E2" w14:textId="63C2A0D9" w:rsidR="001378E0" w:rsidRDefault="001378E0" w:rsidP="0008072D">
      <w:pPr>
        <w:pStyle w:val="SingleTxtG"/>
        <w:tabs>
          <w:tab w:val="left" w:pos="709"/>
        </w:tabs>
      </w:pPr>
      <w:r w:rsidRPr="001378E0">
        <w:t xml:space="preserve">In circumstances where institutional design limits the </w:t>
      </w:r>
      <w:r w:rsidRPr="001378E0">
        <w:rPr>
          <w:b/>
          <w:bCs/>
        </w:rPr>
        <w:t>practical availability or effectiveness of alternative associations</w:t>
      </w:r>
      <w:r w:rsidRPr="001378E0">
        <w:t>, the freedom protected by Article 22 may therefore be reduced in practice. The existence of formal rights alone is insufficient where structural conditions limit their meaningful exercise.</w:t>
      </w:r>
    </w:p>
    <w:p w14:paraId="1A741EEF" w14:textId="77777777" w:rsidR="0008072D" w:rsidRPr="001378E0" w:rsidRDefault="0008072D" w:rsidP="0008072D">
      <w:pPr>
        <w:pStyle w:val="SingleTxtG"/>
        <w:tabs>
          <w:tab w:val="left" w:pos="709"/>
        </w:tabs>
      </w:pPr>
    </w:p>
    <w:p w14:paraId="17BED2DE" w14:textId="73D38293" w:rsidR="001378E0" w:rsidRPr="001378E0" w:rsidRDefault="0008072D" w:rsidP="0008072D">
      <w:pPr>
        <w:pStyle w:val="SingleTxtG"/>
        <w:tabs>
          <w:tab w:val="left" w:pos="709"/>
        </w:tabs>
        <w:ind w:left="0"/>
        <w:rPr>
          <w:b/>
          <w:bCs/>
        </w:rPr>
      </w:pPr>
      <w:r>
        <w:rPr>
          <w:b/>
          <w:bCs/>
        </w:rPr>
        <w:tab/>
      </w:r>
      <w:r w:rsidR="001378E0" w:rsidRPr="001378E0">
        <w:rPr>
          <w:b/>
          <w:bCs/>
        </w:rPr>
        <w:t>3.2 Paragraph 9 — Structural Barriers</w:t>
      </w:r>
    </w:p>
    <w:p w14:paraId="0EAC595B" w14:textId="3DDEE10E" w:rsidR="001378E0" w:rsidRPr="001378E0" w:rsidRDefault="001378E0" w:rsidP="0008072D">
      <w:pPr>
        <w:pStyle w:val="SingleTxtG"/>
        <w:tabs>
          <w:tab w:val="left" w:pos="709"/>
        </w:tabs>
      </w:pPr>
      <w:r w:rsidRPr="001378E0">
        <w:t>Paragraph 9 recognises that structural or practical barriers may affect the exercise of freedom of association.</w:t>
      </w:r>
      <w:r w:rsidR="0008072D">
        <w:rPr>
          <w:rStyle w:val="FootnoteReference"/>
        </w:rPr>
        <w:footnoteReference w:id="9"/>
      </w:r>
    </w:p>
    <w:p w14:paraId="04ECAF36" w14:textId="77777777" w:rsidR="001378E0" w:rsidRPr="001378E0" w:rsidRDefault="001378E0" w:rsidP="0008072D">
      <w:pPr>
        <w:pStyle w:val="SingleTxtG"/>
        <w:tabs>
          <w:tab w:val="left" w:pos="709"/>
        </w:tabs>
      </w:pPr>
      <w:r w:rsidRPr="001378E0">
        <w:t xml:space="preserve">In regulated professions, such barriers often arise not from explicit legal prohibitions, but from the </w:t>
      </w:r>
      <w:r w:rsidRPr="001378E0">
        <w:rPr>
          <w:b/>
          <w:bCs/>
        </w:rPr>
        <w:t>interaction of multiple institutional systems</w:t>
      </w:r>
      <w:r w:rsidRPr="001378E0">
        <w:t>, including:</w:t>
      </w:r>
    </w:p>
    <w:p w14:paraId="070A521C" w14:textId="77777777" w:rsidR="001378E0" w:rsidRPr="001378E0" w:rsidRDefault="001378E0">
      <w:pPr>
        <w:pStyle w:val="SingleTxtG"/>
        <w:numPr>
          <w:ilvl w:val="0"/>
          <w:numId w:val="13"/>
        </w:numPr>
        <w:tabs>
          <w:tab w:val="left" w:pos="709"/>
        </w:tabs>
      </w:pPr>
      <w:r w:rsidRPr="001378E0">
        <w:t xml:space="preserve">education and training pathways; </w:t>
      </w:r>
    </w:p>
    <w:p w14:paraId="31FCA515" w14:textId="77777777" w:rsidR="001378E0" w:rsidRPr="001378E0" w:rsidRDefault="001378E0">
      <w:pPr>
        <w:pStyle w:val="SingleTxtG"/>
        <w:numPr>
          <w:ilvl w:val="0"/>
          <w:numId w:val="13"/>
        </w:numPr>
        <w:tabs>
          <w:tab w:val="left" w:pos="709"/>
        </w:tabs>
      </w:pPr>
      <w:r w:rsidRPr="001378E0">
        <w:t xml:space="preserve">professional qualification requirements; and </w:t>
      </w:r>
    </w:p>
    <w:p w14:paraId="4455F736" w14:textId="77777777" w:rsidR="001378E0" w:rsidRDefault="001378E0">
      <w:pPr>
        <w:pStyle w:val="SingleTxtG"/>
        <w:numPr>
          <w:ilvl w:val="0"/>
          <w:numId w:val="13"/>
        </w:numPr>
        <w:tabs>
          <w:tab w:val="left" w:pos="709"/>
        </w:tabs>
      </w:pPr>
      <w:r w:rsidRPr="001378E0">
        <w:t xml:space="preserve">regulatory admission frameworks. </w:t>
      </w:r>
    </w:p>
    <w:p w14:paraId="73C062A9" w14:textId="77777777" w:rsidR="0008072D" w:rsidRPr="001378E0" w:rsidRDefault="0008072D" w:rsidP="0008072D">
      <w:pPr>
        <w:pStyle w:val="SingleTxtG"/>
        <w:tabs>
          <w:tab w:val="left" w:pos="709"/>
        </w:tabs>
      </w:pPr>
    </w:p>
    <w:p w14:paraId="30F9B1A1" w14:textId="77777777" w:rsidR="001378E0" w:rsidRPr="001378E0" w:rsidRDefault="001378E0" w:rsidP="0008072D">
      <w:pPr>
        <w:pStyle w:val="SingleTxtG"/>
        <w:tabs>
          <w:tab w:val="left" w:pos="709"/>
        </w:tabs>
      </w:pPr>
      <w:r w:rsidRPr="001378E0">
        <w:t xml:space="preserve">These systems collectively determine access to the profession and, by extension, access to participation in professional associations. Where these pathways are </w:t>
      </w:r>
      <w:r w:rsidRPr="001378E0">
        <w:rPr>
          <w:b/>
          <w:bCs/>
        </w:rPr>
        <w:t>uniform, centralised, or narrowly defined</w:t>
      </w:r>
      <w:r w:rsidRPr="001378E0">
        <w:t>, they may influence:</w:t>
      </w:r>
    </w:p>
    <w:p w14:paraId="76202D40" w14:textId="77777777" w:rsidR="001378E0" w:rsidRPr="001378E0" w:rsidRDefault="001378E0">
      <w:pPr>
        <w:pStyle w:val="SingleTxtG"/>
        <w:numPr>
          <w:ilvl w:val="0"/>
          <w:numId w:val="14"/>
        </w:numPr>
        <w:tabs>
          <w:tab w:val="clear" w:pos="720"/>
          <w:tab w:val="left" w:pos="709"/>
        </w:tabs>
        <w:ind w:left="1854"/>
      </w:pPr>
      <w:r w:rsidRPr="001378E0">
        <w:t xml:space="preserve">the composition of the profession; </w:t>
      </w:r>
    </w:p>
    <w:p w14:paraId="4B74E031" w14:textId="77777777" w:rsidR="001378E0" w:rsidRPr="001378E0" w:rsidRDefault="001378E0">
      <w:pPr>
        <w:pStyle w:val="SingleTxtG"/>
        <w:numPr>
          <w:ilvl w:val="0"/>
          <w:numId w:val="14"/>
        </w:numPr>
        <w:tabs>
          <w:tab w:val="clear" w:pos="720"/>
          <w:tab w:val="left" w:pos="709"/>
        </w:tabs>
        <w:ind w:left="1854"/>
      </w:pPr>
      <w:r w:rsidRPr="001378E0">
        <w:t xml:space="preserve">the range of perspectives represented; and </w:t>
      </w:r>
    </w:p>
    <w:p w14:paraId="5DC9A006" w14:textId="77777777" w:rsidR="001378E0" w:rsidRPr="001378E0" w:rsidRDefault="001378E0">
      <w:pPr>
        <w:pStyle w:val="SingleTxtG"/>
        <w:numPr>
          <w:ilvl w:val="0"/>
          <w:numId w:val="14"/>
        </w:numPr>
        <w:tabs>
          <w:tab w:val="clear" w:pos="720"/>
          <w:tab w:val="left" w:pos="709"/>
        </w:tabs>
        <w:ind w:left="1854"/>
      </w:pPr>
      <w:r w:rsidRPr="001378E0">
        <w:t xml:space="preserve">the ability of individuals to form or participate in associations reflecting diverse viewpoints. </w:t>
      </w:r>
    </w:p>
    <w:p w14:paraId="1B0CF96C" w14:textId="77777777" w:rsidR="001378E0" w:rsidRPr="001378E0" w:rsidRDefault="001378E0" w:rsidP="0008072D">
      <w:pPr>
        <w:pStyle w:val="SingleTxtG"/>
        <w:tabs>
          <w:tab w:val="left" w:pos="709"/>
        </w:tabs>
      </w:pPr>
      <w:r w:rsidRPr="001378E0">
        <w:t>Structural barriers may also arise where individuals encounter difficulties in:</w:t>
      </w:r>
    </w:p>
    <w:p w14:paraId="5BC965A5" w14:textId="77777777" w:rsidR="001378E0" w:rsidRPr="001378E0" w:rsidRDefault="001378E0">
      <w:pPr>
        <w:pStyle w:val="SingleTxtG"/>
        <w:numPr>
          <w:ilvl w:val="0"/>
          <w:numId w:val="15"/>
        </w:numPr>
        <w:tabs>
          <w:tab w:val="clear" w:pos="720"/>
          <w:tab w:val="left" w:pos="709"/>
        </w:tabs>
        <w:ind w:left="1854"/>
      </w:pPr>
      <w:r w:rsidRPr="001378E0">
        <w:t xml:space="preserve">accessing information relating to professional regulation; </w:t>
      </w:r>
    </w:p>
    <w:p w14:paraId="584D5ABC" w14:textId="77777777" w:rsidR="001378E0" w:rsidRPr="001378E0" w:rsidRDefault="001378E0">
      <w:pPr>
        <w:pStyle w:val="SingleTxtG"/>
        <w:numPr>
          <w:ilvl w:val="0"/>
          <w:numId w:val="15"/>
        </w:numPr>
        <w:tabs>
          <w:tab w:val="clear" w:pos="720"/>
          <w:tab w:val="left" w:pos="709"/>
        </w:tabs>
        <w:ind w:left="1854"/>
      </w:pPr>
      <w:r w:rsidRPr="001378E0">
        <w:t xml:space="preserve">engaging with regulatory bodies; or </w:t>
      </w:r>
    </w:p>
    <w:p w14:paraId="2A9EB870" w14:textId="77777777" w:rsidR="001378E0" w:rsidRDefault="001378E0">
      <w:pPr>
        <w:pStyle w:val="SingleTxtG"/>
        <w:numPr>
          <w:ilvl w:val="0"/>
          <w:numId w:val="15"/>
        </w:numPr>
        <w:tabs>
          <w:tab w:val="clear" w:pos="720"/>
          <w:tab w:val="left" w:pos="709"/>
        </w:tabs>
        <w:ind w:left="1854"/>
      </w:pPr>
      <w:r w:rsidRPr="001378E0">
        <w:t xml:space="preserve">participating in processes affecting the governance of the profession. </w:t>
      </w:r>
    </w:p>
    <w:p w14:paraId="3C765ACE" w14:textId="77777777" w:rsidR="0008072D" w:rsidRPr="001378E0" w:rsidRDefault="0008072D" w:rsidP="0008072D">
      <w:pPr>
        <w:pStyle w:val="SingleTxtG"/>
        <w:tabs>
          <w:tab w:val="left" w:pos="709"/>
        </w:tabs>
      </w:pPr>
    </w:p>
    <w:p w14:paraId="261667DF" w14:textId="77777777" w:rsidR="001378E0" w:rsidRPr="001378E0" w:rsidRDefault="001378E0" w:rsidP="0008072D">
      <w:pPr>
        <w:pStyle w:val="SingleTxtG"/>
        <w:tabs>
          <w:tab w:val="left" w:pos="709"/>
        </w:tabs>
      </w:pPr>
      <w:r w:rsidRPr="001378E0">
        <w:t xml:space="preserve">While such barriers may not constitute formal restrictions, they may nonetheless affect the </w:t>
      </w:r>
      <w:r w:rsidRPr="001378E0">
        <w:rPr>
          <w:b/>
          <w:bCs/>
        </w:rPr>
        <w:t>effective exercise of Article 22 rights</w:t>
      </w:r>
      <w:r w:rsidRPr="001378E0">
        <w:t>, particularly where they limit meaningful participation in professional and associational life.</w:t>
      </w:r>
    </w:p>
    <w:p w14:paraId="449B9EEB" w14:textId="77777777" w:rsidR="001378E0" w:rsidRPr="001378E0" w:rsidRDefault="001378E0" w:rsidP="0008072D">
      <w:pPr>
        <w:pStyle w:val="SingleTxtG"/>
        <w:tabs>
          <w:tab w:val="left" w:pos="709"/>
        </w:tabs>
      </w:pPr>
      <w:r w:rsidRPr="001378E0">
        <w:t xml:space="preserve">Recognition of these structural dimensions is essential to ensure that freedom of association is assessed in terms of its </w:t>
      </w:r>
      <w:r w:rsidRPr="001378E0">
        <w:rPr>
          <w:b/>
          <w:bCs/>
        </w:rPr>
        <w:t>practical accessibility</w:t>
      </w:r>
      <w:r w:rsidRPr="001378E0">
        <w:t>, rather than its formal availability alone.</w:t>
      </w:r>
    </w:p>
    <w:p w14:paraId="64CE8536" w14:textId="77777777" w:rsidR="001378E0" w:rsidRDefault="001378E0" w:rsidP="0008072D">
      <w:pPr>
        <w:pStyle w:val="SingleTxtG"/>
        <w:tabs>
          <w:tab w:val="left" w:pos="709"/>
        </w:tabs>
      </w:pPr>
    </w:p>
    <w:p w14:paraId="792AA7E8" w14:textId="3695D492" w:rsidR="006471F5" w:rsidRPr="006471F5" w:rsidRDefault="0008072D" w:rsidP="0008072D">
      <w:pPr>
        <w:pStyle w:val="SingleTxtG"/>
        <w:tabs>
          <w:tab w:val="left" w:pos="709"/>
        </w:tabs>
        <w:ind w:left="0"/>
        <w:rPr>
          <w:b/>
          <w:bCs/>
        </w:rPr>
      </w:pPr>
      <w:r>
        <w:rPr>
          <w:b/>
          <w:bCs/>
        </w:rPr>
        <w:tab/>
      </w:r>
      <w:r w:rsidR="006471F5" w:rsidRPr="006471F5">
        <w:rPr>
          <w:b/>
          <w:bCs/>
        </w:rPr>
        <w:t>3.3 Paragraph 10 — Diversity and Dissent</w:t>
      </w:r>
    </w:p>
    <w:p w14:paraId="7478758D" w14:textId="7058D7DB" w:rsidR="006471F5" w:rsidRPr="006471F5" w:rsidRDefault="006471F5" w:rsidP="0008072D">
      <w:pPr>
        <w:pStyle w:val="SingleTxtG"/>
        <w:tabs>
          <w:tab w:val="left" w:pos="709"/>
        </w:tabs>
      </w:pPr>
      <w:r w:rsidRPr="006471F5">
        <w:t xml:space="preserve">Paragraph 10 emphasises the importance of protecting </w:t>
      </w:r>
      <w:r w:rsidRPr="006471F5">
        <w:rPr>
          <w:b/>
          <w:bCs/>
        </w:rPr>
        <w:t>diversity and dissent</w:t>
      </w:r>
      <w:r w:rsidRPr="006471F5">
        <w:t xml:space="preserve"> within associational life.</w:t>
      </w:r>
      <w:r w:rsidR="0008072D">
        <w:rPr>
          <w:rStyle w:val="FootnoteReference"/>
        </w:rPr>
        <w:footnoteReference w:id="10"/>
      </w:r>
    </w:p>
    <w:p w14:paraId="4C428F3E" w14:textId="77777777" w:rsidR="006471F5" w:rsidRPr="006471F5" w:rsidRDefault="006471F5" w:rsidP="0008072D">
      <w:pPr>
        <w:pStyle w:val="SingleTxtG"/>
        <w:tabs>
          <w:tab w:val="left" w:pos="709"/>
        </w:tabs>
      </w:pPr>
      <w:r w:rsidRPr="006471F5">
        <w:t>In the context of the legal profession, diversity is not limited to demographic representation, but includes:</w:t>
      </w:r>
    </w:p>
    <w:p w14:paraId="307E2274" w14:textId="77777777" w:rsidR="006471F5" w:rsidRPr="006471F5" w:rsidRDefault="006471F5">
      <w:pPr>
        <w:pStyle w:val="SingleTxtG"/>
        <w:numPr>
          <w:ilvl w:val="0"/>
          <w:numId w:val="16"/>
        </w:numPr>
        <w:tabs>
          <w:tab w:val="left" w:pos="709"/>
        </w:tabs>
      </w:pPr>
      <w:r w:rsidRPr="006471F5">
        <w:t xml:space="preserve">diversity of legal reasoning; </w:t>
      </w:r>
    </w:p>
    <w:p w14:paraId="71FC8950" w14:textId="77777777" w:rsidR="006471F5" w:rsidRPr="006471F5" w:rsidRDefault="006471F5">
      <w:pPr>
        <w:pStyle w:val="SingleTxtG"/>
        <w:numPr>
          <w:ilvl w:val="0"/>
          <w:numId w:val="16"/>
        </w:numPr>
        <w:tabs>
          <w:tab w:val="left" w:pos="709"/>
        </w:tabs>
      </w:pPr>
      <w:r w:rsidRPr="006471F5">
        <w:t xml:space="preserve">methodological approaches; and </w:t>
      </w:r>
    </w:p>
    <w:p w14:paraId="002CC5B7" w14:textId="77777777" w:rsidR="006471F5" w:rsidRDefault="006471F5">
      <w:pPr>
        <w:pStyle w:val="SingleTxtG"/>
        <w:numPr>
          <w:ilvl w:val="0"/>
          <w:numId w:val="16"/>
        </w:numPr>
        <w:tabs>
          <w:tab w:val="left" w:pos="709"/>
        </w:tabs>
      </w:pPr>
      <w:r w:rsidRPr="006471F5">
        <w:t xml:space="preserve">intellectual and interpretive perspectives. </w:t>
      </w:r>
    </w:p>
    <w:p w14:paraId="4FFFB9BE" w14:textId="77777777" w:rsidR="0008072D" w:rsidRPr="006471F5" w:rsidRDefault="0008072D" w:rsidP="0008072D">
      <w:pPr>
        <w:pStyle w:val="SingleTxtG"/>
        <w:tabs>
          <w:tab w:val="left" w:pos="709"/>
        </w:tabs>
      </w:pPr>
    </w:p>
    <w:p w14:paraId="50A9B680" w14:textId="77777777" w:rsidR="006471F5" w:rsidRPr="006471F5" w:rsidRDefault="006471F5" w:rsidP="0008072D">
      <w:pPr>
        <w:pStyle w:val="SingleTxtG"/>
        <w:tabs>
          <w:tab w:val="left" w:pos="709"/>
        </w:tabs>
      </w:pPr>
      <w:r w:rsidRPr="006471F5">
        <w:t xml:space="preserve">The proper functioning of the legal system depends on the existence of </w:t>
      </w:r>
      <w:r w:rsidRPr="006471F5">
        <w:rPr>
          <w:b/>
          <w:bCs/>
        </w:rPr>
        <w:t>open debate and the ability to challenge prevailing views</w:t>
      </w:r>
      <w:r w:rsidRPr="006471F5">
        <w:t>, both within professional associations and in broader institutional settings.</w:t>
      </w:r>
    </w:p>
    <w:p w14:paraId="19CB2F1C" w14:textId="2533801A" w:rsidR="006471F5" w:rsidRPr="006471F5" w:rsidRDefault="006471F5" w:rsidP="0008072D">
      <w:pPr>
        <w:pStyle w:val="SingleTxtG"/>
        <w:tabs>
          <w:tab w:val="left" w:pos="709"/>
        </w:tabs>
      </w:pPr>
      <w:r w:rsidRPr="006471F5">
        <w:t>International standards recognise that lawyers have the right to take part in public discussion of legal and institutional matters, including through associations, without restriction or interference.</w:t>
      </w:r>
      <w:r w:rsidR="0008072D">
        <w:rPr>
          <w:rStyle w:val="FootnoteReference"/>
        </w:rPr>
        <w:footnoteReference w:id="11"/>
      </w:r>
      <w:r w:rsidRPr="006471F5">
        <w:t xml:space="preserve"> This protection extends to the ability to express views that may differ from prevailing policy or institutional approaches.</w:t>
      </w:r>
    </w:p>
    <w:p w14:paraId="22DB0889" w14:textId="77777777" w:rsidR="006471F5" w:rsidRPr="006471F5" w:rsidRDefault="006471F5" w:rsidP="0008072D">
      <w:pPr>
        <w:pStyle w:val="SingleTxtG"/>
        <w:tabs>
          <w:tab w:val="left" w:pos="709"/>
        </w:tabs>
      </w:pPr>
      <w:r w:rsidRPr="006471F5">
        <w:t>Where professional or institutional environments give rise to:</w:t>
      </w:r>
    </w:p>
    <w:p w14:paraId="47E32E8F" w14:textId="77777777" w:rsidR="006471F5" w:rsidRPr="006471F5" w:rsidRDefault="006471F5">
      <w:pPr>
        <w:pStyle w:val="SingleTxtG"/>
        <w:numPr>
          <w:ilvl w:val="0"/>
          <w:numId w:val="17"/>
        </w:numPr>
        <w:tabs>
          <w:tab w:val="left" w:pos="709"/>
        </w:tabs>
      </w:pPr>
      <w:r w:rsidRPr="006471F5">
        <w:t xml:space="preserve">perceived reputational risks; </w:t>
      </w:r>
    </w:p>
    <w:p w14:paraId="717E0607" w14:textId="77777777" w:rsidR="006471F5" w:rsidRPr="006471F5" w:rsidRDefault="006471F5">
      <w:pPr>
        <w:pStyle w:val="SingleTxtG"/>
        <w:numPr>
          <w:ilvl w:val="0"/>
          <w:numId w:val="17"/>
        </w:numPr>
        <w:tabs>
          <w:tab w:val="left" w:pos="709"/>
        </w:tabs>
      </w:pPr>
      <w:r w:rsidRPr="006471F5">
        <w:t xml:space="preserve">pressure to align with dominant viewpoints; or </w:t>
      </w:r>
    </w:p>
    <w:p w14:paraId="0ABA31D5" w14:textId="77777777" w:rsidR="006471F5" w:rsidRDefault="006471F5">
      <w:pPr>
        <w:pStyle w:val="SingleTxtG"/>
        <w:numPr>
          <w:ilvl w:val="0"/>
          <w:numId w:val="17"/>
        </w:numPr>
        <w:tabs>
          <w:tab w:val="left" w:pos="709"/>
        </w:tabs>
      </w:pPr>
      <w:r w:rsidRPr="006471F5">
        <w:t xml:space="preserve">disincentives to engage in debate </w:t>
      </w:r>
    </w:p>
    <w:p w14:paraId="246A76F1" w14:textId="77777777" w:rsidR="0008072D" w:rsidRPr="006471F5" w:rsidRDefault="0008072D" w:rsidP="0008072D">
      <w:pPr>
        <w:pStyle w:val="SingleTxtG"/>
        <w:tabs>
          <w:tab w:val="left" w:pos="709"/>
        </w:tabs>
      </w:pPr>
    </w:p>
    <w:p w14:paraId="24167273" w14:textId="77777777" w:rsidR="006471F5" w:rsidRPr="006471F5" w:rsidRDefault="006471F5" w:rsidP="0008072D">
      <w:pPr>
        <w:pStyle w:val="SingleTxtG"/>
        <w:tabs>
          <w:tab w:val="left" w:pos="709"/>
        </w:tabs>
      </w:pPr>
      <w:r w:rsidRPr="006471F5">
        <w:t xml:space="preserve">a </w:t>
      </w:r>
      <w:r w:rsidRPr="006471F5">
        <w:rPr>
          <w:b/>
          <w:bCs/>
        </w:rPr>
        <w:t>chilling effect</w:t>
      </w:r>
      <w:r w:rsidRPr="006471F5">
        <w:t xml:space="preserve"> may arise. In such circumstances, individuals may refrain from participating in associations or from expressing dissenting perspectives, even in the absence of formal restrictions.</w:t>
      </w:r>
    </w:p>
    <w:p w14:paraId="0C3176DA" w14:textId="77777777" w:rsidR="006471F5" w:rsidRPr="006471F5" w:rsidRDefault="006471F5" w:rsidP="0008072D">
      <w:pPr>
        <w:pStyle w:val="SingleTxtG"/>
        <w:tabs>
          <w:tab w:val="left" w:pos="709"/>
        </w:tabs>
      </w:pPr>
      <w:r w:rsidRPr="006471F5">
        <w:t xml:space="preserve">The protection of diversity under Article 22 therefore requires attention not only to formal freedoms, but also to the </w:t>
      </w:r>
      <w:r w:rsidRPr="006471F5">
        <w:rPr>
          <w:b/>
          <w:bCs/>
        </w:rPr>
        <w:t>conditions under which participation occurs</w:t>
      </w:r>
      <w:r w:rsidRPr="006471F5">
        <w:t>, including whether individuals are able to engage in associational life without fear of adverse consequences.</w:t>
      </w:r>
    </w:p>
    <w:p w14:paraId="60A95133" w14:textId="2361C967" w:rsidR="006471F5" w:rsidRPr="006471F5" w:rsidRDefault="006471F5" w:rsidP="0008072D">
      <w:pPr>
        <w:pStyle w:val="SingleTxtG"/>
        <w:tabs>
          <w:tab w:val="left" w:pos="709"/>
        </w:tabs>
      </w:pPr>
    </w:p>
    <w:p w14:paraId="5A9D00B8" w14:textId="797843B0" w:rsidR="006471F5" w:rsidRPr="006471F5" w:rsidRDefault="0008072D" w:rsidP="0008072D">
      <w:pPr>
        <w:pStyle w:val="SingleTxtG"/>
        <w:tabs>
          <w:tab w:val="left" w:pos="709"/>
        </w:tabs>
        <w:ind w:left="0"/>
        <w:rPr>
          <w:b/>
          <w:bCs/>
        </w:rPr>
      </w:pPr>
      <w:r>
        <w:rPr>
          <w:b/>
          <w:bCs/>
        </w:rPr>
        <w:tab/>
      </w:r>
      <w:r w:rsidR="006471F5" w:rsidRPr="006471F5">
        <w:rPr>
          <w:b/>
          <w:bCs/>
        </w:rPr>
        <w:t>3.4 Paragraph 12 — Professional Associations</w:t>
      </w:r>
    </w:p>
    <w:p w14:paraId="543181F6" w14:textId="12A37CC0" w:rsidR="006471F5" w:rsidRPr="006471F5" w:rsidRDefault="006471F5" w:rsidP="0008072D">
      <w:pPr>
        <w:pStyle w:val="SingleTxtG"/>
        <w:tabs>
          <w:tab w:val="left" w:pos="709"/>
        </w:tabs>
      </w:pPr>
      <w:r w:rsidRPr="006471F5">
        <w:t>Paragraph 12 recognises the role of professional associations in the exercise of freedom of association.</w:t>
      </w:r>
      <w:r w:rsidR="000A1695">
        <w:rPr>
          <w:rStyle w:val="FootnoteReference"/>
        </w:rPr>
        <w:footnoteReference w:id="12"/>
      </w:r>
    </w:p>
    <w:p w14:paraId="0A53A285" w14:textId="77777777" w:rsidR="006471F5" w:rsidRPr="006471F5" w:rsidRDefault="006471F5" w:rsidP="0008072D">
      <w:pPr>
        <w:pStyle w:val="SingleTxtG"/>
        <w:tabs>
          <w:tab w:val="left" w:pos="709"/>
        </w:tabs>
      </w:pPr>
      <w:r w:rsidRPr="006471F5">
        <w:t>Professional associations play a central role in:</w:t>
      </w:r>
    </w:p>
    <w:p w14:paraId="458E8E39" w14:textId="77777777" w:rsidR="006471F5" w:rsidRPr="006471F5" w:rsidRDefault="006471F5">
      <w:pPr>
        <w:pStyle w:val="SingleTxtG"/>
        <w:numPr>
          <w:ilvl w:val="0"/>
          <w:numId w:val="18"/>
        </w:numPr>
        <w:tabs>
          <w:tab w:val="left" w:pos="709"/>
        </w:tabs>
      </w:pPr>
      <w:r w:rsidRPr="006471F5">
        <w:t xml:space="preserve">representing the interests of practitioners; </w:t>
      </w:r>
    </w:p>
    <w:p w14:paraId="08F30C9C" w14:textId="77777777" w:rsidR="006471F5" w:rsidRPr="006471F5" w:rsidRDefault="006471F5">
      <w:pPr>
        <w:pStyle w:val="SingleTxtG"/>
        <w:numPr>
          <w:ilvl w:val="0"/>
          <w:numId w:val="18"/>
        </w:numPr>
        <w:tabs>
          <w:tab w:val="left" w:pos="709"/>
        </w:tabs>
      </w:pPr>
      <w:r w:rsidRPr="006471F5">
        <w:t xml:space="preserve">contributing to the development of professional standards; </w:t>
      </w:r>
    </w:p>
    <w:p w14:paraId="6F375F5C" w14:textId="77777777" w:rsidR="006471F5" w:rsidRPr="006471F5" w:rsidRDefault="006471F5">
      <w:pPr>
        <w:pStyle w:val="SingleTxtG"/>
        <w:numPr>
          <w:ilvl w:val="0"/>
          <w:numId w:val="18"/>
        </w:numPr>
        <w:tabs>
          <w:tab w:val="left" w:pos="709"/>
        </w:tabs>
      </w:pPr>
      <w:r w:rsidRPr="006471F5">
        <w:t xml:space="preserve">facilitating participation in legal and institutional discourse; and </w:t>
      </w:r>
    </w:p>
    <w:p w14:paraId="3A525072" w14:textId="77777777" w:rsidR="006471F5" w:rsidRDefault="006471F5">
      <w:pPr>
        <w:pStyle w:val="SingleTxtG"/>
        <w:numPr>
          <w:ilvl w:val="0"/>
          <w:numId w:val="18"/>
        </w:numPr>
        <w:tabs>
          <w:tab w:val="left" w:pos="709"/>
        </w:tabs>
      </w:pPr>
      <w:r w:rsidRPr="006471F5">
        <w:t xml:space="preserve">supporting the independence of the legal profession. </w:t>
      </w:r>
    </w:p>
    <w:p w14:paraId="2827543F" w14:textId="77777777" w:rsidR="0008072D" w:rsidRPr="006471F5" w:rsidRDefault="0008072D" w:rsidP="0008072D">
      <w:pPr>
        <w:pStyle w:val="SingleTxtG"/>
        <w:tabs>
          <w:tab w:val="left" w:pos="709"/>
        </w:tabs>
      </w:pPr>
    </w:p>
    <w:p w14:paraId="02E5015B" w14:textId="70F96415" w:rsidR="006471F5" w:rsidRPr="006471F5" w:rsidRDefault="006471F5" w:rsidP="0008072D">
      <w:pPr>
        <w:pStyle w:val="SingleTxtG"/>
        <w:tabs>
          <w:tab w:val="left" w:pos="709"/>
        </w:tabs>
      </w:pPr>
      <w:r w:rsidRPr="006471F5">
        <w:t xml:space="preserve">International standards provide that lawyers are entitled to form and join </w:t>
      </w:r>
      <w:r w:rsidRPr="006471F5">
        <w:rPr>
          <w:b/>
          <w:bCs/>
        </w:rPr>
        <w:t>self-governing professional associations</w:t>
      </w:r>
      <w:r w:rsidRPr="006471F5">
        <w:t>, whose executive bodies are elected by members and operate without external interference.</w:t>
      </w:r>
      <w:r w:rsidR="000A1695">
        <w:rPr>
          <w:rStyle w:val="FootnoteReference"/>
        </w:rPr>
        <w:footnoteReference w:id="13"/>
      </w:r>
      <w:r w:rsidRPr="006471F5">
        <w:t xml:space="preserve"> These associations are intended to:</w:t>
      </w:r>
    </w:p>
    <w:p w14:paraId="2671AEAA" w14:textId="77777777" w:rsidR="006471F5" w:rsidRPr="006471F5" w:rsidRDefault="006471F5">
      <w:pPr>
        <w:pStyle w:val="SingleTxtG"/>
        <w:numPr>
          <w:ilvl w:val="0"/>
          <w:numId w:val="19"/>
        </w:numPr>
        <w:tabs>
          <w:tab w:val="clear" w:pos="720"/>
          <w:tab w:val="left" w:pos="709"/>
        </w:tabs>
        <w:ind w:left="1854"/>
      </w:pPr>
      <w:r w:rsidRPr="006471F5">
        <w:t xml:space="preserve">protect members’ professional interests; and </w:t>
      </w:r>
    </w:p>
    <w:p w14:paraId="724688D9" w14:textId="1961E51B" w:rsidR="006471F5" w:rsidRPr="006471F5" w:rsidRDefault="006471F5">
      <w:pPr>
        <w:pStyle w:val="SingleTxtG"/>
        <w:numPr>
          <w:ilvl w:val="0"/>
          <w:numId w:val="19"/>
        </w:numPr>
        <w:tabs>
          <w:tab w:val="clear" w:pos="720"/>
          <w:tab w:val="left" w:pos="709"/>
        </w:tabs>
        <w:ind w:left="1854"/>
      </w:pPr>
      <w:r w:rsidRPr="006471F5">
        <w:t>contribute to the proper administration of justice.</w:t>
      </w:r>
      <w:r w:rsidR="000A1695">
        <w:rPr>
          <w:rStyle w:val="FootnoteReference"/>
        </w:rPr>
        <w:footnoteReference w:id="14"/>
      </w:r>
    </w:p>
    <w:p w14:paraId="790396B4" w14:textId="77777777" w:rsidR="0008072D" w:rsidRDefault="0008072D" w:rsidP="0008072D">
      <w:pPr>
        <w:pStyle w:val="SingleTxtG"/>
        <w:tabs>
          <w:tab w:val="left" w:pos="709"/>
        </w:tabs>
      </w:pPr>
    </w:p>
    <w:p w14:paraId="16FCDC8E" w14:textId="07D7B33B" w:rsidR="006471F5" w:rsidRPr="006471F5" w:rsidRDefault="006471F5" w:rsidP="0008072D">
      <w:pPr>
        <w:pStyle w:val="SingleTxtG"/>
        <w:tabs>
          <w:tab w:val="left" w:pos="709"/>
        </w:tabs>
      </w:pPr>
      <w:r w:rsidRPr="006471F5">
        <w:t xml:space="preserve">Where the governance of a profession is </w:t>
      </w:r>
      <w:r w:rsidRPr="006471F5">
        <w:rPr>
          <w:b/>
          <w:bCs/>
        </w:rPr>
        <w:t>centralised within a single statutory body</w:t>
      </w:r>
      <w:r w:rsidRPr="006471F5">
        <w:t>, the role of independent associations may be limited to:</w:t>
      </w:r>
    </w:p>
    <w:p w14:paraId="7DA5E077" w14:textId="77777777" w:rsidR="006471F5" w:rsidRPr="006471F5" w:rsidRDefault="006471F5">
      <w:pPr>
        <w:pStyle w:val="SingleTxtG"/>
        <w:numPr>
          <w:ilvl w:val="0"/>
          <w:numId w:val="20"/>
        </w:numPr>
        <w:tabs>
          <w:tab w:val="clear" w:pos="720"/>
          <w:tab w:val="left" w:pos="709"/>
        </w:tabs>
        <w:ind w:left="1854"/>
      </w:pPr>
      <w:r w:rsidRPr="006471F5">
        <w:t xml:space="preserve">voluntary or representative functions, without regulatory influence. </w:t>
      </w:r>
    </w:p>
    <w:p w14:paraId="77CC9AF7" w14:textId="77777777" w:rsidR="0008072D" w:rsidRDefault="0008072D" w:rsidP="0008072D">
      <w:pPr>
        <w:pStyle w:val="SingleTxtG"/>
        <w:tabs>
          <w:tab w:val="left" w:pos="709"/>
        </w:tabs>
      </w:pPr>
    </w:p>
    <w:p w14:paraId="5FA12DDD" w14:textId="19B9610B" w:rsidR="006471F5" w:rsidRPr="006471F5" w:rsidRDefault="006471F5" w:rsidP="0008072D">
      <w:pPr>
        <w:pStyle w:val="SingleTxtG"/>
        <w:tabs>
          <w:tab w:val="left" w:pos="709"/>
        </w:tabs>
      </w:pPr>
      <w:r w:rsidRPr="006471F5">
        <w:t>This may affect their ability to:</w:t>
      </w:r>
    </w:p>
    <w:p w14:paraId="45696235" w14:textId="77777777" w:rsidR="006471F5" w:rsidRPr="006471F5" w:rsidRDefault="006471F5">
      <w:pPr>
        <w:pStyle w:val="SingleTxtG"/>
        <w:numPr>
          <w:ilvl w:val="0"/>
          <w:numId w:val="21"/>
        </w:numPr>
        <w:tabs>
          <w:tab w:val="clear" w:pos="720"/>
          <w:tab w:val="left" w:pos="709"/>
        </w:tabs>
        <w:ind w:left="1854"/>
      </w:pPr>
      <w:r w:rsidRPr="006471F5">
        <w:t xml:space="preserve">shape professional standards; </w:t>
      </w:r>
    </w:p>
    <w:p w14:paraId="76E96CCF" w14:textId="77777777" w:rsidR="006471F5" w:rsidRPr="006471F5" w:rsidRDefault="006471F5">
      <w:pPr>
        <w:pStyle w:val="SingleTxtG"/>
        <w:numPr>
          <w:ilvl w:val="0"/>
          <w:numId w:val="21"/>
        </w:numPr>
        <w:tabs>
          <w:tab w:val="clear" w:pos="720"/>
          <w:tab w:val="left" w:pos="709"/>
        </w:tabs>
        <w:ind w:left="1854"/>
      </w:pPr>
      <w:r w:rsidRPr="006471F5">
        <w:t xml:space="preserve">influence entry into the profession; and </w:t>
      </w:r>
    </w:p>
    <w:p w14:paraId="74002E11" w14:textId="77777777" w:rsidR="006471F5" w:rsidRPr="006471F5" w:rsidRDefault="006471F5">
      <w:pPr>
        <w:pStyle w:val="SingleTxtG"/>
        <w:numPr>
          <w:ilvl w:val="0"/>
          <w:numId w:val="21"/>
        </w:numPr>
        <w:tabs>
          <w:tab w:val="clear" w:pos="720"/>
          <w:tab w:val="left" w:pos="709"/>
        </w:tabs>
        <w:ind w:left="1854"/>
      </w:pPr>
      <w:r w:rsidRPr="006471F5">
        <w:t xml:space="preserve">contribute meaningfully to institutional development. </w:t>
      </w:r>
    </w:p>
    <w:p w14:paraId="45F43F88" w14:textId="77777777" w:rsidR="006471F5" w:rsidRDefault="006471F5" w:rsidP="0008072D">
      <w:pPr>
        <w:pStyle w:val="SingleTxtG"/>
        <w:tabs>
          <w:tab w:val="left" w:pos="709"/>
        </w:tabs>
      </w:pPr>
      <w:r w:rsidRPr="006471F5">
        <w:t xml:space="preserve">The effective protection of Article 22 therefore requires that professional associations are able to operate as </w:t>
      </w:r>
      <w:r w:rsidRPr="006471F5">
        <w:rPr>
          <w:b/>
          <w:bCs/>
        </w:rPr>
        <w:t>substantive participants in professional life</w:t>
      </w:r>
      <w:r w:rsidRPr="006471F5">
        <w:t>, rather than merely symbolic or consultative entities.</w:t>
      </w:r>
    </w:p>
    <w:p w14:paraId="6A55D877" w14:textId="77777777" w:rsidR="0008072D" w:rsidRPr="006471F5" w:rsidRDefault="0008072D" w:rsidP="0008072D">
      <w:pPr>
        <w:pStyle w:val="SingleTxtG"/>
        <w:tabs>
          <w:tab w:val="left" w:pos="709"/>
        </w:tabs>
      </w:pPr>
    </w:p>
    <w:p w14:paraId="267B57D0" w14:textId="7A5E3FF1" w:rsidR="006471F5" w:rsidRPr="006471F5" w:rsidRDefault="0008072D" w:rsidP="0008072D">
      <w:pPr>
        <w:pStyle w:val="SingleTxtG"/>
        <w:tabs>
          <w:tab w:val="left" w:pos="709"/>
        </w:tabs>
        <w:ind w:left="0"/>
        <w:rPr>
          <w:b/>
          <w:bCs/>
        </w:rPr>
      </w:pPr>
      <w:r>
        <w:rPr>
          <w:b/>
          <w:bCs/>
        </w:rPr>
        <w:tab/>
      </w:r>
      <w:r w:rsidR="006471F5" w:rsidRPr="006471F5">
        <w:rPr>
          <w:b/>
          <w:bCs/>
        </w:rPr>
        <w:t>3.5 Paragraph 15 — Autonomy and Self-Governance</w:t>
      </w:r>
    </w:p>
    <w:p w14:paraId="64E48041" w14:textId="16757302" w:rsidR="006471F5" w:rsidRPr="006471F5" w:rsidRDefault="006471F5" w:rsidP="0008072D">
      <w:pPr>
        <w:pStyle w:val="SingleTxtG"/>
        <w:tabs>
          <w:tab w:val="left" w:pos="709"/>
        </w:tabs>
      </w:pPr>
      <w:r w:rsidRPr="006471F5">
        <w:t xml:space="preserve">Paragraph 15 affirms that associations must be able to operate with </w:t>
      </w:r>
      <w:r w:rsidRPr="006471F5">
        <w:rPr>
          <w:b/>
          <w:bCs/>
        </w:rPr>
        <w:t>autonomy and independence</w:t>
      </w:r>
      <w:r w:rsidRPr="006471F5">
        <w:t>, free from interference.</w:t>
      </w:r>
      <w:r w:rsidR="000A1695">
        <w:rPr>
          <w:rStyle w:val="FootnoteReference"/>
        </w:rPr>
        <w:footnoteReference w:id="15"/>
      </w:r>
    </w:p>
    <w:p w14:paraId="2D193892" w14:textId="77777777" w:rsidR="006471F5" w:rsidRPr="006471F5" w:rsidRDefault="006471F5" w:rsidP="0008072D">
      <w:pPr>
        <w:pStyle w:val="SingleTxtG"/>
        <w:tabs>
          <w:tab w:val="left" w:pos="709"/>
        </w:tabs>
      </w:pPr>
      <w:r w:rsidRPr="006471F5">
        <w:t xml:space="preserve">In professional contexts, autonomy must be assessed not only in formal terms, but also in light of the </w:t>
      </w:r>
      <w:r w:rsidRPr="006471F5">
        <w:rPr>
          <w:b/>
          <w:bCs/>
        </w:rPr>
        <w:t>structural design of regulatory frameworks</w:t>
      </w:r>
      <w:r w:rsidRPr="006471F5">
        <w:t>. Where professional governance is organised through statutory bodies within a centralised system, the presence of:</w:t>
      </w:r>
    </w:p>
    <w:p w14:paraId="3B9C15A7" w14:textId="77777777" w:rsidR="006471F5" w:rsidRPr="006471F5" w:rsidRDefault="006471F5">
      <w:pPr>
        <w:pStyle w:val="SingleTxtG"/>
        <w:numPr>
          <w:ilvl w:val="0"/>
          <w:numId w:val="22"/>
        </w:numPr>
        <w:tabs>
          <w:tab w:val="left" w:pos="709"/>
        </w:tabs>
      </w:pPr>
      <w:r w:rsidRPr="006471F5">
        <w:t xml:space="preserve">ministerial oversight; </w:t>
      </w:r>
    </w:p>
    <w:p w14:paraId="6DF76E9F" w14:textId="77777777" w:rsidR="006471F5" w:rsidRPr="006471F5" w:rsidRDefault="006471F5">
      <w:pPr>
        <w:pStyle w:val="SingleTxtG"/>
        <w:numPr>
          <w:ilvl w:val="0"/>
          <w:numId w:val="22"/>
        </w:numPr>
        <w:tabs>
          <w:tab w:val="left" w:pos="709"/>
        </w:tabs>
      </w:pPr>
      <w:r w:rsidRPr="006471F5">
        <w:t xml:space="preserve">directive powers; or </w:t>
      </w:r>
    </w:p>
    <w:p w14:paraId="52A71BB4" w14:textId="48F82929" w:rsidR="000A1695" w:rsidRPr="006471F5" w:rsidRDefault="006471F5">
      <w:pPr>
        <w:pStyle w:val="SingleTxtG"/>
        <w:numPr>
          <w:ilvl w:val="0"/>
          <w:numId w:val="22"/>
        </w:numPr>
        <w:tabs>
          <w:tab w:val="left" w:pos="709"/>
        </w:tabs>
      </w:pPr>
      <w:r w:rsidRPr="006471F5">
        <w:t xml:space="preserve">approval mechanisms </w:t>
      </w:r>
    </w:p>
    <w:p w14:paraId="0473F9A7" w14:textId="77777777" w:rsidR="006471F5" w:rsidRDefault="006471F5" w:rsidP="0008072D">
      <w:pPr>
        <w:pStyle w:val="SingleTxtG"/>
        <w:tabs>
          <w:tab w:val="left" w:pos="709"/>
        </w:tabs>
      </w:pPr>
      <w:r w:rsidRPr="006471F5">
        <w:t>may influence the extent to which associations are able to act independently.</w:t>
      </w:r>
    </w:p>
    <w:p w14:paraId="594E0713" w14:textId="77777777" w:rsidR="000A1695" w:rsidRPr="006471F5" w:rsidRDefault="000A1695" w:rsidP="0008072D">
      <w:pPr>
        <w:pStyle w:val="SingleTxtG"/>
        <w:tabs>
          <w:tab w:val="left" w:pos="709"/>
        </w:tabs>
      </w:pPr>
    </w:p>
    <w:p w14:paraId="703D1FC8" w14:textId="67900A78" w:rsidR="006471F5" w:rsidRPr="006471F5" w:rsidRDefault="006471F5" w:rsidP="0008072D">
      <w:pPr>
        <w:pStyle w:val="SingleTxtG"/>
        <w:tabs>
          <w:tab w:val="left" w:pos="709"/>
        </w:tabs>
      </w:pPr>
      <w:r w:rsidRPr="006471F5">
        <w:t xml:space="preserve">International standards require that professional associations of lawyers must be able to exercise their functions </w:t>
      </w:r>
      <w:r w:rsidRPr="006471F5">
        <w:rPr>
          <w:b/>
          <w:bCs/>
        </w:rPr>
        <w:t>without external interference</w:t>
      </w:r>
      <w:r w:rsidRPr="006471F5">
        <w:t>, including from public authorities.</w:t>
      </w:r>
      <w:r w:rsidR="000A1695">
        <w:rPr>
          <w:rStyle w:val="FootnoteReference"/>
        </w:rPr>
        <w:footnoteReference w:id="16"/>
      </w:r>
      <w:r w:rsidRPr="006471F5">
        <w:t xml:space="preserve"> This includes the ability to:</w:t>
      </w:r>
    </w:p>
    <w:p w14:paraId="73F92A9F" w14:textId="77777777" w:rsidR="006471F5" w:rsidRPr="006471F5" w:rsidRDefault="006471F5">
      <w:pPr>
        <w:pStyle w:val="SingleTxtG"/>
        <w:numPr>
          <w:ilvl w:val="0"/>
          <w:numId w:val="23"/>
        </w:numPr>
        <w:tabs>
          <w:tab w:val="left" w:pos="709"/>
        </w:tabs>
      </w:pPr>
      <w:r w:rsidRPr="006471F5">
        <w:t xml:space="preserve">determine internal governance structures; </w:t>
      </w:r>
    </w:p>
    <w:p w14:paraId="38E5166A" w14:textId="77777777" w:rsidR="006471F5" w:rsidRPr="006471F5" w:rsidRDefault="006471F5">
      <w:pPr>
        <w:pStyle w:val="SingleTxtG"/>
        <w:numPr>
          <w:ilvl w:val="0"/>
          <w:numId w:val="23"/>
        </w:numPr>
        <w:tabs>
          <w:tab w:val="left" w:pos="709"/>
        </w:tabs>
      </w:pPr>
      <w:r w:rsidRPr="006471F5">
        <w:t xml:space="preserve">represent members’ interests independently; and </w:t>
      </w:r>
    </w:p>
    <w:p w14:paraId="4799B5B3" w14:textId="77777777" w:rsidR="006471F5" w:rsidRDefault="006471F5">
      <w:pPr>
        <w:pStyle w:val="SingleTxtG"/>
        <w:numPr>
          <w:ilvl w:val="0"/>
          <w:numId w:val="23"/>
        </w:numPr>
        <w:tabs>
          <w:tab w:val="left" w:pos="709"/>
        </w:tabs>
      </w:pPr>
      <w:r w:rsidRPr="006471F5">
        <w:t xml:space="preserve">contribute to the development of professional norms and standards. </w:t>
      </w:r>
    </w:p>
    <w:p w14:paraId="01AA0BDF" w14:textId="77777777" w:rsidR="000A1695" w:rsidRPr="006471F5" w:rsidRDefault="000A1695" w:rsidP="000A1695">
      <w:pPr>
        <w:pStyle w:val="SingleTxtG"/>
        <w:tabs>
          <w:tab w:val="left" w:pos="709"/>
        </w:tabs>
      </w:pPr>
    </w:p>
    <w:p w14:paraId="6EDC8205" w14:textId="77777777" w:rsidR="006471F5" w:rsidRPr="006471F5" w:rsidRDefault="006471F5" w:rsidP="0008072D">
      <w:pPr>
        <w:pStyle w:val="SingleTxtG"/>
        <w:tabs>
          <w:tab w:val="left" w:pos="709"/>
        </w:tabs>
      </w:pPr>
      <w:r w:rsidRPr="006471F5">
        <w:t>Where regulatory arrangements limit these functions in practice, the autonomy protected by Article 22 may be affected, even if formal independence is maintained.</w:t>
      </w:r>
    </w:p>
    <w:p w14:paraId="6D4F9726" w14:textId="77777777" w:rsidR="000A1695" w:rsidRDefault="000A1695" w:rsidP="000A1695">
      <w:pPr>
        <w:pStyle w:val="SingleTxtG"/>
        <w:tabs>
          <w:tab w:val="left" w:pos="709"/>
        </w:tabs>
        <w:ind w:left="0"/>
      </w:pPr>
      <w:r>
        <w:tab/>
      </w:r>
    </w:p>
    <w:p w14:paraId="4CA2FAD7" w14:textId="21668764" w:rsidR="006471F5" w:rsidRPr="006471F5" w:rsidRDefault="000A1695" w:rsidP="000A1695">
      <w:pPr>
        <w:pStyle w:val="SingleTxtG"/>
        <w:tabs>
          <w:tab w:val="left" w:pos="709"/>
        </w:tabs>
        <w:ind w:left="0"/>
        <w:rPr>
          <w:b/>
          <w:bCs/>
        </w:rPr>
      </w:pPr>
      <w:r>
        <w:tab/>
      </w:r>
      <w:r w:rsidR="006471F5" w:rsidRPr="006471F5">
        <w:rPr>
          <w:b/>
          <w:bCs/>
        </w:rPr>
        <w:t>3.6 Paragraph 18 — Right Not to Associate</w:t>
      </w:r>
    </w:p>
    <w:p w14:paraId="237DF75A" w14:textId="41AFF996" w:rsidR="006471F5" w:rsidRPr="006471F5" w:rsidRDefault="006471F5" w:rsidP="0008072D">
      <w:pPr>
        <w:pStyle w:val="SingleTxtG"/>
        <w:tabs>
          <w:tab w:val="left" w:pos="709"/>
        </w:tabs>
      </w:pPr>
      <w:r w:rsidRPr="006471F5">
        <w:t xml:space="preserve">Paragraph 18 recognises that freedom of association includes the </w:t>
      </w:r>
      <w:r w:rsidRPr="006471F5">
        <w:rPr>
          <w:b/>
          <w:bCs/>
        </w:rPr>
        <w:t>right not to associate</w:t>
      </w:r>
      <w:r w:rsidRPr="006471F5">
        <w:t>.</w:t>
      </w:r>
      <w:r w:rsidR="000A1695">
        <w:rPr>
          <w:rStyle w:val="FootnoteReference"/>
        </w:rPr>
        <w:footnoteReference w:id="17"/>
      </w:r>
    </w:p>
    <w:p w14:paraId="32870B17" w14:textId="77777777" w:rsidR="006471F5" w:rsidRPr="006471F5" w:rsidRDefault="006471F5" w:rsidP="0008072D">
      <w:pPr>
        <w:pStyle w:val="SingleTxtG"/>
        <w:tabs>
          <w:tab w:val="left" w:pos="709"/>
        </w:tabs>
      </w:pPr>
      <w:r w:rsidRPr="006471F5">
        <w:t xml:space="preserve">In regulated professions, this right may be affected where participation in a particular institutional framework is effectively required for entry into, or continuation within, the profession. While regulatory systems serve legitimate purposes, the absence of </w:t>
      </w:r>
      <w:r w:rsidRPr="006471F5">
        <w:rPr>
          <w:b/>
          <w:bCs/>
        </w:rPr>
        <w:t>viable alternative frameworks</w:t>
      </w:r>
      <w:r w:rsidRPr="006471F5">
        <w:t xml:space="preserve"> may result in a form of functional compulsion.</w:t>
      </w:r>
    </w:p>
    <w:p w14:paraId="01C15191" w14:textId="77777777" w:rsidR="006471F5" w:rsidRPr="006471F5" w:rsidRDefault="006471F5" w:rsidP="0008072D">
      <w:pPr>
        <w:pStyle w:val="SingleTxtG"/>
        <w:tabs>
          <w:tab w:val="left" w:pos="709"/>
        </w:tabs>
      </w:pPr>
      <w:r w:rsidRPr="006471F5">
        <w:t>In such circumstances, individuals may have no meaningful option but to engage with a specific regulatory structure in order to:</w:t>
      </w:r>
    </w:p>
    <w:p w14:paraId="7062E3D7" w14:textId="77777777" w:rsidR="006471F5" w:rsidRPr="006471F5" w:rsidRDefault="006471F5">
      <w:pPr>
        <w:pStyle w:val="SingleTxtG"/>
        <w:numPr>
          <w:ilvl w:val="0"/>
          <w:numId w:val="24"/>
        </w:numPr>
        <w:tabs>
          <w:tab w:val="left" w:pos="709"/>
        </w:tabs>
      </w:pPr>
      <w:r w:rsidRPr="006471F5">
        <w:t xml:space="preserve">access the profession; </w:t>
      </w:r>
    </w:p>
    <w:p w14:paraId="1CCBA9D8" w14:textId="77777777" w:rsidR="006471F5" w:rsidRPr="006471F5" w:rsidRDefault="006471F5">
      <w:pPr>
        <w:pStyle w:val="SingleTxtG"/>
        <w:numPr>
          <w:ilvl w:val="0"/>
          <w:numId w:val="24"/>
        </w:numPr>
        <w:tabs>
          <w:tab w:val="left" w:pos="709"/>
        </w:tabs>
      </w:pPr>
      <w:r w:rsidRPr="006471F5">
        <w:t xml:space="preserve">maintain professional status; or </w:t>
      </w:r>
    </w:p>
    <w:p w14:paraId="4C3F7BE4" w14:textId="77777777" w:rsidR="006471F5" w:rsidRDefault="006471F5">
      <w:pPr>
        <w:pStyle w:val="SingleTxtG"/>
        <w:numPr>
          <w:ilvl w:val="0"/>
          <w:numId w:val="24"/>
        </w:numPr>
        <w:tabs>
          <w:tab w:val="left" w:pos="709"/>
        </w:tabs>
      </w:pPr>
      <w:r w:rsidRPr="006471F5">
        <w:t xml:space="preserve">participate in professional life. </w:t>
      </w:r>
    </w:p>
    <w:p w14:paraId="449FEACB" w14:textId="77777777" w:rsidR="000A1695" w:rsidRPr="006471F5" w:rsidRDefault="000A1695" w:rsidP="000A1695">
      <w:pPr>
        <w:pStyle w:val="SingleTxtG"/>
        <w:tabs>
          <w:tab w:val="left" w:pos="709"/>
        </w:tabs>
      </w:pPr>
    </w:p>
    <w:p w14:paraId="3A80AB0D" w14:textId="77777777" w:rsidR="006471F5" w:rsidRPr="006471F5" w:rsidRDefault="006471F5" w:rsidP="0008072D">
      <w:pPr>
        <w:pStyle w:val="SingleTxtG"/>
        <w:tabs>
          <w:tab w:val="left" w:pos="709"/>
        </w:tabs>
      </w:pPr>
      <w:r w:rsidRPr="006471F5">
        <w:t xml:space="preserve">This raises questions as to whether the right not to associate can be meaningfully exercised where </w:t>
      </w:r>
      <w:r w:rsidRPr="006471F5">
        <w:rPr>
          <w:b/>
          <w:bCs/>
        </w:rPr>
        <w:t>participation in a single system is a condition of professional existence</w:t>
      </w:r>
      <w:r w:rsidRPr="006471F5">
        <w:t>.</w:t>
      </w:r>
    </w:p>
    <w:p w14:paraId="752EE7AA" w14:textId="77777777" w:rsidR="006471F5" w:rsidRPr="006471F5" w:rsidRDefault="006471F5" w:rsidP="0008072D">
      <w:pPr>
        <w:pStyle w:val="SingleTxtG"/>
        <w:tabs>
          <w:tab w:val="left" w:pos="709"/>
        </w:tabs>
      </w:pPr>
      <w:r w:rsidRPr="006471F5">
        <w:t xml:space="preserve">The effective protection of this right therefore depends on whether the broader system allows for </w:t>
      </w:r>
      <w:r w:rsidRPr="006471F5">
        <w:rPr>
          <w:b/>
          <w:bCs/>
        </w:rPr>
        <w:t>genuine choice</w:t>
      </w:r>
      <w:r w:rsidRPr="006471F5">
        <w:t>, rather than formal non-compulsion alone.</w:t>
      </w:r>
    </w:p>
    <w:p w14:paraId="237A4BB6" w14:textId="45FF438A" w:rsidR="006471F5" w:rsidRPr="006471F5" w:rsidRDefault="006471F5" w:rsidP="0008072D">
      <w:pPr>
        <w:pStyle w:val="SingleTxtG"/>
        <w:tabs>
          <w:tab w:val="left" w:pos="709"/>
        </w:tabs>
      </w:pPr>
    </w:p>
    <w:p w14:paraId="25B74EC6" w14:textId="6CCEDE25" w:rsidR="006471F5" w:rsidRPr="006471F5" w:rsidRDefault="000A1695" w:rsidP="000A1695">
      <w:pPr>
        <w:pStyle w:val="SingleTxtG"/>
        <w:tabs>
          <w:tab w:val="left" w:pos="709"/>
        </w:tabs>
        <w:ind w:left="0"/>
        <w:rPr>
          <w:b/>
          <w:bCs/>
        </w:rPr>
      </w:pPr>
      <w:r>
        <w:rPr>
          <w:b/>
          <w:bCs/>
        </w:rPr>
        <w:tab/>
      </w:r>
      <w:r w:rsidR="006471F5" w:rsidRPr="006471F5">
        <w:rPr>
          <w:b/>
          <w:bCs/>
        </w:rPr>
        <w:t>3.7 Paragraph 24 — State Control</w:t>
      </w:r>
    </w:p>
    <w:p w14:paraId="0455CA9D" w14:textId="0726E6AD" w:rsidR="006471F5" w:rsidRPr="006471F5" w:rsidRDefault="006471F5" w:rsidP="0008072D">
      <w:pPr>
        <w:pStyle w:val="SingleTxtG"/>
        <w:tabs>
          <w:tab w:val="left" w:pos="709"/>
        </w:tabs>
      </w:pPr>
      <w:r w:rsidRPr="006471F5">
        <w:t>Paragraph 24 addresses the role of the State in relation to associations.</w:t>
      </w:r>
      <w:r w:rsidR="000A1695">
        <w:rPr>
          <w:rStyle w:val="FootnoteReference"/>
        </w:rPr>
        <w:footnoteReference w:id="18"/>
      </w:r>
    </w:p>
    <w:p w14:paraId="6A4AA3DA" w14:textId="77777777" w:rsidR="006471F5" w:rsidRPr="006471F5" w:rsidRDefault="006471F5" w:rsidP="0008072D">
      <w:pPr>
        <w:pStyle w:val="SingleTxtG"/>
        <w:tabs>
          <w:tab w:val="left" w:pos="709"/>
        </w:tabs>
      </w:pPr>
      <w:r w:rsidRPr="006471F5">
        <w:t>State involvement in the regulation of professions is legitimate and often necessary to ensure:</w:t>
      </w:r>
    </w:p>
    <w:p w14:paraId="4C7CD296" w14:textId="77777777" w:rsidR="006471F5" w:rsidRPr="006471F5" w:rsidRDefault="006471F5">
      <w:pPr>
        <w:pStyle w:val="SingleTxtG"/>
        <w:numPr>
          <w:ilvl w:val="0"/>
          <w:numId w:val="25"/>
        </w:numPr>
        <w:tabs>
          <w:tab w:val="left" w:pos="709"/>
        </w:tabs>
      </w:pPr>
      <w:r w:rsidRPr="006471F5">
        <w:t xml:space="preserve">standards of competence; </w:t>
      </w:r>
    </w:p>
    <w:p w14:paraId="6BA7B003" w14:textId="77777777" w:rsidR="006471F5" w:rsidRPr="006471F5" w:rsidRDefault="006471F5">
      <w:pPr>
        <w:pStyle w:val="SingleTxtG"/>
        <w:numPr>
          <w:ilvl w:val="0"/>
          <w:numId w:val="25"/>
        </w:numPr>
        <w:tabs>
          <w:tab w:val="left" w:pos="709"/>
        </w:tabs>
      </w:pPr>
      <w:r w:rsidRPr="006471F5">
        <w:t xml:space="preserve">ethical conduct; and </w:t>
      </w:r>
    </w:p>
    <w:p w14:paraId="1B185608" w14:textId="77777777" w:rsidR="006471F5" w:rsidRDefault="006471F5">
      <w:pPr>
        <w:pStyle w:val="SingleTxtG"/>
        <w:numPr>
          <w:ilvl w:val="0"/>
          <w:numId w:val="25"/>
        </w:numPr>
        <w:tabs>
          <w:tab w:val="left" w:pos="709"/>
        </w:tabs>
      </w:pPr>
      <w:r w:rsidRPr="006471F5">
        <w:t xml:space="preserve">public confidence in the administration of justice. </w:t>
      </w:r>
    </w:p>
    <w:p w14:paraId="0BC65F9D" w14:textId="77777777" w:rsidR="000A1695" w:rsidRPr="006471F5" w:rsidRDefault="000A1695" w:rsidP="000A1695">
      <w:pPr>
        <w:pStyle w:val="SingleTxtG"/>
        <w:tabs>
          <w:tab w:val="left" w:pos="709"/>
        </w:tabs>
      </w:pPr>
    </w:p>
    <w:p w14:paraId="0FA93CF6" w14:textId="77777777" w:rsidR="006471F5" w:rsidRPr="006471F5" w:rsidRDefault="006471F5" w:rsidP="0008072D">
      <w:pPr>
        <w:pStyle w:val="SingleTxtG"/>
        <w:tabs>
          <w:tab w:val="left" w:pos="709"/>
        </w:tabs>
      </w:pPr>
      <w:r w:rsidRPr="006471F5">
        <w:t xml:space="preserve">However, where professional regulation is </w:t>
      </w:r>
      <w:r w:rsidRPr="006471F5">
        <w:rPr>
          <w:b/>
          <w:bCs/>
        </w:rPr>
        <w:t>centralised and integrated with broader policy frameworks</w:t>
      </w:r>
      <w:r w:rsidRPr="006471F5">
        <w:t xml:space="preserve">, it becomes important to ensure that such involvement does not extend to </w:t>
      </w:r>
      <w:r w:rsidRPr="006471F5">
        <w:rPr>
          <w:b/>
          <w:bCs/>
        </w:rPr>
        <w:t>undue influence over associational life</w:t>
      </w:r>
      <w:r w:rsidRPr="006471F5">
        <w:t>.</w:t>
      </w:r>
    </w:p>
    <w:p w14:paraId="6A946ADA" w14:textId="53566081" w:rsidR="006471F5" w:rsidRPr="006471F5" w:rsidRDefault="006471F5" w:rsidP="0008072D">
      <w:pPr>
        <w:pStyle w:val="SingleTxtG"/>
        <w:tabs>
          <w:tab w:val="left" w:pos="709"/>
        </w:tabs>
      </w:pPr>
      <w:r w:rsidRPr="006471F5">
        <w:t xml:space="preserve">International standards provide that lawyers must be able to perform their professional functions </w:t>
      </w:r>
      <w:r w:rsidRPr="006471F5">
        <w:rPr>
          <w:b/>
          <w:bCs/>
        </w:rPr>
        <w:t>without intimidation, hindrance, harassment, or improper interference</w:t>
      </w:r>
      <w:r w:rsidRPr="006471F5">
        <w:t>, including from public authorities.</w:t>
      </w:r>
      <w:r w:rsidR="000A1695">
        <w:rPr>
          <w:rStyle w:val="FootnoteReference"/>
        </w:rPr>
        <w:footnoteReference w:id="19"/>
      </w:r>
      <w:r w:rsidRPr="006471F5">
        <w:t xml:space="preserve"> This principle applies not only to individual practitioners, but also to the associations through which they organise and represent their interests.</w:t>
      </w:r>
    </w:p>
    <w:p w14:paraId="5AD423F5" w14:textId="77777777" w:rsidR="006471F5" w:rsidRPr="006471F5" w:rsidRDefault="006471F5" w:rsidP="0008072D">
      <w:pPr>
        <w:pStyle w:val="SingleTxtG"/>
        <w:tabs>
          <w:tab w:val="left" w:pos="709"/>
        </w:tabs>
      </w:pPr>
      <w:r w:rsidRPr="006471F5">
        <w:t>In this context, safeguards are necessary to ensure that regulatory or governmental influence does not:</w:t>
      </w:r>
    </w:p>
    <w:p w14:paraId="17744406" w14:textId="77777777" w:rsidR="006471F5" w:rsidRPr="006471F5" w:rsidRDefault="006471F5">
      <w:pPr>
        <w:pStyle w:val="SingleTxtG"/>
        <w:numPr>
          <w:ilvl w:val="0"/>
          <w:numId w:val="26"/>
        </w:numPr>
        <w:tabs>
          <w:tab w:val="left" w:pos="709"/>
        </w:tabs>
      </w:pPr>
      <w:r w:rsidRPr="006471F5">
        <w:t xml:space="preserve">limit the independence of associations; </w:t>
      </w:r>
    </w:p>
    <w:p w14:paraId="626261BC" w14:textId="77777777" w:rsidR="006471F5" w:rsidRPr="006471F5" w:rsidRDefault="006471F5">
      <w:pPr>
        <w:pStyle w:val="SingleTxtG"/>
        <w:numPr>
          <w:ilvl w:val="0"/>
          <w:numId w:val="26"/>
        </w:numPr>
        <w:tabs>
          <w:tab w:val="left" w:pos="709"/>
        </w:tabs>
      </w:pPr>
      <w:r w:rsidRPr="006471F5">
        <w:t xml:space="preserve">affect their ability to represent diverse viewpoints; or </w:t>
      </w:r>
    </w:p>
    <w:p w14:paraId="4FEC1EB7" w14:textId="79E7C31D" w:rsidR="006471F5" w:rsidRDefault="006471F5">
      <w:pPr>
        <w:numPr>
          <w:ilvl w:val="0"/>
          <w:numId w:val="26"/>
        </w:numPr>
        <w:tabs>
          <w:tab w:val="left" w:pos="709"/>
        </w:tabs>
        <w:suppressAutoHyphens w:val="0"/>
        <w:spacing w:before="100" w:beforeAutospacing="1" w:after="100" w:afterAutospacing="1" w:line="240" w:lineRule="auto"/>
        <w:rPr>
          <w:lang w:eastAsia="en-GB"/>
        </w:rPr>
      </w:pPr>
      <w:r w:rsidRPr="000A1695">
        <w:rPr>
          <w:lang w:eastAsia="en-GB"/>
        </w:rPr>
        <w:t xml:space="preserve">constrain their participation in professional and public discourse. </w:t>
      </w:r>
    </w:p>
    <w:p w14:paraId="4DAF1569" w14:textId="77777777" w:rsidR="000A1695" w:rsidRDefault="000A1695" w:rsidP="000A1695">
      <w:pPr>
        <w:tabs>
          <w:tab w:val="left" w:pos="709"/>
        </w:tabs>
        <w:suppressAutoHyphens w:val="0"/>
        <w:spacing w:after="120" w:line="240" w:lineRule="auto"/>
        <w:ind w:right="1134"/>
        <w:rPr>
          <w:b/>
          <w:bCs/>
          <w:lang w:eastAsia="en-GB"/>
        </w:rPr>
      </w:pPr>
    </w:p>
    <w:p w14:paraId="2725FB09" w14:textId="50D532B6" w:rsidR="006471F5" w:rsidRPr="000A1695" w:rsidRDefault="000A1695" w:rsidP="000A1695">
      <w:pPr>
        <w:tabs>
          <w:tab w:val="left" w:pos="709"/>
        </w:tabs>
        <w:suppressAutoHyphens w:val="0"/>
        <w:spacing w:after="120" w:line="240" w:lineRule="auto"/>
        <w:ind w:right="1134"/>
        <w:rPr>
          <w:b/>
          <w:bCs/>
          <w:lang w:eastAsia="en-GB"/>
        </w:rPr>
      </w:pPr>
      <w:r>
        <w:rPr>
          <w:b/>
          <w:bCs/>
          <w:lang w:eastAsia="en-GB"/>
        </w:rPr>
        <w:tab/>
      </w:r>
      <w:r w:rsidR="006471F5" w:rsidRPr="000A1695">
        <w:rPr>
          <w:b/>
          <w:bCs/>
          <w:lang w:eastAsia="en-GB"/>
        </w:rPr>
        <w:t>3.8 Paragraphs 30 &amp; 34 — Indirect and Cumulative Restrictions</w:t>
      </w:r>
    </w:p>
    <w:p w14:paraId="771C4DBA" w14:textId="1C2897D8" w:rsidR="006471F5" w:rsidRPr="000A1695" w:rsidRDefault="006471F5" w:rsidP="000A1695">
      <w:pPr>
        <w:tabs>
          <w:tab w:val="left" w:pos="709"/>
        </w:tabs>
        <w:suppressAutoHyphens w:val="0"/>
        <w:spacing w:after="120" w:line="240" w:lineRule="auto"/>
        <w:ind w:left="1134" w:right="1134"/>
        <w:rPr>
          <w:lang w:eastAsia="en-GB"/>
        </w:rPr>
      </w:pPr>
      <w:r w:rsidRPr="000A1695">
        <w:rPr>
          <w:lang w:eastAsia="en-GB"/>
        </w:rPr>
        <w:t xml:space="preserve">Paragraphs 30 and 34 recognise that restrictions on freedom of association may arise through </w:t>
      </w:r>
      <w:r w:rsidRPr="000A1695">
        <w:rPr>
          <w:b/>
          <w:bCs/>
          <w:lang w:eastAsia="en-GB"/>
        </w:rPr>
        <w:t>indirect measures</w:t>
      </w:r>
      <w:r w:rsidRPr="000A1695">
        <w:rPr>
          <w:lang w:eastAsia="en-GB"/>
        </w:rPr>
        <w:t xml:space="preserve"> and through the </w:t>
      </w:r>
      <w:r w:rsidRPr="000A1695">
        <w:rPr>
          <w:b/>
          <w:bCs/>
          <w:lang w:eastAsia="en-GB"/>
        </w:rPr>
        <w:t>cumulative effect of multiple factors</w:t>
      </w:r>
      <w:r w:rsidRPr="000A1695">
        <w:rPr>
          <w:lang w:eastAsia="en-GB"/>
        </w:rPr>
        <w:t>.</w:t>
      </w:r>
      <w:r w:rsidR="000127D1">
        <w:rPr>
          <w:rStyle w:val="FootnoteReference"/>
          <w:lang w:eastAsia="en-GB"/>
        </w:rPr>
        <w:footnoteReference w:id="20"/>
      </w:r>
    </w:p>
    <w:p w14:paraId="13DEC106" w14:textId="77777777" w:rsidR="006471F5" w:rsidRPr="000A1695" w:rsidRDefault="006471F5" w:rsidP="000A1695">
      <w:pPr>
        <w:tabs>
          <w:tab w:val="left" w:pos="709"/>
        </w:tabs>
        <w:suppressAutoHyphens w:val="0"/>
        <w:spacing w:after="120" w:line="240" w:lineRule="auto"/>
        <w:ind w:left="1134" w:right="1134"/>
        <w:rPr>
          <w:lang w:eastAsia="en-GB"/>
        </w:rPr>
      </w:pPr>
      <w:r w:rsidRPr="000A1695">
        <w:rPr>
          <w:lang w:eastAsia="en-GB"/>
        </w:rPr>
        <w:t xml:space="preserve">This approach is particularly important in regulated professional environments, where no single measure may appear restrictive in isolation, but where the interaction between different systems may affect the </w:t>
      </w:r>
      <w:r w:rsidRPr="000A1695">
        <w:rPr>
          <w:b/>
          <w:bCs/>
          <w:lang w:eastAsia="en-GB"/>
        </w:rPr>
        <w:t>practical exercise of associational rights</w:t>
      </w:r>
      <w:r w:rsidRPr="000A1695">
        <w:rPr>
          <w:lang w:eastAsia="en-GB"/>
        </w:rPr>
        <w:t>.</w:t>
      </w:r>
    </w:p>
    <w:p w14:paraId="639FBEBF" w14:textId="77777777" w:rsidR="006471F5" w:rsidRDefault="006471F5" w:rsidP="000A1695">
      <w:pPr>
        <w:tabs>
          <w:tab w:val="left" w:pos="709"/>
        </w:tabs>
        <w:suppressAutoHyphens w:val="0"/>
        <w:spacing w:after="120" w:line="240" w:lineRule="auto"/>
        <w:ind w:left="1134" w:right="1134"/>
        <w:rPr>
          <w:lang w:eastAsia="en-GB"/>
        </w:rPr>
      </w:pPr>
      <w:r w:rsidRPr="000A1695">
        <w:rPr>
          <w:lang w:eastAsia="en-GB"/>
        </w:rPr>
        <w:t>In the legal profession, relevant factors may include:</w:t>
      </w:r>
    </w:p>
    <w:p w14:paraId="02658EBD" w14:textId="77777777" w:rsidR="006471F5" w:rsidRPr="000A1695" w:rsidRDefault="006471F5">
      <w:pPr>
        <w:pStyle w:val="ListParagraph"/>
        <w:numPr>
          <w:ilvl w:val="0"/>
          <w:numId w:val="27"/>
        </w:numPr>
        <w:tabs>
          <w:tab w:val="left" w:pos="709"/>
        </w:tabs>
        <w:suppressAutoHyphens w:val="0"/>
        <w:spacing w:after="120" w:line="240" w:lineRule="auto"/>
        <w:ind w:right="1134"/>
        <w:rPr>
          <w:lang w:eastAsia="en-GB"/>
        </w:rPr>
      </w:pPr>
      <w:r w:rsidRPr="000A1695">
        <w:rPr>
          <w:lang w:eastAsia="en-GB"/>
        </w:rPr>
        <w:t xml:space="preserve">education and training structures; </w:t>
      </w:r>
    </w:p>
    <w:p w14:paraId="0D21AAFA" w14:textId="77777777" w:rsidR="006471F5" w:rsidRPr="000A1695" w:rsidRDefault="006471F5">
      <w:pPr>
        <w:pStyle w:val="ListParagraph"/>
        <w:numPr>
          <w:ilvl w:val="0"/>
          <w:numId w:val="27"/>
        </w:numPr>
        <w:tabs>
          <w:tab w:val="left" w:pos="709"/>
        </w:tabs>
        <w:suppressAutoHyphens w:val="0"/>
        <w:spacing w:after="120" w:line="240" w:lineRule="auto"/>
        <w:ind w:right="1134"/>
        <w:rPr>
          <w:lang w:eastAsia="en-GB"/>
        </w:rPr>
      </w:pPr>
      <w:r w:rsidRPr="000A1695">
        <w:rPr>
          <w:lang w:eastAsia="en-GB"/>
        </w:rPr>
        <w:t xml:space="preserve">professional qualification requirements; </w:t>
      </w:r>
    </w:p>
    <w:p w14:paraId="5FA8E2C8" w14:textId="77777777" w:rsidR="006471F5" w:rsidRPr="000A1695" w:rsidRDefault="006471F5">
      <w:pPr>
        <w:pStyle w:val="ListParagraph"/>
        <w:numPr>
          <w:ilvl w:val="0"/>
          <w:numId w:val="27"/>
        </w:numPr>
        <w:tabs>
          <w:tab w:val="left" w:pos="709"/>
        </w:tabs>
        <w:suppressAutoHyphens w:val="0"/>
        <w:spacing w:after="120" w:line="240" w:lineRule="auto"/>
        <w:ind w:right="1134"/>
        <w:rPr>
          <w:lang w:eastAsia="en-GB"/>
        </w:rPr>
      </w:pPr>
      <w:r w:rsidRPr="000A1695">
        <w:rPr>
          <w:lang w:eastAsia="en-GB"/>
        </w:rPr>
        <w:t xml:space="preserve">regulatory frameworks governing admission and practice; </w:t>
      </w:r>
    </w:p>
    <w:p w14:paraId="6D10F8B2" w14:textId="77777777" w:rsidR="006471F5" w:rsidRPr="000A1695" w:rsidRDefault="006471F5">
      <w:pPr>
        <w:pStyle w:val="ListParagraph"/>
        <w:numPr>
          <w:ilvl w:val="0"/>
          <w:numId w:val="27"/>
        </w:numPr>
        <w:tabs>
          <w:tab w:val="left" w:pos="709"/>
        </w:tabs>
        <w:suppressAutoHyphens w:val="0"/>
        <w:spacing w:after="120" w:line="240" w:lineRule="auto"/>
        <w:ind w:right="1134"/>
        <w:rPr>
          <w:lang w:eastAsia="en-GB"/>
        </w:rPr>
      </w:pPr>
      <w:r w:rsidRPr="000A1695">
        <w:rPr>
          <w:lang w:eastAsia="en-GB"/>
        </w:rPr>
        <w:t xml:space="preserve">language policies; and </w:t>
      </w:r>
    </w:p>
    <w:p w14:paraId="3F21C4B8" w14:textId="3283589B" w:rsidR="006471F5" w:rsidRDefault="006471F5">
      <w:pPr>
        <w:pStyle w:val="ListParagraph"/>
        <w:numPr>
          <w:ilvl w:val="0"/>
          <w:numId w:val="27"/>
        </w:numPr>
        <w:tabs>
          <w:tab w:val="left" w:pos="709"/>
        </w:tabs>
        <w:suppressAutoHyphens w:val="0"/>
        <w:spacing w:after="120" w:line="240" w:lineRule="auto"/>
        <w:ind w:right="1134"/>
        <w:jc w:val="both"/>
        <w:rPr>
          <w:lang w:eastAsia="en-GB"/>
        </w:rPr>
      </w:pPr>
      <w:r w:rsidRPr="000A1695">
        <w:rPr>
          <w:lang w:eastAsia="en-GB"/>
        </w:rPr>
        <w:t xml:space="preserve">institutional mechanisms for participation and representation. </w:t>
      </w:r>
      <w:r w:rsidR="000A1695">
        <w:rPr>
          <w:lang w:eastAsia="en-GB"/>
        </w:rPr>
        <w:tab/>
      </w:r>
    </w:p>
    <w:p w14:paraId="53D5F31C" w14:textId="77777777" w:rsidR="000127D1" w:rsidRPr="000A1695" w:rsidRDefault="000127D1" w:rsidP="000127D1">
      <w:pPr>
        <w:tabs>
          <w:tab w:val="left" w:pos="709"/>
        </w:tabs>
        <w:suppressAutoHyphens w:val="0"/>
        <w:spacing w:after="120" w:line="240" w:lineRule="auto"/>
        <w:ind w:right="1134"/>
        <w:jc w:val="both"/>
        <w:rPr>
          <w:lang w:eastAsia="en-GB"/>
        </w:rPr>
      </w:pPr>
    </w:p>
    <w:p w14:paraId="0D848AA8"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Individually, these elements may serve legitimate objectives. However, when combined, they may influence:</w:t>
      </w:r>
    </w:p>
    <w:p w14:paraId="30C81145" w14:textId="77777777" w:rsidR="006471F5" w:rsidRPr="000A1695" w:rsidRDefault="006471F5">
      <w:pPr>
        <w:pStyle w:val="ListParagraph"/>
        <w:numPr>
          <w:ilvl w:val="0"/>
          <w:numId w:val="28"/>
        </w:numPr>
        <w:tabs>
          <w:tab w:val="left" w:pos="709"/>
        </w:tabs>
        <w:suppressAutoHyphens w:val="0"/>
        <w:spacing w:after="120" w:line="240" w:lineRule="auto"/>
        <w:ind w:right="1134"/>
        <w:rPr>
          <w:lang w:eastAsia="en-GB"/>
        </w:rPr>
      </w:pPr>
      <w:r w:rsidRPr="000A1695">
        <w:rPr>
          <w:lang w:eastAsia="en-GB"/>
        </w:rPr>
        <w:t xml:space="preserve">access to the profession; </w:t>
      </w:r>
    </w:p>
    <w:p w14:paraId="064B4D6D" w14:textId="77777777" w:rsidR="006471F5" w:rsidRPr="000A1695" w:rsidRDefault="006471F5">
      <w:pPr>
        <w:pStyle w:val="ListParagraph"/>
        <w:numPr>
          <w:ilvl w:val="0"/>
          <w:numId w:val="28"/>
        </w:numPr>
        <w:tabs>
          <w:tab w:val="left" w:pos="709"/>
        </w:tabs>
        <w:suppressAutoHyphens w:val="0"/>
        <w:spacing w:after="120" w:line="240" w:lineRule="auto"/>
        <w:ind w:right="1134"/>
        <w:rPr>
          <w:lang w:eastAsia="en-GB"/>
        </w:rPr>
      </w:pPr>
      <w:r w:rsidRPr="000A1695">
        <w:rPr>
          <w:lang w:eastAsia="en-GB"/>
        </w:rPr>
        <w:t xml:space="preserve">the composition of the professional community; and </w:t>
      </w:r>
    </w:p>
    <w:p w14:paraId="11E5FB68" w14:textId="77777777" w:rsidR="006471F5" w:rsidRDefault="006471F5">
      <w:pPr>
        <w:pStyle w:val="ListParagraph"/>
        <w:numPr>
          <w:ilvl w:val="0"/>
          <w:numId w:val="28"/>
        </w:numPr>
        <w:tabs>
          <w:tab w:val="left" w:pos="709"/>
        </w:tabs>
        <w:suppressAutoHyphens w:val="0"/>
        <w:spacing w:after="120" w:line="240" w:lineRule="auto"/>
        <w:ind w:right="1134"/>
        <w:rPr>
          <w:lang w:eastAsia="en-GB"/>
        </w:rPr>
      </w:pPr>
      <w:r w:rsidRPr="000A1695">
        <w:rPr>
          <w:lang w:eastAsia="en-GB"/>
        </w:rPr>
        <w:t xml:space="preserve">the ability of individuals to form, join, and participate in associations. </w:t>
      </w:r>
    </w:p>
    <w:p w14:paraId="6B5EDD40" w14:textId="77777777" w:rsidR="000127D1" w:rsidRPr="000A1695" w:rsidRDefault="000127D1" w:rsidP="000127D1">
      <w:pPr>
        <w:tabs>
          <w:tab w:val="left" w:pos="709"/>
        </w:tabs>
        <w:suppressAutoHyphens w:val="0"/>
        <w:spacing w:after="120" w:line="240" w:lineRule="auto"/>
        <w:ind w:right="1134"/>
        <w:rPr>
          <w:lang w:eastAsia="en-GB"/>
        </w:rPr>
      </w:pPr>
    </w:p>
    <w:p w14:paraId="3EEA9016" w14:textId="77777777" w:rsidR="006471F5" w:rsidRDefault="006471F5" w:rsidP="000127D1">
      <w:pPr>
        <w:tabs>
          <w:tab w:val="left" w:pos="709"/>
        </w:tabs>
        <w:suppressAutoHyphens w:val="0"/>
        <w:spacing w:after="120" w:line="240" w:lineRule="auto"/>
        <w:ind w:left="1134" w:right="1134"/>
        <w:rPr>
          <w:lang w:eastAsia="en-GB"/>
        </w:rPr>
      </w:pPr>
      <w:r w:rsidRPr="000A1695">
        <w:rPr>
          <w:lang w:eastAsia="en-GB"/>
        </w:rPr>
        <w:t xml:space="preserve">An assessment limited to individual measures may therefore overlook the broader structural context. A cumulative analysis is necessary to determine whether the overall framework supports or constrains the </w:t>
      </w:r>
      <w:r w:rsidRPr="000A1695">
        <w:rPr>
          <w:b/>
          <w:bCs/>
          <w:lang w:eastAsia="en-GB"/>
        </w:rPr>
        <w:t>effective realisation of Article 22 rights</w:t>
      </w:r>
      <w:r w:rsidRPr="000A1695">
        <w:rPr>
          <w:lang w:eastAsia="en-GB"/>
        </w:rPr>
        <w:t>.</w:t>
      </w:r>
    </w:p>
    <w:p w14:paraId="47BFC9A0" w14:textId="77777777" w:rsidR="000127D1" w:rsidRDefault="000127D1" w:rsidP="000127D1">
      <w:pPr>
        <w:tabs>
          <w:tab w:val="left" w:pos="709"/>
        </w:tabs>
        <w:suppressAutoHyphens w:val="0"/>
        <w:spacing w:after="120" w:line="240" w:lineRule="auto"/>
        <w:ind w:right="1134"/>
        <w:rPr>
          <w:lang w:eastAsia="en-GB"/>
        </w:rPr>
      </w:pPr>
    </w:p>
    <w:p w14:paraId="556B3BED" w14:textId="23A6D0B9" w:rsidR="006471F5" w:rsidRPr="000A1695" w:rsidRDefault="000127D1" w:rsidP="000127D1">
      <w:pPr>
        <w:tabs>
          <w:tab w:val="left" w:pos="709"/>
        </w:tabs>
        <w:suppressAutoHyphens w:val="0"/>
        <w:spacing w:after="120" w:line="240" w:lineRule="auto"/>
        <w:ind w:right="1134"/>
        <w:rPr>
          <w:b/>
          <w:bCs/>
          <w:lang w:eastAsia="en-GB"/>
        </w:rPr>
      </w:pPr>
      <w:r>
        <w:rPr>
          <w:lang w:eastAsia="en-GB"/>
        </w:rPr>
        <w:tab/>
      </w:r>
      <w:r w:rsidR="006471F5" w:rsidRPr="000A1695">
        <w:rPr>
          <w:b/>
          <w:bCs/>
          <w:lang w:eastAsia="en-GB"/>
        </w:rPr>
        <w:t>3.9 Paragraph 33 — Language and Associational Activity</w:t>
      </w:r>
    </w:p>
    <w:p w14:paraId="0DE6C55F" w14:textId="3E9D21DB"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Paragraph 33 recognises that language may play a significant role in the exercise of freedom of association.</w:t>
      </w:r>
      <w:r w:rsidR="000127D1">
        <w:rPr>
          <w:rStyle w:val="FootnoteReference"/>
          <w:lang w:eastAsia="en-GB"/>
        </w:rPr>
        <w:footnoteReference w:id="21"/>
      </w:r>
    </w:p>
    <w:p w14:paraId="692E91EB"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In the legal profession, language functions not only as a medium of communication, but as a </w:t>
      </w:r>
      <w:r w:rsidRPr="000A1695">
        <w:rPr>
          <w:b/>
          <w:bCs/>
          <w:lang w:eastAsia="en-GB"/>
        </w:rPr>
        <w:t>structural condition of participation</w:t>
      </w:r>
      <w:r w:rsidRPr="000A1695">
        <w:rPr>
          <w:lang w:eastAsia="en-GB"/>
        </w:rPr>
        <w:t>, affecting:</w:t>
      </w:r>
    </w:p>
    <w:p w14:paraId="3AA0DE5B" w14:textId="77777777" w:rsidR="006471F5" w:rsidRPr="000A1695" w:rsidRDefault="006471F5">
      <w:pPr>
        <w:pStyle w:val="ListParagraph"/>
        <w:numPr>
          <w:ilvl w:val="0"/>
          <w:numId w:val="29"/>
        </w:numPr>
        <w:tabs>
          <w:tab w:val="left" w:pos="709"/>
        </w:tabs>
        <w:suppressAutoHyphens w:val="0"/>
        <w:spacing w:after="120" w:line="240" w:lineRule="auto"/>
        <w:ind w:right="1134"/>
        <w:rPr>
          <w:lang w:eastAsia="en-GB"/>
        </w:rPr>
      </w:pPr>
      <w:r w:rsidRPr="000A1695">
        <w:rPr>
          <w:lang w:eastAsia="en-GB"/>
        </w:rPr>
        <w:t xml:space="preserve">access to legal education; </w:t>
      </w:r>
    </w:p>
    <w:p w14:paraId="487F17CF" w14:textId="77777777" w:rsidR="006471F5" w:rsidRPr="000A1695" w:rsidRDefault="006471F5">
      <w:pPr>
        <w:pStyle w:val="ListParagraph"/>
        <w:numPr>
          <w:ilvl w:val="0"/>
          <w:numId w:val="29"/>
        </w:numPr>
        <w:tabs>
          <w:tab w:val="left" w:pos="709"/>
        </w:tabs>
        <w:suppressAutoHyphens w:val="0"/>
        <w:spacing w:after="120" w:line="240" w:lineRule="auto"/>
        <w:ind w:right="1134"/>
        <w:rPr>
          <w:lang w:eastAsia="en-GB"/>
        </w:rPr>
      </w:pPr>
      <w:r w:rsidRPr="000A1695">
        <w:rPr>
          <w:lang w:eastAsia="en-GB"/>
        </w:rPr>
        <w:t xml:space="preserve">professional examinations and qualification processes; </w:t>
      </w:r>
    </w:p>
    <w:p w14:paraId="4EC1365E" w14:textId="77777777" w:rsidR="006471F5" w:rsidRPr="000A1695" w:rsidRDefault="006471F5">
      <w:pPr>
        <w:pStyle w:val="ListParagraph"/>
        <w:numPr>
          <w:ilvl w:val="0"/>
          <w:numId w:val="29"/>
        </w:numPr>
        <w:tabs>
          <w:tab w:val="left" w:pos="709"/>
        </w:tabs>
        <w:suppressAutoHyphens w:val="0"/>
        <w:spacing w:after="120" w:line="240" w:lineRule="auto"/>
        <w:ind w:right="1134"/>
        <w:rPr>
          <w:lang w:eastAsia="en-GB"/>
        </w:rPr>
      </w:pPr>
      <w:r w:rsidRPr="000A1695">
        <w:rPr>
          <w:lang w:eastAsia="en-GB"/>
        </w:rPr>
        <w:t xml:space="preserve">participation in legal proceedings; and </w:t>
      </w:r>
    </w:p>
    <w:p w14:paraId="654F89A4" w14:textId="77777777" w:rsidR="006471F5" w:rsidRDefault="006471F5">
      <w:pPr>
        <w:pStyle w:val="ListParagraph"/>
        <w:numPr>
          <w:ilvl w:val="0"/>
          <w:numId w:val="29"/>
        </w:numPr>
        <w:tabs>
          <w:tab w:val="left" w:pos="709"/>
        </w:tabs>
        <w:suppressAutoHyphens w:val="0"/>
        <w:spacing w:after="120" w:line="240" w:lineRule="auto"/>
        <w:ind w:right="1134"/>
        <w:rPr>
          <w:lang w:eastAsia="en-GB"/>
        </w:rPr>
      </w:pPr>
      <w:r w:rsidRPr="000A1695">
        <w:rPr>
          <w:lang w:eastAsia="en-GB"/>
        </w:rPr>
        <w:t xml:space="preserve">engagement within professional networks and associations. </w:t>
      </w:r>
    </w:p>
    <w:p w14:paraId="5802AB4F" w14:textId="77777777" w:rsidR="000127D1" w:rsidRPr="000A1695" w:rsidRDefault="000127D1" w:rsidP="000127D1">
      <w:pPr>
        <w:tabs>
          <w:tab w:val="left" w:pos="709"/>
        </w:tabs>
        <w:suppressAutoHyphens w:val="0"/>
        <w:spacing w:after="120" w:line="240" w:lineRule="auto"/>
        <w:ind w:right="1134"/>
        <w:rPr>
          <w:lang w:eastAsia="en-GB"/>
        </w:rPr>
      </w:pPr>
    </w:p>
    <w:p w14:paraId="37603C15"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Changes in language policy across these domains may therefore have implications for:</w:t>
      </w:r>
    </w:p>
    <w:p w14:paraId="01EDD3DD" w14:textId="77777777" w:rsidR="006471F5" w:rsidRPr="000A1695" w:rsidRDefault="006471F5">
      <w:pPr>
        <w:pStyle w:val="ListParagraph"/>
        <w:numPr>
          <w:ilvl w:val="0"/>
          <w:numId w:val="30"/>
        </w:numPr>
        <w:tabs>
          <w:tab w:val="left" w:pos="709"/>
        </w:tabs>
        <w:suppressAutoHyphens w:val="0"/>
        <w:spacing w:after="120" w:line="240" w:lineRule="auto"/>
        <w:ind w:right="1134"/>
        <w:rPr>
          <w:lang w:eastAsia="en-GB"/>
        </w:rPr>
      </w:pPr>
      <w:r w:rsidRPr="000A1695">
        <w:rPr>
          <w:lang w:eastAsia="en-GB"/>
        </w:rPr>
        <w:t xml:space="preserve">who is able to enter and progress within the profession; and </w:t>
      </w:r>
    </w:p>
    <w:p w14:paraId="1BE57DC9" w14:textId="77777777" w:rsidR="006471F5" w:rsidRPr="000A1695" w:rsidRDefault="006471F5">
      <w:pPr>
        <w:pStyle w:val="ListParagraph"/>
        <w:numPr>
          <w:ilvl w:val="0"/>
          <w:numId w:val="30"/>
        </w:numPr>
        <w:tabs>
          <w:tab w:val="left" w:pos="709"/>
        </w:tabs>
        <w:suppressAutoHyphens w:val="0"/>
        <w:spacing w:after="120" w:line="240" w:lineRule="auto"/>
        <w:ind w:right="1134"/>
        <w:rPr>
          <w:lang w:eastAsia="en-GB"/>
        </w:rPr>
      </w:pPr>
      <w:r w:rsidRPr="000A1695">
        <w:rPr>
          <w:lang w:eastAsia="en-GB"/>
        </w:rPr>
        <w:t xml:space="preserve">the ability of individuals to participate effectively in associational life. </w:t>
      </w:r>
    </w:p>
    <w:p w14:paraId="4E1739D9"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Where a particular language becomes dominant across multiple stages of professional participation, individuals who are not fully proficient in that language may encounter </w:t>
      </w:r>
      <w:r w:rsidRPr="000A1695">
        <w:rPr>
          <w:b/>
          <w:bCs/>
          <w:lang w:eastAsia="en-GB"/>
        </w:rPr>
        <w:t>practical barriers</w:t>
      </w:r>
      <w:r w:rsidRPr="000A1695">
        <w:rPr>
          <w:lang w:eastAsia="en-GB"/>
        </w:rPr>
        <w:t>, even in the absence of formal exclusion.</w:t>
      </w:r>
    </w:p>
    <w:p w14:paraId="6C1322A8"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Language should therefore be understood as a factor that may influence the </w:t>
      </w:r>
      <w:r w:rsidRPr="000A1695">
        <w:rPr>
          <w:b/>
          <w:bCs/>
          <w:lang w:eastAsia="en-GB"/>
        </w:rPr>
        <w:t>accessibility, inclusivity, and diversity</w:t>
      </w:r>
      <w:r w:rsidRPr="000A1695">
        <w:rPr>
          <w:lang w:eastAsia="en-GB"/>
        </w:rPr>
        <w:t xml:space="preserve"> of associational activity.</w:t>
      </w:r>
    </w:p>
    <w:p w14:paraId="3525654B" w14:textId="4FD6FF09" w:rsidR="006471F5" w:rsidRPr="000A1695" w:rsidRDefault="006471F5" w:rsidP="000127D1">
      <w:pPr>
        <w:tabs>
          <w:tab w:val="left" w:pos="709"/>
        </w:tabs>
        <w:suppressAutoHyphens w:val="0"/>
        <w:spacing w:after="120" w:line="240" w:lineRule="auto"/>
        <w:ind w:left="1134" w:right="1134"/>
        <w:rPr>
          <w:lang w:eastAsia="en-GB"/>
        </w:rPr>
      </w:pPr>
    </w:p>
    <w:p w14:paraId="76ABB533" w14:textId="044D0C5D" w:rsidR="006471F5" w:rsidRPr="000A1695" w:rsidRDefault="000127D1" w:rsidP="000127D1">
      <w:pPr>
        <w:tabs>
          <w:tab w:val="left" w:pos="709"/>
        </w:tabs>
        <w:suppressAutoHyphens w:val="0"/>
        <w:spacing w:after="120" w:line="240" w:lineRule="auto"/>
        <w:ind w:right="1134"/>
        <w:rPr>
          <w:b/>
          <w:bCs/>
          <w:lang w:eastAsia="en-GB"/>
        </w:rPr>
      </w:pPr>
      <w:r>
        <w:rPr>
          <w:b/>
          <w:bCs/>
          <w:lang w:eastAsia="en-GB"/>
        </w:rPr>
        <w:tab/>
      </w:r>
      <w:r w:rsidR="006471F5" w:rsidRPr="000A1695">
        <w:rPr>
          <w:b/>
          <w:bCs/>
          <w:lang w:eastAsia="en-GB"/>
        </w:rPr>
        <w:t>3.10 Paragraph 38 — Special Measures</w:t>
      </w:r>
    </w:p>
    <w:p w14:paraId="34536641" w14:textId="7C90A276"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Paragraph 38 addresses the use of special measures aimed at achieving legitimate objectives, including the redress of historical disadvantage.</w:t>
      </w:r>
      <w:r w:rsidR="000127D1">
        <w:rPr>
          <w:rStyle w:val="FootnoteReference"/>
          <w:lang w:eastAsia="en-GB"/>
        </w:rPr>
        <w:footnoteReference w:id="22"/>
      </w:r>
    </w:p>
    <w:p w14:paraId="7E86A7D9"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Such measures may be consistent with Article 22 where they are:</w:t>
      </w:r>
    </w:p>
    <w:p w14:paraId="0EE220AD" w14:textId="77777777" w:rsidR="006471F5" w:rsidRPr="000A1695" w:rsidRDefault="006471F5">
      <w:pPr>
        <w:pStyle w:val="ListParagraph"/>
        <w:numPr>
          <w:ilvl w:val="0"/>
          <w:numId w:val="31"/>
        </w:numPr>
        <w:tabs>
          <w:tab w:val="left" w:pos="709"/>
        </w:tabs>
        <w:suppressAutoHyphens w:val="0"/>
        <w:spacing w:after="120" w:line="240" w:lineRule="auto"/>
        <w:ind w:right="1134"/>
        <w:rPr>
          <w:lang w:eastAsia="en-GB"/>
        </w:rPr>
      </w:pPr>
      <w:r w:rsidRPr="000A1695">
        <w:rPr>
          <w:lang w:eastAsia="en-GB"/>
        </w:rPr>
        <w:t xml:space="preserve">proportionate; </w:t>
      </w:r>
    </w:p>
    <w:p w14:paraId="140C559B" w14:textId="77777777" w:rsidR="006471F5" w:rsidRPr="000A1695" w:rsidRDefault="006471F5">
      <w:pPr>
        <w:pStyle w:val="ListParagraph"/>
        <w:numPr>
          <w:ilvl w:val="0"/>
          <w:numId w:val="31"/>
        </w:numPr>
        <w:tabs>
          <w:tab w:val="left" w:pos="709"/>
        </w:tabs>
        <w:suppressAutoHyphens w:val="0"/>
        <w:spacing w:after="120" w:line="240" w:lineRule="auto"/>
        <w:ind w:right="1134"/>
        <w:rPr>
          <w:lang w:eastAsia="en-GB"/>
        </w:rPr>
      </w:pPr>
      <w:r w:rsidRPr="000A1695">
        <w:rPr>
          <w:lang w:eastAsia="en-GB"/>
        </w:rPr>
        <w:t xml:space="preserve">time-bound; and </w:t>
      </w:r>
    </w:p>
    <w:p w14:paraId="383CDD19" w14:textId="77777777" w:rsidR="006471F5" w:rsidRDefault="006471F5">
      <w:pPr>
        <w:pStyle w:val="ListParagraph"/>
        <w:numPr>
          <w:ilvl w:val="0"/>
          <w:numId w:val="31"/>
        </w:numPr>
        <w:tabs>
          <w:tab w:val="left" w:pos="709"/>
        </w:tabs>
        <w:suppressAutoHyphens w:val="0"/>
        <w:spacing w:after="120" w:line="240" w:lineRule="auto"/>
        <w:ind w:right="1134"/>
        <w:rPr>
          <w:lang w:eastAsia="en-GB"/>
        </w:rPr>
      </w:pPr>
      <w:r w:rsidRPr="000A1695">
        <w:rPr>
          <w:lang w:eastAsia="en-GB"/>
        </w:rPr>
        <w:t xml:space="preserve">designed to promote equality and participation. </w:t>
      </w:r>
    </w:p>
    <w:p w14:paraId="00218A23" w14:textId="77777777" w:rsidR="000127D1" w:rsidRPr="000A1695" w:rsidRDefault="000127D1" w:rsidP="000127D1">
      <w:pPr>
        <w:tabs>
          <w:tab w:val="left" w:pos="709"/>
        </w:tabs>
        <w:suppressAutoHyphens w:val="0"/>
        <w:spacing w:after="120" w:line="240" w:lineRule="auto"/>
        <w:ind w:right="1134"/>
        <w:rPr>
          <w:lang w:eastAsia="en-GB"/>
        </w:rPr>
      </w:pPr>
    </w:p>
    <w:p w14:paraId="11FACDFE"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At the same time, it is important to ensure that such measures are implemented in a manner that:</w:t>
      </w:r>
    </w:p>
    <w:p w14:paraId="5DBD4ECE" w14:textId="77777777" w:rsidR="006471F5" w:rsidRPr="000A1695" w:rsidRDefault="006471F5">
      <w:pPr>
        <w:pStyle w:val="ListParagraph"/>
        <w:numPr>
          <w:ilvl w:val="0"/>
          <w:numId w:val="32"/>
        </w:numPr>
        <w:tabs>
          <w:tab w:val="left" w:pos="709"/>
        </w:tabs>
        <w:suppressAutoHyphens w:val="0"/>
        <w:spacing w:after="120" w:line="240" w:lineRule="auto"/>
        <w:ind w:right="1134"/>
        <w:rPr>
          <w:lang w:eastAsia="en-GB"/>
        </w:rPr>
      </w:pPr>
      <w:r w:rsidRPr="000A1695">
        <w:rPr>
          <w:lang w:eastAsia="en-GB"/>
        </w:rPr>
        <w:t xml:space="preserve">preserves associational pluralism; </w:t>
      </w:r>
    </w:p>
    <w:p w14:paraId="42852441" w14:textId="77777777" w:rsidR="006471F5" w:rsidRPr="000A1695" w:rsidRDefault="006471F5">
      <w:pPr>
        <w:pStyle w:val="ListParagraph"/>
        <w:numPr>
          <w:ilvl w:val="0"/>
          <w:numId w:val="32"/>
        </w:numPr>
        <w:tabs>
          <w:tab w:val="left" w:pos="709"/>
        </w:tabs>
        <w:suppressAutoHyphens w:val="0"/>
        <w:spacing w:after="120" w:line="240" w:lineRule="auto"/>
        <w:ind w:right="1134"/>
        <w:rPr>
          <w:lang w:eastAsia="en-GB"/>
        </w:rPr>
      </w:pPr>
      <w:r w:rsidRPr="000A1695">
        <w:rPr>
          <w:lang w:eastAsia="en-GB"/>
        </w:rPr>
        <w:t xml:space="preserve">does not unduly restrict participation by other groups; and </w:t>
      </w:r>
    </w:p>
    <w:p w14:paraId="08CCAF47" w14:textId="77777777" w:rsidR="006471F5" w:rsidRDefault="006471F5">
      <w:pPr>
        <w:pStyle w:val="ListParagraph"/>
        <w:numPr>
          <w:ilvl w:val="0"/>
          <w:numId w:val="32"/>
        </w:numPr>
        <w:tabs>
          <w:tab w:val="left" w:pos="709"/>
        </w:tabs>
        <w:suppressAutoHyphens w:val="0"/>
        <w:spacing w:after="120" w:line="240" w:lineRule="auto"/>
        <w:ind w:right="1134"/>
        <w:rPr>
          <w:lang w:eastAsia="en-GB"/>
        </w:rPr>
      </w:pPr>
      <w:r w:rsidRPr="000A1695">
        <w:rPr>
          <w:lang w:eastAsia="en-GB"/>
        </w:rPr>
        <w:t xml:space="preserve">is subject to periodic review. </w:t>
      </w:r>
    </w:p>
    <w:p w14:paraId="19E3CCCA" w14:textId="77777777" w:rsidR="000127D1" w:rsidRPr="000A1695" w:rsidRDefault="000127D1" w:rsidP="000127D1">
      <w:pPr>
        <w:tabs>
          <w:tab w:val="left" w:pos="709"/>
        </w:tabs>
        <w:suppressAutoHyphens w:val="0"/>
        <w:spacing w:after="120" w:line="240" w:lineRule="auto"/>
        <w:ind w:right="1134"/>
        <w:rPr>
          <w:lang w:eastAsia="en-GB"/>
        </w:rPr>
      </w:pPr>
    </w:p>
    <w:p w14:paraId="2F6CEC38"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Where measures extend beyond what is necessary to achieve their stated objectives, or where their effects are not regularly assessed, they may have broader implications for:</w:t>
      </w:r>
    </w:p>
    <w:p w14:paraId="00AEE761" w14:textId="77777777" w:rsidR="006471F5" w:rsidRPr="000A1695" w:rsidRDefault="006471F5">
      <w:pPr>
        <w:pStyle w:val="ListParagraph"/>
        <w:numPr>
          <w:ilvl w:val="0"/>
          <w:numId w:val="33"/>
        </w:numPr>
        <w:tabs>
          <w:tab w:val="left" w:pos="709"/>
        </w:tabs>
        <w:suppressAutoHyphens w:val="0"/>
        <w:spacing w:after="120" w:line="240" w:lineRule="auto"/>
        <w:ind w:right="1134"/>
        <w:rPr>
          <w:lang w:eastAsia="en-GB"/>
        </w:rPr>
      </w:pPr>
      <w:r w:rsidRPr="000A1695">
        <w:rPr>
          <w:lang w:eastAsia="en-GB"/>
        </w:rPr>
        <w:t xml:space="preserve">access to professional participation; and </w:t>
      </w:r>
    </w:p>
    <w:p w14:paraId="50EF2F35" w14:textId="77777777" w:rsidR="006471F5" w:rsidRDefault="006471F5">
      <w:pPr>
        <w:pStyle w:val="ListParagraph"/>
        <w:numPr>
          <w:ilvl w:val="0"/>
          <w:numId w:val="33"/>
        </w:numPr>
        <w:tabs>
          <w:tab w:val="left" w:pos="709"/>
        </w:tabs>
        <w:suppressAutoHyphens w:val="0"/>
        <w:spacing w:after="120" w:line="240" w:lineRule="auto"/>
        <w:ind w:right="1134"/>
        <w:rPr>
          <w:lang w:eastAsia="en-GB"/>
        </w:rPr>
      </w:pPr>
      <w:r w:rsidRPr="000A1695">
        <w:rPr>
          <w:lang w:eastAsia="en-GB"/>
        </w:rPr>
        <w:t xml:space="preserve">the diversity of associational life. </w:t>
      </w:r>
    </w:p>
    <w:p w14:paraId="7E81A117" w14:textId="77777777" w:rsidR="000127D1" w:rsidRPr="000A1695" w:rsidRDefault="000127D1" w:rsidP="000127D1">
      <w:pPr>
        <w:tabs>
          <w:tab w:val="left" w:pos="709"/>
        </w:tabs>
        <w:suppressAutoHyphens w:val="0"/>
        <w:spacing w:after="120" w:line="240" w:lineRule="auto"/>
        <w:ind w:right="1134"/>
        <w:rPr>
          <w:lang w:eastAsia="en-GB"/>
        </w:rPr>
      </w:pPr>
    </w:p>
    <w:p w14:paraId="02F2DC3A"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A balanced approach is therefore required to ensure that special measures support inclusion while maintaining the </w:t>
      </w:r>
      <w:r w:rsidRPr="000A1695">
        <w:rPr>
          <w:b/>
          <w:bCs/>
          <w:lang w:eastAsia="en-GB"/>
        </w:rPr>
        <w:t>core guarantees of freedom of association</w:t>
      </w:r>
      <w:r w:rsidRPr="000A1695">
        <w:rPr>
          <w:lang w:eastAsia="en-GB"/>
        </w:rPr>
        <w:t>.</w:t>
      </w:r>
    </w:p>
    <w:p w14:paraId="6B5CACC8" w14:textId="77777777" w:rsidR="006471F5" w:rsidRDefault="006471F5" w:rsidP="000127D1">
      <w:pPr>
        <w:tabs>
          <w:tab w:val="left" w:pos="709"/>
        </w:tabs>
        <w:suppressAutoHyphens w:val="0"/>
        <w:spacing w:after="120" w:line="240" w:lineRule="auto"/>
        <w:ind w:left="1134" w:right="1134"/>
        <w:rPr>
          <w:lang w:eastAsia="en-GB"/>
        </w:rPr>
      </w:pPr>
    </w:p>
    <w:p w14:paraId="77A1AA85" w14:textId="54372094" w:rsidR="000127D1" w:rsidRDefault="000127D1" w:rsidP="000127D1">
      <w:pPr>
        <w:pStyle w:val="HChG"/>
        <w:tabs>
          <w:tab w:val="left" w:pos="709"/>
        </w:tabs>
      </w:pPr>
      <w:r w:rsidRPr="009E5CAE">
        <w:tab/>
      </w:r>
      <w:r>
        <w:t>4</w:t>
      </w:r>
      <w:r w:rsidRPr="009E5CAE">
        <w:t>.</w:t>
      </w:r>
      <w:r w:rsidRPr="009E5CAE">
        <w:tab/>
      </w:r>
      <w:r>
        <w:t>Application in a Contemporary Regulatory Context (South Africa)</w:t>
      </w:r>
    </w:p>
    <w:p w14:paraId="5B73BB1E" w14:textId="77777777" w:rsidR="000127D1" w:rsidRPr="000127D1" w:rsidRDefault="000127D1" w:rsidP="000127D1"/>
    <w:p w14:paraId="313B0866" w14:textId="10179CF7" w:rsidR="006471F5" w:rsidRPr="000A1695" w:rsidRDefault="000127D1" w:rsidP="000127D1">
      <w:pPr>
        <w:tabs>
          <w:tab w:val="left" w:pos="709"/>
        </w:tabs>
        <w:suppressAutoHyphens w:val="0"/>
        <w:spacing w:after="120" w:line="240" w:lineRule="auto"/>
        <w:ind w:right="1134"/>
        <w:rPr>
          <w:b/>
          <w:bCs/>
          <w:lang w:eastAsia="en-GB"/>
        </w:rPr>
      </w:pPr>
      <w:r>
        <w:rPr>
          <w:b/>
          <w:bCs/>
          <w:lang w:eastAsia="en-GB"/>
        </w:rPr>
        <w:tab/>
      </w:r>
      <w:r w:rsidR="006471F5" w:rsidRPr="000A1695">
        <w:rPr>
          <w:b/>
          <w:bCs/>
          <w:lang w:eastAsia="en-GB"/>
        </w:rPr>
        <w:t>4.1 Centralisation of Professional Regulation</w:t>
      </w:r>
    </w:p>
    <w:p w14:paraId="40BE0B45" w14:textId="49E59324"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The structure of the legal profession in South Africa has undergone significant transformation through the enactment of the Legal Practice Act 28 of 2014.</w:t>
      </w:r>
      <w:r w:rsidR="000127D1">
        <w:rPr>
          <w:rStyle w:val="FootnoteReference"/>
          <w:lang w:eastAsia="en-GB"/>
        </w:rPr>
        <w:footnoteReference w:id="23"/>
      </w:r>
    </w:p>
    <w:p w14:paraId="55C32437"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Prior to this framework, the profession operated through multiple independent law societies across different regions, contributing to a </w:t>
      </w:r>
      <w:r w:rsidRPr="000A1695">
        <w:rPr>
          <w:b/>
          <w:bCs/>
          <w:lang w:eastAsia="en-GB"/>
        </w:rPr>
        <w:t>plural institutional landscape</w:t>
      </w:r>
      <w:r w:rsidRPr="000A1695">
        <w:rPr>
          <w:lang w:eastAsia="en-GB"/>
        </w:rPr>
        <w:t xml:space="preserve"> in which practitioners could participate in governance and professional development through a range of bodies.</w:t>
      </w:r>
    </w:p>
    <w:p w14:paraId="3A513D21"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The Legal Practice Act established a </w:t>
      </w:r>
      <w:r w:rsidRPr="000A1695">
        <w:rPr>
          <w:b/>
          <w:bCs/>
          <w:lang w:eastAsia="en-GB"/>
        </w:rPr>
        <w:t>single, centralised regulatory authority</w:t>
      </w:r>
      <w:r w:rsidRPr="000A1695">
        <w:rPr>
          <w:lang w:eastAsia="en-GB"/>
        </w:rPr>
        <w:t>, the Legal Practice Council (LPC), responsible for:</w:t>
      </w:r>
    </w:p>
    <w:p w14:paraId="59A2EB16" w14:textId="77777777" w:rsidR="006471F5" w:rsidRPr="000A1695" w:rsidRDefault="006471F5">
      <w:pPr>
        <w:pStyle w:val="ListParagraph"/>
        <w:numPr>
          <w:ilvl w:val="0"/>
          <w:numId w:val="34"/>
        </w:numPr>
        <w:tabs>
          <w:tab w:val="left" w:pos="709"/>
        </w:tabs>
        <w:suppressAutoHyphens w:val="0"/>
        <w:spacing w:after="120" w:line="240" w:lineRule="auto"/>
        <w:ind w:right="1134"/>
        <w:rPr>
          <w:lang w:eastAsia="en-GB"/>
        </w:rPr>
      </w:pPr>
      <w:r w:rsidRPr="000A1695">
        <w:rPr>
          <w:lang w:eastAsia="en-GB"/>
        </w:rPr>
        <w:t xml:space="preserve">admission and enrolment of legal practitioners; </w:t>
      </w:r>
    </w:p>
    <w:p w14:paraId="5A218B80" w14:textId="77777777" w:rsidR="006471F5" w:rsidRPr="000A1695" w:rsidRDefault="006471F5">
      <w:pPr>
        <w:pStyle w:val="ListParagraph"/>
        <w:numPr>
          <w:ilvl w:val="0"/>
          <w:numId w:val="34"/>
        </w:numPr>
        <w:tabs>
          <w:tab w:val="left" w:pos="709"/>
        </w:tabs>
        <w:suppressAutoHyphens w:val="0"/>
        <w:spacing w:after="120" w:line="240" w:lineRule="auto"/>
        <w:ind w:right="1134"/>
        <w:rPr>
          <w:lang w:eastAsia="en-GB"/>
        </w:rPr>
      </w:pPr>
      <w:r w:rsidRPr="000A1695">
        <w:rPr>
          <w:lang w:eastAsia="en-GB"/>
        </w:rPr>
        <w:t xml:space="preserve">regulation of professional conduct; and </w:t>
      </w:r>
    </w:p>
    <w:p w14:paraId="53F1858A" w14:textId="045556BD" w:rsidR="006471F5" w:rsidRDefault="006471F5">
      <w:pPr>
        <w:pStyle w:val="ListParagraph"/>
        <w:numPr>
          <w:ilvl w:val="0"/>
          <w:numId w:val="34"/>
        </w:numPr>
        <w:tabs>
          <w:tab w:val="left" w:pos="709"/>
        </w:tabs>
        <w:suppressAutoHyphens w:val="0"/>
        <w:spacing w:after="120" w:line="240" w:lineRule="auto"/>
        <w:ind w:right="1134"/>
        <w:rPr>
          <w:lang w:eastAsia="en-GB"/>
        </w:rPr>
      </w:pPr>
      <w:r w:rsidRPr="000A1695">
        <w:rPr>
          <w:lang w:eastAsia="en-GB"/>
        </w:rPr>
        <w:t>setting of norms and standards across the profession.</w:t>
      </w:r>
      <w:r w:rsidR="000127D1">
        <w:rPr>
          <w:rStyle w:val="FootnoteReference"/>
          <w:lang w:eastAsia="en-GB"/>
        </w:rPr>
        <w:footnoteReference w:id="24"/>
      </w:r>
    </w:p>
    <w:p w14:paraId="34434266" w14:textId="77777777" w:rsidR="000127D1" w:rsidRPr="000A1695" w:rsidRDefault="000127D1" w:rsidP="000127D1">
      <w:pPr>
        <w:tabs>
          <w:tab w:val="left" w:pos="709"/>
        </w:tabs>
        <w:suppressAutoHyphens w:val="0"/>
        <w:spacing w:after="120" w:line="240" w:lineRule="auto"/>
        <w:ind w:right="1134"/>
        <w:rPr>
          <w:lang w:eastAsia="en-GB"/>
        </w:rPr>
      </w:pPr>
    </w:p>
    <w:p w14:paraId="739CE961"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While centralisation may promote consistency and facilitate policy objectives, it has also resulted in a </w:t>
      </w:r>
      <w:r w:rsidRPr="000A1695">
        <w:rPr>
          <w:b/>
          <w:bCs/>
          <w:lang w:eastAsia="en-GB"/>
        </w:rPr>
        <w:t>reduction of institutional plurality</w:t>
      </w:r>
      <w:r w:rsidRPr="000A1695">
        <w:rPr>
          <w:lang w:eastAsia="en-GB"/>
        </w:rPr>
        <w:t>, concentrating regulatory authority within a single body.</w:t>
      </w:r>
    </w:p>
    <w:p w14:paraId="65B21DCE"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This structural shift is relevant to Article 22 in that it may affect:</w:t>
      </w:r>
    </w:p>
    <w:p w14:paraId="7D2E5381" w14:textId="77777777" w:rsidR="006471F5" w:rsidRPr="000A1695" w:rsidRDefault="006471F5">
      <w:pPr>
        <w:pStyle w:val="ListParagraph"/>
        <w:numPr>
          <w:ilvl w:val="0"/>
          <w:numId w:val="35"/>
        </w:numPr>
        <w:tabs>
          <w:tab w:val="left" w:pos="709"/>
        </w:tabs>
        <w:suppressAutoHyphens w:val="0"/>
        <w:spacing w:after="120" w:line="240" w:lineRule="auto"/>
        <w:ind w:right="1134"/>
        <w:rPr>
          <w:lang w:eastAsia="en-GB"/>
        </w:rPr>
      </w:pPr>
      <w:r w:rsidRPr="000A1695">
        <w:rPr>
          <w:lang w:eastAsia="en-GB"/>
        </w:rPr>
        <w:t xml:space="preserve">the availability of alternative organisational frameworks; </w:t>
      </w:r>
    </w:p>
    <w:p w14:paraId="75467CBD" w14:textId="77777777" w:rsidR="006471F5" w:rsidRPr="000A1695" w:rsidRDefault="006471F5">
      <w:pPr>
        <w:pStyle w:val="ListParagraph"/>
        <w:numPr>
          <w:ilvl w:val="0"/>
          <w:numId w:val="35"/>
        </w:numPr>
        <w:tabs>
          <w:tab w:val="left" w:pos="709"/>
        </w:tabs>
        <w:suppressAutoHyphens w:val="0"/>
        <w:spacing w:after="120" w:line="240" w:lineRule="auto"/>
        <w:ind w:right="1134"/>
        <w:rPr>
          <w:lang w:eastAsia="en-GB"/>
        </w:rPr>
      </w:pPr>
      <w:r w:rsidRPr="000A1695">
        <w:rPr>
          <w:lang w:eastAsia="en-GB"/>
        </w:rPr>
        <w:t xml:space="preserve">the diversity of institutional participation; and </w:t>
      </w:r>
    </w:p>
    <w:p w14:paraId="2C2C48AF" w14:textId="77777777" w:rsidR="006471F5" w:rsidRPr="000A1695" w:rsidRDefault="006471F5">
      <w:pPr>
        <w:pStyle w:val="ListParagraph"/>
        <w:numPr>
          <w:ilvl w:val="0"/>
          <w:numId w:val="35"/>
        </w:numPr>
        <w:tabs>
          <w:tab w:val="left" w:pos="709"/>
        </w:tabs>
        <w:suppressAutoHyphens w:val="0"/>
        <w:spacing w:after="120" w:line="240" w:lineRule="auto"/>
        <w:ind w:right="1134"/>
        <w:rPr>
          <w:lang w:eastAsia="en-GB"/>
        </w:rPr>
      </w:pPr>
      <w:r w:rsidRPr="000A1695">
        <w:rPr>
          <w:lang w:eastAsia="en-GB"/>
        </w:rPr>
        <w:t xml:space="preserve">the capacity of independent associations to influence professional governance. </w:t>
      </w:r>
    </w:p>
    <w:p w14:paraId="39ED3C50" w14:textId="466DA6F6" w:rsidR="006471F5" w:rsidRPr="000A1695" w:rsidRDefault="006471F5" w:rsidP="000127D1">
      <w:pPr>
        <w:tabs>
          <w:tab w:val="left" w:pos="709"/>
        </w:tabs>
        <w:suppressAutoHyphens w:val="0"/>
        <w:spacing w:after="120" w:line="240" w:lineRule="auto"/>
        <w:ind w:left="1134" w:right="1134"/>
        <w:rPr>
          <w:lang w:eastAsia="en-GB"/>
        </w:rPr>
      </w:pPr>
    </w:p>
    <w:p w14:paraId="5D2FA1A0" w14:textId="77AB18D6" w:rsidR="006471F5" w:rsidRPr="000A1695" w:rsidRDefault="000127D1" w:rsidP="000127D1">
      <w:pPr>
        <w:tabs>
          <w:tab w:val="left" w:pos="709"/>
        </w:tabs>
        <w:suppressAutoHyphens w:val="0"/>
        <w:spacing w:after="120" w:line="240" w:lineRule="auto"/>
        <w:ind w:right="1134"/>
        <w:rPr>
          <w:b/>
          <w:bCs/>
          <w:lang w:eastAsia="en-GB"/>
        </w:rPr>
      </w:pPr>
      <w:r>
        <w:rPr>
          <w:b/>
          <w:bCs/>
          <w:lang w:eastAsia="en-GB"/>
        </w:rPr>
        <w:tab/>
      </w:r>
      <w:r w:rsidR="006471F5" w:rsidRPr="000A1695">
        <w:rPr>
          <w:b/>
          <w:bCs/>
          <w:lang w:eastAsia="en-GB"/>
        </w:rPr>
        <w:t>4.2 Structural Conditions Affecting Associational Participation</w:t>
      </w:r>
    </w:p>
    <w:p w14:paraId="07586BCB"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The effective exercise of freedom of association depends not only on the formal ability to form organisations, but also on the </w:t>
      </w:r>
      <w:r w:rsidRPr="000A1695">
        <w:rPr>
          <w:b/>
          <w:bCs/>
          <w:lang w:eastAsia="en-GB"/>
        </w:rPr>
        <w:t>conditions under which such organisations can function meaningfully</w:t>
      </w:r>
      <w:r w:rsidRPr="000A1695">
        <w:rPr>
          <w:lang w:eastAsia="en-GB"/>
        </w:rPr>
        <w:t>.</w:t>
      </w:r>
    </w:p>
    <w:p w14:paraId="662BF71A"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In the present context, several structural factors may influence the viability and role of independent professional associations, including:</w:t>
      </w:r>
    </w:p>
    <w:p w14:paraId="3FB38EAA" w14:textId="77777777" w:rsidR="006471F5" w:rsidRPr="000A1695" w:rsidRDefault="006471F5">
      <w:pPr>
        <w:pStyle w:val="ListParagraph"/>
        <w:numPr>
          <w:ilvl w:val="0"/>
          <w:numId w:val="36"/>
        </w:numPr>
        <w:tabs>
          <w:tab w:val="left" w:pos="709"/>
        </w:tabs>
        <w:suppressAutoHyphens w:val="0"/>
        <w:spacing w:after="120" w:line="240" w:lineRule="auto"/>
        <w:ind w:right="1134"/>
        <w:rPr>
          <w:lang w:eastAsia="en-GB"/>
        </w:rPr>
      </w:pPr>
      <w:r w:rsidRPr="000A1695">
        <w:rPr>
          <w:lang w:eastAsia="en-GB"/>
        </w:rPr>
        <w:t xml:space="preserve">the absence of clearly defined frameworks for recognising alternative associations; </w:t>
      </w:r>
    </w:p>
    <w:p w14:paraId="6674F103" w14:textId="77777777" w:rsidR="006471F5" w:rsidRPr="000A1695" w:rsidRDefault="006471F5">
      <w:pPr>
        <w:pStyle w:val="ListParagraph"/>
        <w:numPr>
          <w:ilvl w:val="0"/>
          <w:numId w:val="36"/>
        </w:numPr>
        <w:tabs>
          <w:tab w:val="left" w:pos="709"/>
        </w:tabs>
        <w:suppressAutoHyphens w:val="0"/>
        <w:spacing w:after="120" w:line="240" w:lineRule="auto"/>
        <w:ind w:right="1134"/>
        <w:rPr>
          <w:lang w:eastAsia="en-GB"/>
        </w:rPr>
      </w:pPr>
      <w:r w:rsidRPr="000A1695">
        <w:rPr>
          <w:lang w:eastAsia="en-GB"/>
        </w:rPr>
        <w:t xml:space="preserve">uncertainty regarding their permissible functions within the regulatory system; </w:t>
      </w:r>
    </w:p>
    <w:p w14:paraId="2F4EF774" w14:textId="77777777" w:rsidR="006471F5" w:rsidRPr="000A1695" w:rsidRDefault="006471F5">
      <w:pPr>
        <w:pStyle w:val="ListParagraph"/>
        <w:numPr>
          <w:ilvl w:val="0"/>
          <w:numId w:val="36"/>
        </w:numPr>
        <w:tabs>
          <w:tab w:val="left" w:pos="709"/>
        </w:tabs>
        <w:suppressAutoHyphens w:val="0"/>
        <w:spacing w:after="120" w:line="240" w:lineRule="auto"/>
        <w:ind w:right="1134"/>
        <w:rPr>
          <w:lang w:eastAsia="en-GB"/>
        </w:rPr>
      </w:pPr>
      <w:r w:rsidRPr="000A1695">
        <w:rPr>
          <w:lang w:eastAsia="en-GB"/>
        </w:rPr>
        <w:t xml:space="preserve">limited access to institutional resources; and </w:t>
      </w:r>
    </w:p>
    <w:p w14:paraId="0377DE2F" w14:textId="77777777" w:rsidR="006471F5" w:rsidRDefault="006471F5">
      <w:pPr>
        <w:pStyle w:val="ListParagraph"/>
        <w:numPr>
          <w:ilvl w:val="0"/>
          <w:numId w:val="36"/>
        </w:numPr>
        <w:tabs>
          <w:tab w:val="left" w:pos="709"/>
        </w:tabs>
        <w:suppressAutoHyphens w:val="0"/>
        <w:spacing w:after="120" w:line="240" w:lineRule="auto"/>
        <w:ind w:right="1134"/>
        <w:rPr>
          <w:lang w:eastAsia="en-GB"/>
        </w:rPr>
      </w:pPr>
      <w:r w:rsidRPr="000A1695">
        <w:rPr>
          <w:lang w:eastAsia="en-GB"/>
        </w:rPr>
        <w:t xml:space="preserve">the concentration of regulatory authority within a single statutory body. </w:t>
      </w:r>
    </w:p>
    <w:p w14:paraId="5BB3543B" w14:textId="77777777" w:rsidR="00497C97" w:rsidRPr="000A1695" w:rsidRDefault="00497C97" w:rsidP="00497C97">
      <w:pPr>
        <w:tabs>
          <w:tab w:val="left" w:pos="709"/>
        </w:tabs>
        <w:suppressAutoHyphens w:val="0"/>
        <w:spacing w:after="120" w:line="240" w:lineRule="auto"/>
        <w:ind w:right="1134"/>
        <w:rPr>
          <w:lang w:eastAsia="en-GB"/>
        </w:rPr>
      </w:pPr>
    </w:p>
    <w:p w14:paraId="289357AA"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Where admission, discipline, and standard-setting are centralised, independent associations may be limited to </w:t>
      </w:r>
      <w:r w:rsidRPr="000A1695">
        <w:rPr>
          <w:b/>
          <w:bCs/>
          <w:lang w:eastAsia="en-GB"/>
        </w:rPr>
        <w:t>representative or voluntary roles</w:t>
      </w:r>
      <w:r w:rsidRPr="000A1695">
        <w:rPr>
          <w:lang w:eastAsia="en-GB"/>
        </w:rPr>
        <w:t>, without substantive influence over:</w:t>
      </w:r>
    </w:p>
    <w:p w14:paraId="3796DD24" w14:textId="77777777" w:rsidR="006471F5" w:rsidRPr="000A1695" w:rsidRDefault="006471F5">
      <w:pPr>
        <w:pStyle w:val="ListParagraph"/>
        <w:numPr>
          <w:ilvl w:val="0"/>
          <w:numId w:val="37"/>
        </w:numPr>
        <w:tabs>
          <w:tab w:val="left" w:pos="709"/>
        </w:tabs>
        <w:suppressAutoHyphens w:val="0"/>
        <w:spacing w:after="120" w:line="240" w:lineRule="auto"/>
        <w:ind w:right="1134"/>
        <w:rPr>
          <w:lang w:eastAsia="en-GB"/>
        </w:rPr>
      </w:pPr>
      <w:r w:rsidRPr="000A1695">
        <w:rPr>
          <w:lang w:eastAsia="en-GB"/>
        </w:rPr>
        <w:t xml:space="preserve">entry into the profession; </w:t>
      </w:r>
    </w:p>
    <w:p w14:paraId="31AE7363" w14:textId="77777777" w:rsidR="006471F5" w:rsidRPr="000A1695" w:rsidRDefault="006471F5">
      <w:pPr>
        <w:pStyle w:val="ListParagraph"/>
        <w:numPr>
          <w:ilvl w:val="0"/>
          <w:numId w:val="37"/>
        </w:numPr>
        <w:tabs>
          <w:tab w:val="left" w:pos="709"/>
        </w:tabs>
        <w:suppressAutoHyphens w:val="0"/>
        <w:spacing w:after="120" w:line="240" w:lineRule="auto"/>
        <w:ind w:right="1134"/>
        <w:rPr>
          <w:lang w:eastAsia="en-GB"/>
        </w:rPr>
      </w:pPr>
      <w:r w:rsidRPr="000A1695">
        <w:rPr>
          <w:lang w:eastAsia="en-GB"/>
        </w:rPr>
        <w:t xml:space="preserve">professional standards; or </w:t>
      </w:r>
    </w:p>
    <w:p w14:paraId="0C8D777B" w14:textId="77777777" w:rsidR="006471F5" w:rsidRDefault="006471F5">
      <w:pPr>
        <w:pStyle w:val="ListParagraph"/>
        <w:numPr>
          <w:ilvl w:val="0"/>
          <w:numId w:val="37"/>
        </w:numPr>
        <w:tabs>
          <w:tab w:val="left" w:pos="709"/>
        </w:tabs>
        <w:suppressAutoHyphens w:val="0"/>
        <w:spacing w:after="120" w:line="240" w:lineRule="auto"/>
        <w:ind w:right="1134"/>
        <w:rPr>
          <w:lang w:eastAsia="en-GB"/>
        </w:rPr>
      </w:pPr>
      <w:r w:rsidRPr="000A1695">
        <w:rPr>
          <w:lang w:eastAsia="en-GB"/>
        </w:rPr>
        <w:t xml:space="preserve">regulatory decision-making. </w:t>
      </w:r>
    </w:p>
    <w:p w14:paraId="30B5559E" w14:textId="77777777" w:rsidR="00497C97" w:rsidRPr="000A1695" w:rsidRDefault="00497C97" w:rsidP="00497C97">
      <w:pPr>
        <w:tabs>
          <w:tab w:val="left" w:pos="709"/>
        </w:tabs>
        <w:suppressAutoHyphens w:val="0"/>
        <w:spacing w:after="120" w:line="240" w:lineRule="auto"/>
        <w:ind w:right="1134"/>
        <w:rPr>
          <w:lang w:eastAsia="en-GB"/>
        </w:rPr>
      </w:pPr>
    </w:p>
    <w:p w14:paraId="2A2D6D58"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In addition, the practical feasibility of establishing independent associations may be affected by:</w:t>
      </w:r>
    </w:p>
    <w:p w14:paraId="2BC8A3A2" w14:textId="77777777" w:rsidR="006471F5" w:rsidRPr="000A1695" w:rsidRDefault="006471F5">
      <w:pPr>
        <w:pStyle w:val="ListParagraph"/>
        <w:numPr>
          <w:ilvl w:val="0"/>
          <w:numId w:val="38"/>
        </w:numPr>
        <w:tabs>
          <w:tab w:val="left" w:pos="709"/>
        </w:tabs>
        <w:suppressAutoHyphens w:val="0"/>
        <w:spacing w:after="120" w:line="240" w:lineRule="auto"/>
        <w:ind w:right="1134"/>
        <w:rPr>
          <w:lang w:eastAsia="en-GB"/>
        </w:rPr>
      </w:pPr>
      <w:r w:rsidRPr="000A1695">
        <w:rPr>
          <w:lang w:eastAsia="en-GB"/>
        </w:rPr>
        <w:t xml:space="preserve">access to funding or institutional support; </w:t>
      </w:r>
    </w:p>
    <w:p w14:paraId="4B3A4F73" w14:textId="77777777" w:rsidR="006471F5" w:rsidRPr="000A1695" w:rsidRDefault="006471F5">
      <w:pPr>
        <w:pStyle w:val="ListParagraph"/>
        <w:numPr>
          <w:ilvl w:val="0"/>
          <w:numId w:val="38"/>
        </w:numPr>
        <w:tabs>
          <w:tab w:val="left" w:pos="709"/>
        </w:tabs>
        <w:suppressAutoHyphens w:val="0"/>
        <w:spacing w:after="120" w:line="240" w:lineRule="auto"/>
        <w:ind w:right="1134"/>
        <w:rPr>
          <w:lang w:eastAsia="en-GB"/>
        </w:rPr>
      </w:pPr>
      <w:r w:rsidRPr="000A1695">
        <w:rPr>
          <w:lang w:eastAsia="en-GB"/>
        </w:rPr>
        <w:t xml:space="preserve">recognition within consultation processes; and </w:t>
      </w:r>
    </w:p>
    <w:p w14:paraId="1706C134" w14:textId="77777777" w:rsidR="006471F5" w:rsidRDefault="006471F5">
      <w:pPr>
        <w:pStyle w:val="ListParagraph"/>
        <w:numPr>
          <w:ilvl w:val="0"/>
          <w:numId w:val="38"/>
        </w:numPr>
        <w:tabs>
          <w:tab w:val="left" w:pos="709"/>
        </w:tabs>
        <w:suppressAutoHyphens w:val="0"/>
        <w:spacing w:after="120" w:line="240" w:lineRule="auto"/>
        <w:ind w:right="1134"/>
        <w:rPr>
          <w:lang w:eastAsia="en-GB"/>
        </w:rPr>
      </w:pPr>
      <w:r w:rsidRPr="000A1695">
        <w:rPr>
          <w:lang w:eastAsia="en-GB"/>
        </w:rPr>
        <w:t xml:space="preserve">the broader regulatory environment in which they operate. </w:t>
      </w:r>
    </w:p>
    <w:p w14:paraId="5011CA04" w14:textId="77777777" w:rsidR="00497C97" w:rsidRPr="000A1695" w:rsidRDefault="00497C97" w:rsidP="00497C97">
      <w:pPr>
        <w:tabs>
          <w:tab w:val="left" w:pos="709"/>
        </w:tabs>
        <w:suppressAutoHyphens w:val="0"/>
        <w:spacing w:after="120" w:line="240" w:lineRule="auto"/>
        <w:ind w:right="1134"/>
        <w:rPr>
          <w:lang w:eastAsia="en-GB"/>
        </w:rPr>
      </w:pPr>
    </w:p>
    <w:p w14:paraId="792E93DF"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Where funding, recognition, or participation opportunities are linked to existing institutional frameworks or policy objectives, this may influence the </w:t>
      </w:r>
      <w:r w:rsidRPr="000A1695">
        <w:rPr>
          <w:b/>
          <w:bCs/>
          <w:lang w:eastAsia="en-GB"/>
        </w:rPr>
        <w:t>relative viability of different associations</w:t>
      </w:r>
      <w:r w:rsidRPr="000A1695">
        <w:rPr>
          <w:lang w:eastAsia="en-GB"/>
        </w:rPr>
        <w:t>, including those representing distinct linguistic, cultural, or professional perspectives.</w:t>
      </w:r>
    </w:p>
    <w:p w14:paraId="0AEBC3C2"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These factors do not necessarily constitute formal restrictions, but may operate as </w:t>
      </w:r>
      <w:r w:rsidRPr="000A1695">
        <w:rPr>
          <w:b/>
          <w:bCs/>
          <w:lang w:eastAsia="en-GB"/>
        </w:rPr>
        <w:t>structural constraints</w:t>
      </w:r>
      <w:r w:rsidRPr="000A1695">
        <w:rPr>
          <w:lang w:eastAsia="en-GB"/>
        </w:rPr>
        <w:t>, affecting whether associational rights can be exercised in a meaningful and effective manner.</w:t>
      </w:r>
    </w:p>
    <w:p w14:paraId="11C192C4" w14:textId="0D926DCF" w:rsidR="006471F5" w:rsidRPr="000A1695" w:rsidRDefault="006471F5" w:rsidP="000127D1">
      <w:pPr>
        <w:tabs>
          <w:tab w:val="left" w:pos="709"/>
        </w:tabs>
        <w:suppressAutoHyphens w:val="0"/>
        <w:spacing w:after="120" w:line="240" w:lineRule="auto"/>
        <w:ind w:left="1134" w:right="1134"/>
        <w:rPr>
          <w:lang w:eastAsia="en-GB"/>
        </w:rPr>
      </w:pPr>
    </w:p>
    <w:p w14:paraId="4A281FE7" w14:textId="458B5678" w:rsidR="006471F5" w:rsidRPr="000A1695" w:rsidRDefault="00497C97" w:rsidP="00497C97">
      <w:pPr>
        <w:tabs>
          <w:tab w:val="left" w:pos="709"/>
        </w:tabs>
        <w:suppressAutoHyphens w:val="0"/>
        <w:spacing w:after="120" w:line="240" w:lineRule="auto"/>
        <w:ind w:right="1134"/>
        <w:rPr>
          <w:b/>
          <w:bCs/>
          <w:lang w:eastAsia="en-GB"/>
        </w:rPr>
      </w:pPr>
      <w:r>
        <w:rPr>
          <w:b/>
          <w:bCs/>
          <w:lang w:eastAsia="en-GB"/>
        </w:rPr>
        <w:tab/>
      </w:r>
      <w:r w:rsidR="006471F5" w:rsidRPr="000A1695">
        <w:rPr>
          <w:b/>
          <w:bCs/>
          <w:lang w:eastAsia="en-GB"/>
        </w:rPr>
        <w:t>4.3 Legal Education and Professional Formation</w:t>
      </w:r>
    </w:p>
    <w:p w14:paraId="005CAB53"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Access to the legal profession is shaped by legal education, which determines both the </w:t>
      </w:r>
      <w:r w:rsidRPr="000A1695">
        <w:rPr>
          <w:b/>
          <w:bCs/>
          <w:lang w:eastAsia="en-GB"/>
        </w:rPr>
        <w:t>content and methodology of legal training</w:t>
      </w:r>
      <w:r w:rsidRPr="000A1695">
        <w:rPr>
          <w:lang w:eastAsia="en-GB"/>
        </w:rPr>
        <w:t>, as well as the pathway to professional qualification.</w:t>
      </w:r>
    </w:p>
    <w:p w14:paraId="7E2550C9" w14:textId="0D81233F"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Institutional policy documents</w:t>
      </w:r>
      <w:r w:rsidR="00497C97">
        <w:rPr>
          <w:rStyle w:val="FootnoteReference"/>
          <w:lang w:eastAsia="en-GB"/>
        </w:rPr>
        <w:footnoteReference w:id="25"/>
      </w:r>
      <w:r w:rsidRPr="000A1695">
        <w:rPr>
          <w:lang w:eastAsia="en-GB"/>
        </w:rPr>
        <w:t xml:space="preserve"> indicate that legal education is undergoing structured transformation. For example, the UNISA College of Law Curriculum Transformation Plan refers to:</w:t>
      </w:r>
    </w:p>
    <w:p w14:paraId="789933B7" w14:textId="77777777" w:rsidR="006471F5" w:rsidRPr="00497C97" w:rsidRDefault="006471F5" w:rsidP="00497C97">
      <w:pPr>
        <w:tabs>
          <w:tab w:val="left" w:pos="709"/>
        </w:tabs>
        <w:suppressAutoHyphens w:val="0"/>
        <w:spacing w:after="120" w:line="240" w:lineRule="auto"/>
        <w:ind w:left="1134" w:right="1134" w:firstLine="567"/>
        <w:rPr>
          <w:b/>
          <w:bCs/>
          <w:lang w:eastAsia="en-GB"/>
        </w:rPr>
      </w:pPr>
      <w:r w:rsidRPr="00497C97">
        <w:rPr>
          <w:b/>
          <w:bCs/>
          <w:lang w:eastAsia="en-GB"/>
        </w:rPr>
        <w:t>“decolonising and re-</w:t>
      </w:r>
      <w:proofErr w:type="spellStart"/>
      <w:r w:rsidRPr="00497C97">
        <w:rPr>
          <w:b/>
          <w:bCs/>
          <w:lang w:eastAsia="en-GB"/>
        </w:rPr>
        <w:t>Afrikanising</w:t>
      </w:r>
      <w:proofErr w:type="spellEnd"/>
      <w:r w:rsidRPr="00497C97">
        <w:rPr>
          <w:b/>
          <w:bCs/>
          <w:lang w:eastAsia="en-GB"/>
        </w:rPr>
        <w:t xml:space="preserve"> the curriculum” </w:t>
      </w:r>
    </w:p>
    <w:p w14:paraId="2F05A6E1" w14:textId="77777777" w:rsidR="00497C97" w:rsidRPr="000A1695" w:rsidRDefault="00497C97" w:rsidP="00497C97">
      <w:pPr>
        <w:tabs>
          <w:tab w:val="left" w:pos="709"/>
        </w:tabs>
        <w:suppressAutoHyphens w:val="0"/>
        <w:spacing w:after="120" w:line="240" w:lineRule="auto"/>
        <w:ind w:left="1134" w:right="1134" w:firstLine="567"/>
        <w:rPr>
          <w:lang w:eastAsia="en-GB"/>
        </w:rPr>
      </w:pPr>
    </w:p>
    <w:p w14:paraId="2861F615"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and further to:</w:t>
      </w:r>
    </w:p>
    <w:p w14:paraId="512A4E2F" w14:textId="77777777" w:rsidR="006471F5" w:rsidRPr="00497C97" w:rsidRDefault="006471F5" w:rsidP="00497C97">
      <w:pPr>
        <w:tabs>
          <w:tab w:val="left" w:pos="709"/>
        </w:tabs>
        <w:suppressAutoHyphens w:val="0"/>
        <w:spacing w:after="120" w:line="240" w:lineRule="auto"/>
        <w:ind w:left="1701" w:right="1134"/>
        <w:rPr>
          <w:b/>
          <w:bCs/>
          <w:lang w:eastAsia="en-GB"/>
        </w:rPr>
      </w:pPr>
      <w:r w:rsidRPr="00497C97">
        <w:rPr>
          <w:b/>
          <w:bCs/>
          <w:lang w:eastAsia="en-GB"/>
        </w:rPr>
        <w:t xml:space="preserve">“transforming epistemology, knowledge, scholarship and language in the curriculum” </w:t>
      </w:r>
    </w:p>
    <w:p w14:paraId="51835120" w14:textId="77777777" w:rsidR="00497C97" w:rsidRPr="000A1695" w:rsidRDefault="00497C97" w:rsidP="00497C97">
      <w:pPr>
        <w:tabs>
          <w:tab w:val="left" w:pos="709"/>
        </w:tabs>
        <w:suppressAutoHyphens w:val="0"/>
        <w:spacing w:after="120" w:line="240" w:lineRule="auto"/>
        <w:ind w:left="1701" w:right="1134"/>
        <w:rPr>
          <w:lang w:eastAsia="en-GB"/>
        </w:rPr>
      </w:pPr>
    </w:p>
    <w:p w14:paraId="5F0630A6"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The document also refers to the need to:</w:t>
      </w:r>
    </w:p>
    <w:p w14:paraId="0B852667" w14:textId="77777777" w:rsidR="006471F5" w:rsidRPr="00497C97" w:rsidRDefault="006471F5" w:rsidP="00497C97">
      <w:pPr>
        <w:tabs>
          <w:tab w:val="left" w:pos="709"/>
        </w:tabs>
        <w:suppressAutoHyphens w:val="0"/>
        <w:spacing w:after="120" w:line="240" w:lineRule="auto"/>
        <w:ind w:left="1134" w:right="1134" w:firstLine="567"/>
        <w:rPr>
          <w:b/>
          <w:bCs/>
          <w:lang w:eastAsia="en-GB"/>
        </w:rPr>
      </w:pPr>
      <w:r w:rsidRPr="00497C97">
        <w:rPr>
          <w:b/>
          <w:bCs/>
          <w:lang w:eastAsia="en-GB"/>
        </w:rPr>
        <w:t xml:space="preserve">“critically interrogate dominant western-centric jurisprudences” </w:t>
      </w:r>
    </w:p>
    <w:p w14:paraId="6F97204A" w14:textId="77777777" w:rsidR="00497C97" w:rsidRPr="000A1695" w:rsidRDefault="00497C97" w:rsidP="00497C97">
      <w:pPr>
        <w:tabs>
          <w:tab w:val="left" w:pos="709"/>
        </w:tabs>
        <w:suppressAutoHyphens w:val="0"/>
        <w:spacing w:after="120" w:line="240" w:lineRule="auto"/>
        <w:ind w:left="1134" w:right="1134" w:firstLine="567"/>
        <w:rPr>
          <w:lang w:eastAsia="en-GB"/>
        </w:rPr>
      </w:pPr>
    </w:p>
    <w:p w14:paraId="0E1EE595"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These formulations indicate that curriculum reform extends beyond content revision to the </w:t>
      </w:r>
      <w:r w:rsidRPr="000A1695">
        <w:rPr>
          <w:b/>
          <w:bCs/>
          <w:lang w:eastAsia="en-GB"/>
        </w:rPr>
        <w:t>underlying framework through which legal knowledge is approached and taught</w:t>
      </w:r>
      <w:r w:rsidRPr="000A1695">
        <w:rPr>
          <w:lang w:eastAsia="en-GB"/>
        </w:rPr>
        <w:t>.</w:t>
      </w:r>
    </w:p>
    <w:p w14:paraId="525A4664"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In addition, the policy identifies certain factors as potential risks in the implementation of transformation objectives, including:</w:t>
      </w:r>
    </w:p>
    <w:p w14:paraId="6C4B4C2F" w14:textId="77777777" w:rsidR="006471F5" w:rsidRDefault="006471F5" w:rsidP="00497C97">
      <w:pPr>
        <w:tabs>
          <w:tab w:val="left" w:pos="709"/>
        </w:tabs>
        <w:suppressAutoHyphens w:val="0"/>
        <w:spacing w:after="120" w:line="240" w:lineRule="auto"/>
        <w:ind w:left="1134" w:right="1134" w:firstLine="567"/>
        <w:rPr>
          <w:b/>
          <w:bCs/>
          <w:lang w:eastAsia="en-GB"/>
        </w:rPr>
      </w:pPr>
      <w:r w:rsidRPr="00497C97">
        <w:rPr>
          <w:b/>
          <w:bCs/>
          <w:lang w:eastAsia="en-GB"/>
        </w:rPr>
        <w:t xml:space="preserve">“involving senior white academics in the project” </w:t>
      </w:r>
    </w:p>
    <w:p w14:paraId="153247F3" w14:textId="77777777" w:rsidR="00497C97" w:rsidRPr="00497C97" w:rsidRDefault="00497C97" w:rsidP="00497C97">
      <w:pPr>
        <w:tabs>
          <w:tab w:val="left" w:pos="709"/>
        </w:tabs>
        <w:suppressAutoHyphens w:val="0"/>
        <w:spacing w:after="120" w:line="240" w:lineRule="auto"/>
        <w:ind w:left="1134" w:right="1134" w:firstLine="567"/>
        <w:rPr>
          <w:b/>
          <w:bCs/>
          <w:lang w:eastAsia="en-GB"/>
        </w:rPr>
      </w:pPr>
    </w:p>
    <w:p w14:paraId="1FB68975"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While such considerations may be linked to broader transformation objectives, they raise questions regarding:</w:t>
      </w:r>
    </w:p>
    <w:p w14:paraId="38C41403" w14:textId="77777777" w:rsidR="006471F5" w:rsidRPr="000A1695" w:rsidRDefault="006471F5">
      <w:pPr>
        <w:pStyle w:val="ListParagraph"/>
        <w:numPr>
          <w:ilvl w:val="0"/>
          <w:numId w:val="39"/>
        </w:numPr>
        <w:tabs>
          <w:tab w:val="left" w:pos="709"/>
        </w:tabs>
        <w:suppressAutoHyphens w:val="0"/>
        <w:spacing w:after="120" w:line="240" w:lineRule="auto"/>
        <w:ind w:right="1134"/>
        <w:rPr>
          <w:lang w:eastAsia="en-GB"/>
        </w:rPr>
      </w:pPr>
      <w:r w:rsidRPr="000A1695">
        <w:rPr>
          <w:lang w:eastAsia="en-GB"/>
        </w:rPr>
        <w:t xml:space="preserve">inclusivity in academic participation; and </w:t>
      </w:r>
    </w:p>
    <w:p w14:paraId="55408E01" w14:textId="77777777" w:rsidR="006471F5" w:rsidRDefault="006471F5">
      <w:pPr>
        <w:pStyle w:val="ListParagraph"/>
        <w:numPr>
          <w:ilvl w:val="0"/>
          <w:numId w:val="39"/>
        </w:numPr>
        <w:tabs>
          <w:tab w:val="left" w:pos="709"/>
        </w:tabs>
        <w:suppressAutoHyphens w:val="0"/>
        <w:spacing w:after="120" w:line="240" w:lineRule="auto"/>
        <w:ind w:right="1134"/>
        <w:rPr>
          <w:lang w:eastAsia="en-GB"/>
        </w:rPr>
      </w:pPr>
      <w:r w:rsidRPr="000A1695">
        <w:rPr>
          <w:lang w:eastAsia="en-GB"/>
        </w:rPr>
        <w:t xml:space="preserve">the diversity of perspectives contributing to legal education. </w:t>
      </w:r>
    </w:p>
    <w:p w14:paraId="7772249C" w14:textId="77777777" w:rsidR="00497C97" w:rsidRPr="000A1695" w:rsidRDefault="00497C97" w:rsidP="00497C97">
      <w:pPr>
        <w:tabs>
          <w:tab w:val="left" w:pos="709"/>
        </w:tabs>
        <w:suppressAutoHyphens w:val="0"/>
        <w:spacing w:after="120" w:line="240" w:lineRule="auto"/>
        <w:ind w:right="1134"/>
        <w:rPr>
          <w:lang w:eastAsia="en-GB"/>
        </w:rPr>
      </w:pPr>
    </w:p>
    <w:p w14:paraId="2894B12E"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Given that legal education constitutes the primary pathway into the profession, and that professional regulation is centralised, the interaction between </w:t>
      </w:r>
      <w:r w:rsidRPr="000A1695">
        <w:rPr>
          <w:b/>
          <w:bCs/>
          <w:lang w:eastAsia="en-GB"/>
        </w:rPr>
        <w:t>education, qualification, and regulation</w:t>
      </w:r>
      <w:r w:rsidRPr="000A1695">
        <w:rPr>
          <w:lang w:eastAsia="en-GB"/>
        </w:rPr>
        <w:t xml:space="preserve"> may influence:</w:t>
      </w:r>
    </w:p>
    <w:p w14:paraId="6B5DEC01" w14:textId="77777777" w:rsidR="006471F5" w:rsidRPr="000A1695" w:rsidRDefault="006471F5">
      <w:pPr>
        <w:pStyle w:val="ListParagraph"/>
        <w:numPr>
          <w:ilvl w:val="0"/>
          <w:numId w:val="40"/>
        </w:numPr>
        <w:tabs>
          <w:tab w:val="left" w:pos="709"/>
        </w:tabs>
        <w:suppressAutoHyphens w:val="0"/>
        <w:spacing w:after="120" w:line="240" w:lineRule="auto"/>
        <w:ind w:right="1134"/>
        <w:rPr>
          <w:lang w:eastAsia="en-GB"/>
        </w:rPr>
      </w:pPr>
      <w:r w:rsidRPr="000A1695">
        <w:rPr>
          <w:lang w:eastAsia="en-GB"/>
        </w:rPr>
        <w:t xml:space="preserve">who is able to enter the profession; and </w:t>
      </w:r>
    </w:p>
    <w:p w14:paraId="0D33C858" w14:textId="77777777" w:rsidR="006471F5" w:rsidRPr="000A1695" w:rsidRDefault="006471F5">
      <w:pPr>
        <w:pStyle w:val="ListParagraph"/>
        <w:numPr>
          <w:ilvl w:val="0"/>
          <w:numId w:val="40"/>
        </w:numPr>
        <w:tabs>
          <w:tab w:val="left" w:pos="709"/>
        </w:tabs>
        <w:suppressAutoHyphens w:val="0"/>
        <w:spacing w:after="120" w:line="240" w:lineRule="auto"/>
        <w:ind w:right="1134"/>
        <w:rPr>
          <w:lang w:eastAsia="en-GB"/>
        </w:rPr>
      </w:pPr>
      <w:r w:rsidRPr="000A1695">
        <w:rPr>
          <w:lang w:eastAsia="en-GB"/>
        </w:rPr>
        <w:t xml:space="preserve">the range of perspectives represented within it. </w:t>
      </w:r>
    </w:p>
    <w:p w14:paraId="1CC397DD" w14:textId="37BD794F" w:rsidR="006471F5" w:rsidRDefault="006471F5" w:rsidP="000127D1">
      <w:pPr>
        <w:tabs>
          <w:tab w:val="left" w:pos="709"/>
        </w:tabs>
        <w:suppressAutoHyphens w:val="0"/>
        <w:spacing w:after="120" w:line="240" w:lineRule="auto"/>
        <w:ind w:left="1134" w:right="1134"/>
        <w:rPr>
          <w:lang w:eastAsia="en-GB"/>
        </w:rPr>
      </w:pPr>
      <w:r w:rsidRPr="000A1695">
        <w:rPr>
          <w:lang w:eastAsia="en-GB"/>
        </w:rPr>
        <w:t xml:space="preserve">This, in turn, may affect the extent to which professional associations are able to contribute to the </w:t>
      </w:r>
      <w:r w:rsidRPr="000A1695">
        <w:rPr>
          <w:b/>
          <w:bCs/>
          <w:lang w:eastAsia="en-GB"/>
        </w:rPr>
        <w:t>intellectual and institutional development of the profession</w:t>
      </w:r>
      <w:r w:rsidRPr="000A1695">
        <w:rPr>
          <w:lang w:eastAsia="en-GB"/>
        </w:rPr>
        <w:t>.</w:t>
      </w:r>
    </w:p>
    <w:p w14:paraId="6D993E1D" w14:textId="77777777" w:rsidR="00497C97" w:rsidRDefault="00497C97" w:rsidP="00497C97">
      <w:pPr>
        <w:tabs>
          <w:tab w:val="left" w:pos="709"/>
        </w:tabs>
        <w:suppressAutoHyphens w:val="0"/>
        <w:spacing w:after="120" w:line="240" w:lineRule="auto"/>
        <w:ind w:right="1134"/>
        <w:rPr>
          <w:lang w:eastAsia="en-GB"/>
        </w:rPr>
      </w:pPr>
    </w:p>
    <w:p w14:paraId="16A5B35C" w14:textId="2AF0C9E9" w:rsidR="006471F5" w:rsidRPr="000A1695" w:rsidRDefault="00497C97" w:rsidP="00497C97">
      <w:pPr>
        <w:tabs>
          <w:tab w:val="left" w:pos="709"/>
        </w:tabs>
        <w:suppressAutoHyphens w:val="0"/>
        <w:spacing w:after="120" w:line="240" w:lineRule="auto"/>
        <w:ind w:right="1134"/>
        <w:rPr>
          <w:b/>
          <w:bCs/>
          <w:lang w:eastAsia="en-GB"/>
        </w:rPr>
      </w:pPr>
      <w:r>
        <w:rPr>
          <w:lang w:eastAsia="en-GB"/>
        </w:rPr>
        <w:tab/>
      </w:r>
      <w:r w:rsidR="006471F5" w:rsidRPr="000A1695">
        <w:rPr>
          <w:b/>
          <w:bCs/>
          <w:lang w:eastAsia="en-GB"/>
        </w:rPr>
        <w:t>4.4 Language, Access, and Participation</w:t>
      </w:r>
    </w:p>
    <w:p w14:paraId="6DDE7B21"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Language functions as a </w:t>
      </w:r>
      <w:r w:rsidRPr="000A1695">
        <w:rPr>
          <w:b/>
          <w:bCs/>
          <w:lang w:eastAsia="en-GB"/>
        </w:rPr>
        <w:t>structural condition of participation</w:t>
      </w:r>
      <w:r w:rsidRPr="000A1695">
        <w:rPr>
          <w:lang w:eastAsia="en-GB"/>
        </w:rPr>
        <w:t xml:space="preserve"> within the legal profession, affecting:</w:t>
      </w:r>
    </w:p>
    <w:p w14:paraId="0B268F5C" w14:textId="77777777" w:rsidR="006471F5" w:rsidRPr="000A1695" w:rsidRDefault="006471F5">
      <w:pPr>
        <w:pStyle w:val="ListParagraph"/>
        <w:numPr>
          <w:ilvl w:val="0"/>
          <w:numId w:val="41"/>
        </w:numPr>
        <w:tabs>
          <w:tab w:val="left" w:pos="709"/>
        </w:tabs>
        <w:suppressAutoHyphens w:val="0"/>
        <w:spacing w:after="120" w:line="240" w:lineRule="auto"/>
        <w:ind w:right="1134"/>
        <w:rPr>
          <w:lang w:eastAsia="en-GB"/>
        </w:rPr>
      </w:pPr>
      <w:r w:rsidRPr="000A1695">
        <w:rPr>
          <w:lang w:eastAsia="en-GB"/>
        </w:rPr>
        <w:t xml:space="preserve">access to legal education; </w:t>
      </w:r>
    </w:p>
    <w:p w14:paraId="61568553" w14:textId="77777777" w:rsidR="006471F5" w:rsidRPr="000A1695" w:rsidRDefault="006471F5">
      <w:pPr>
        <w:pStyle w:val="ListParagraph"/>
        <w:numPr>
          <w:ilvl w:val="0"/>
          <w:numId w:val="41"/>
        </w:numPr>
        <w:tabs>
          <w:tab w:val="left" w:pos="709"/>
        </w:tabs>
        <w:suppressAutoHyphens w:val="0"/>
        <w:spacing w:after="120" w:line="240" w:lineRule="auto"/>
        <w:ind w:right="1134"/>
        <w:rPr>
          <w:lang w:eastAsia="en-GB"/>
        </w:rPr>
      </w:pPr>
      <w:r w:rsidRPr="000A1695">
        <w:rPr>
          <w:lang w:eastAsia="en-GB"/>
        </w:rPr>
        <w:t xml:space="preserve">professional examinations; </w:t>
      </w:r>
    </w:p>
    <w:p w14:paraId="4F45B73D" w14:textId="77777777" w:rsidR="006471F5" w:rsidRPr="000A1695" w:rsidRDefault="006471F5">
      <w:pPr>
        <w:pStyle w:val="ListParagraph"/>
        <w:numPr>
          <w:ilvl w:val="0"/>
          <w:numId w:val="41"/>
        </w:numPr>
        <w:tabs>
          <w:tab w:val="left" w:pos="709"/>
        </w:tabs>
        <w:suppressAutoHyphens w:val="0"/>
        <w:spacing w:after="120" w:line="240" w:lineRule="auto"/>
        <w:ind w:right="1134"/>
        <w:rPr>
          <w:lang w:eastAsia="en-GB"/>
        </w:rPr>
      </w:pPr>
      <w:r w:rsidRPr="000A1695">
        <w:rPr>
          <w:lang w:eastAsia="en-GB"/>
        </w:rPr>
        <w:t xml:space="preserve">participation in legal proceedings; and </w:t>
      </w:r>
    </w:p>
    <w:p w14:paraId="40938331" w14:textId="77777777" w:rsidR="006471F5" w:rsidRDefault="006471F5">
      <w:pPr>
        <w:pStyle w:val="ListParagraph"/>
        <w:numPr>
          <w:ilvl w:val="0"/>
          <w:numId w:val="41"/>
        </w:numPr>
        <w:tabs>
          <w:tab w:val="left" w:pos="709"/>
        </w:tabs>
        <w:suppressAutoHyphens w:val="0"/>
        <w:spacing w:after="120" w:line="240" w:lineRule="auto"/>
        <w:ind w:right="1134"/>
        <w:rPr>
          <w:lang w:eastAsia="en-GB"/>
        </w:rPr>
      </w:pPr>
      <w:r w:rsidRPr="000A1695">
        <w:rPr>
          <w:lang w:eastAsia="en-GB"/>
        </w:rPr>
        <w:t xml:space="preserve">engagement within professional associations. </w:t>
      </w:r>
    </w:p>
    <w:p w14:paraId="69A6ACAA" w14:textId="77777777" w:rsidR="00497C97" w:rsidRPr="000A1695" w:rsidRDefault="00497C97" w:rsidP="00497C97">
      <w:pPr>
        <w:tabs>
          <w:tab w:val="left" w:pos="709"/>
        </w:tabs>
        <w:suppressAutoHyphens w:val="0"/>
        <w:spacing w:after="120" w:line="240" w:lineRule="auto"/>
        <w:ind w:right="1134"/>
        <w:rPr>
          <w:lang w:eastAsia="en-GB"/>
        </w:rPr>
      </w:pPr>
    </w:p>
    <w:p w14:paraId="761CB515" w14:textId="33711A2E"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Developments within the professional qualification framework indicate a shift towards a single language of assessment. The Legal Practice Council has stated that:</w:t>
      </w:r>
      <w:r w:rsidR="00497C97">
        <w:rPr>
          <w:rStyle w:val="FootnoteReference"/>
          <w:lang w:eastAsia="en-GB"/>
        </w:rPr>
        <w:footnoteReference w:id="26"/>
      </w:r>
    </w:p>
    <w:p w14:paraId="465BCF01" w14:textId="77777777" w:rsidR="006471F5" w:rsidRDefault="006471F5" w:rsidP="00497C97">
      <w:pPr>
        <w:tabs>
          <w:tab w:val="left" w:pos="709"/>
        </w:tabs>
        <w:suppressAutoHyphens w:val="0"/>
        <w:spacing w:after="120" w:line="240" w:lineRule="auto"/>
        <w:ind w:left="1701" w:right="1134"/>
        <w:rPr>
          <w:b/>
          <w:bCs/>
          <w:lang w:eastAsia="en-GB"/>
        </w:rPr>
      </w:pPr>
      <w:r w:rsidRPr="00497C97">
        <w:rPr>
          <w:b/>
          <w:bCs/>
          <w:lang w:eastAsia="en-GB"/>
        </w:rPr>
        <w:t>“all future examinations will be presented and conducted in English only, and examination candidates will also be required to answer in English only”</w:t>
      </w:r>
    </w:p>
    <w:p w14:paraId="02B18876" w14:textId="77777777" w:rsidR="00497C97" w:rsidRPr="00497C97" w:rsidRDefault="00497C97" w:rsidP="00497C97">
      <w:pPr>
        <w:tabs>
          <w:tab w:val="left" w:pos="709"/>
        </w:tabs>
        <w:suppressAutoHyphens w:val="0"/>
        <w:spacing w:after="120" w:line="240" w:lineRule="auto"/>
        <w:ind w:left="1701" w:right="1134"/>
        <w:rPr>
          <w:b/>
          <w:bCs/>
          <w:lang w:eastAsia="en-GB"/>
        </w:rPr>
      </w:pPr>
    </w:p>
    <w:p w14:paraId="4B213440"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This represents a departure from a previous dual-language system.</w:t>
      </w:r>
    </w:p>
    <w:p w14:paraId="53DE61C0"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In addition, changes in language policy within higher education institutions have reduced the availability of Afrikaans as a language of instruction in legal studies.</w:t>
      </w:r>
    </w:p>
    <w:p w14:paraId="1558EF2D"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When considered cumulatively, developments in:</w:t>
      </w:r>
    </w:p>
    <w:p w14:paraId="0FDC3E75" w14:textId="77777777" w:rsidR="006471F5" w:rsidRPr="000A1695" w:rsidRDefault="006471F5">
      <w:pPr>
        <w:pStyle w:val="ListParagraph"/>
        <w:numPr>
          <w:ilvl w:val="0"/>
          <w:numId w:val="42"/>
        </w:numPr>
        <w:tabs>
          <w:tab w:val="left" w:pos="709"/>
        </w:tabs>
        <w:suppressAutoHyphens w:val="0"/>
        <w:spacing w:after="120" w:line="240" w:lineRule="auto"/>
        <w:ind w:right="1134"/>
        <w:rPr>
          <w:lang w:eastAsia="en-GB"/>
        </w:rPr>
      </w:pPr>
      <w:r w:rsidRPr="000A1695">
        <w:rPr>
          <w:lang w:eastAsia="en-GB"/>
        </w:rPr>
        <w:t xml:space="preserve">education; </w:t>
      </w:r>
    </w:p>
    <w:p w14:paraId="0F54CF52" w14:textId="77777777" w:rsidR="006471F5" w:rsidRPr="000A1695" w:rsidRDefault="006471F5">
      <w:pPr>
        <w:pStyle w:val="ListParagraph"/>
        <w:numPr>
          <w:ilvl w:val="0"/>
          <w:numId w:val="42"/>
        </w:numPr>
        <w:tabs>
          <w:tab w:val="left" w:pos="709"/>
        </w:tabs>
        <w:suppressAutoHyphens w:val="0"/>
        <w:spacing w:after="120" w:line="240" w:lineRule="auto"/>
        <w:ind w:right="1134"/>
        <w:rPr>
          <w:lang w:eastAsia="en-GB"/>
        </w:rPr>
      </w:pPr>
      <w:r w:rsidRPr="000A1695">
        <w:rPr>
          <w:lang w:eastAsia="en-GB"/>
        </w:rPr>
        <w:t xml:space="preserve">professional examinations; and </w:t>
      </w:r>
    </w:p>
    <w:p w14:paraId="43A234D6" w14:textId="77777777" w:rsidR="006471F5" w:rsidRDefault="006471F5">
      <w:pPr>
        <w:pStyle w:val="ListParagraph"/>
        <w:numPr>
          <w:ilvl w:val="0"/>
          <w:numId w:val="42"/>
        </w:numPr>
        <w:tabs>
          <w:tab w:val="left" w:pos="709"/>
        </w:tabs>
        <w:suppressAutoHyphens w:val="0"/>
        <w:spacing w:after="120" w:line="240" w:lineRule="auto"/>
        <w:ind w:right="1134"/>
        <w:rPr>
          <w:lang w:eastAsia="en-GB"/>
        </w:rPr>
      </w:pPr>
      <w:r w:rsidRPr="000A1695">
        <w:rPr>
          <w:lang w:eastAsia="en-GB"/>
        </w:rPr>
        <w:t xml:space="preserve">professional practice </w:t>
      </w:r>
    </w:p>
    <w:p w14:paraId="049B0C54" w14:textId="77777777" w:rsidR="00497C97" w:rsidRPr="000A1695" w:rsidRDefault="00497C97" w:rsidP="00497C97">
      <w:pPr>
        <w:tabs>
          <w:tab w:val="left" w:pos="709"/>
        </w:tabs>
        <w:suppressAutoHyphens w:val="0"/>
        <w:spacing w:after="120" w:line="240" w:lineRule="auto"/>
        <w:ind w:right="1134"/>
        <w:rPr>
          <w:lang w:eastAsia="en-GB"/>
        </w:rPr>
      </w:pPr>
    </w:p>
    <w:p w14:paraId="40D1CA7D"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may contribute to a </w:t>
      </w:r>
      <w:r w:rsidRPr="000A1695">
        <w:rPr>
          <w:b/>
          <w:bCs/>
          <w:lang w:eastAsia="en-GB"/>
        </w:rPr>
        <w:t>progressive reduction in the availability of certain languages as functional tools within the legal profession</w:t>
      </w:r>
      <w:r w:rsidRPr="000A1695">
        <w:rPr>
          <w:lang w:eastAsia="en-GB"/>
        </w:rPr>
        <w:t>.</w:t>
      </w:r>
    </w:p>
    <w:p w14:paraId="4B51E198"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While each measure may pursue legitimate objectives, their combined effect may influence:</w:t>
      </w:r>
    </w:p>
    <w:p w14:paraId="1F48694D" w14:textId="77777777" w:rsidR="006471F5" w:rsidRPr="000A1695" w:rsidRDefault="006471F5">
      <w:pPr>
        <w:pStyle w:val="ListParagraph"/>
        <w:numPr>
          <w:ilvl w:val="0"/>
          <w:numId w:val="43"/>
        </w:numPr>
        <w:tabs>
          <w:tab w:val="left" w:pos="709"/>
        </w:tabs>
        <w:suppressAutoHyphens w:val="0"/>
        <w:spacing w:after="120" w:line="240" w:lineRule="auto"/>
        <w:ind w:right="1134"/>
        <w:rPr>
          <w:lang w:eastAsia="en-GB"/>
        </w:rPr>
      </w:pPr>
      <w:r w:rsidRPr="000A1695">
        <w:rPr>
          <w:lang w:eastAsia="en-GB"/>
        </w:rPr>
        <w:t xml:space="preserve">access to the profession; </w:t>
      </w:r>
    </w:p>
    <w:p w14:paraId="37FC63B9" w14:textId="77777777" w:rsidR="006471F5" w:rsidRPr="000A1695" w:rsidRDefault="006471F5">
      <w:pPr>
        <w:pStyle w:val="ListParagraph"/>
        <w:numPr>
          <w:ilvl w:val="0"/>
          <w:numId w:val="43"/>
        </w:numPr>
        <w:tabs>
          <w:tab w:val="left" w:pos="709"/>
        </w:tabs>
        <w:suppressAutoHyphens w:val="0"/>
        <w:spacing w:after="120" w:line="240" w:lineRule="auto"/>
        <w:ind w:right="1134"/>
        <w:rPr>
          <w:lang w:eastAsia="en-GB"/>
        </w:rPr>
      </w:pPr>
      <w:r w:rsidRPr="000A1695">
        <w:rPr>
          <w:lang w:eastAsia="en-GB"/>
        </w:rPr>
        <w:t xml:space="preserve">effective participation in professional life; and </w:t>
      </w:r>
    </w:p>
    <w:p w14:paraId="688A8540" w14:textId="77777777" w:rsidR="006471F5" w:rsidRDefault="006471F5">
      <w:pPr>
        <w:pStyle w:val="ListParagraph"/>
        <w:numPr>
          <w:ilvl w:val="0"/>
          <w:numId w:val="43"/>
        </w:numPr>
        <w:tabs>
          <w:tab w:val="left" w:pos="709"/>
        </w:tabs>
        <w:suppressAutoHyphens w:val="0"/>
        <w:spacing w:after="120" w:line="240" w:lineRule="auto"/>
        <w:ind w:right="1134"/>
        <w:rPr>
          <w:lang w:eastAsia="en-GB"/>
        </w:rPr>
      </w:pPr>
      <w:r w:rsidRPr="000A1695">
        <w:rPr>
          <w:lang w:eastAsia="en-GB"/>
        </w:rPr>
        <w:t xml:space="preserve">engagement within associations. </w:t>
      </w:r>
    </w:p>
    <w:p w14:paraId="2526C84F" w14:textId="5C94EE7E" w:rsidR="006471F5" w:rsidRPr="000A1695" w:rsidRDefault="006471F5" w:rsidP="000127D1">
      <w:pPr>
        <w:tabs>
          <w:tab w:val="left" w:pos="709"/>
        </w:tabs>
        <w:suppressAutoHyphens w:val="0"/>
        <w:spacing w:after="120" w:line="240" w:lineRule="auto"/>
        <w:ind w:left="1134" w:right="1134"/>
        <w:rPr>
          <w:lang w:eastAsia="en-GB"/>
        </w:rPr>
      </w:pPr>
    </w:p>
    <w:p w14:paraId="5BDF534B" w14:textId="0696364C" w:rsidR="006471F5" w:rsidRPr="000A1695" w:rsidRDefault="00497C97" w:rsidP="00497C97">
      <w:pPr>
        <w:tabs>
          <w:tab w:val="left" w:pos="709"/>
        </w:tabs>
        <w:suppressAutoHyphens w:val="0"/>
        <w:spacing w:after="120" w:line="240" w:lineRule="auto"/>
        <w:ind w:right="1134"/>
        <w:rPr>
          <w:b/>
          <w:bCs/>
          <w:lang w:eastAsia="en-GB"/>
        </w:rPr>
      </w:pPr>
      <w:r>
        <w:rPr>
          <w:b/>
          <w:bCs/>
          <w:lang w:eastAsia="en-GB"/>
        </w:rPr>
        <w:tab/>
      </w:r>
      <w:r w:rsidR="006471F5" w:rsidRPr="000A1695">
        <w:rPr>
          <w:b/>
          <w:bCs/>
          <w:lang w:eastAsia="en-GB"/>
        </w:rPr>
        <w:t>4.5 Professional Qualification, Transparency, and Participation</w:t>
      </w:r>
    </w:p>
    <w:p w14:paraId="218B40DC"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Professional qualification systems, including examinations and admission processes, play a central role in determining access to the legal profession.</w:t>
      </w:r>
    </w:p>
    <w:p w14:paraId="7643FEE0"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Access to information relating to these systems is important for ensuring transparency and enabling meaningful participation. Instances where information is not readily accessible, or where engagement with regulatory bodies is limited in practice, may affect the ability of individuals and associations to:</w:t>
      </w:r>
    </w:p>
    <w:p w14:paraId="2995D81A" w14:textId="77777777" w:rsidR="006471F5" w:rsidRPr="000A1695" w:rsidRDefault="006471F5">
      <w:pPr>
        <w:pStyle w:val="ListParagraph"/>
        <w:numPr>
          <w:ilvl w:val="0"/>
          <w:numId w:val="44"/>
        </w:numPr>
        <w:tabs>
          <w:tab w:val="left" w:pos="709"/>
        </w:tabs>
        <w:suppressAutoHyphens w:val="0"/>
        <w:spacing w:after="120" w:line="240" w:lineRule="auto"/>
        <w:ind w:right="1134"/>
        <w:rPr>
          <w:lang w:eastAsia="en-GB"/>
        </w:rPr>
      </w:pPr>
      <w:r w:rsidRPr="000A1695">
        <w:rPr>
          <w:lang w:eastAsia="en-GB"/>
        </w:rPr>
        <w:t xml:space="preserve">understand regulatory processes; </w:t>
      </w:r>
    </w:p>
    <w:p w14:paraId="749039AE" w14:textId="77777777" w:rsidR="006471F5" w:rsidRPr="000A1695" w:rsidRDefault="006471F5">
      <w:pPr>
        <w:pStyle w:val="ListParagraph"/>
        <w:numPr>
          <w:ilvl w:val="0"/>
          <w:numId w:val="44"/>
        </w:numPr>
        <w:tabs>
          <w:tab w:val="left" w:pos="709"/>
        </w:tabs>
        <w:suppressAutoHyphens w:val="0"/>
        <w:spacing w:after="120" w:line="240" w:lineRule="auto"/>
        <w:ind w:right="1134"/>
        <w:rPr>
          <w:lang w:eastAsia="en-GB"/>
        </w:rPr>
      </w:pPr>
      <w:r w:rsidRPr="000A1695">
        <w:rPr>
          <w:lang w:eastAsia="en-GB"/>
        </w:rPr>
        <w:t xml:space="preserve">assess professional standards; and </w:t>
      </w:r>
    </w:p>
    <w:p w14:paraId="5C01B90D" w14:textId="005324E6" w:rsidR="006471F5" w:rsidRDefault="006471F5">
      <w:pPr>
        <w:pStyle w:val="ListParagraph"/>
        <w:numPr>
          <w:ilvl w:val="0"/>
          <w:numId w:val="44"/>
        </w:numPr>
        <w:tabs>
          <w:tab w:val="left" w:pos="709"/>
        </w:tabs>
        <w:suppressAutoHyphens w:val="0"/>
        <w:spacing w:after="120" w:line="240" w:lineRule="auto"/>
        <w:ind w:right="1134"/>
        <w:rPr>
          <w:lang w:eastAsia="en-GB"/>
        </w:rPr>
      </w:pPr>
      <w:r w:rsidRPr="000A1695">
        <w:rPr>
          <w:lang w:eastAsia="en-GB"/>
        </w:rPr>
        <w:t>participate in discussions relating to the development of the profession.</w:t>
      </w:r>
      <w:r w:rsidR="00497C97">
        <w:rPr>
          <w:rStyle w:val="FootnoteReference"/>
          <w:lang w:eastAsia="en-GB"/>
        </w:rPr>
        <w:footnoteReference w:id="27"/>
      </w:r>
    </w:p>
    <w:p w14:paraId="1314D6B7" w14:textId="77777777" w:rsidR="00497C97" w:rsidRPr="000A1695" w:rsidRDefault="00497C97" w:rsidP="00497C97">
      <w:pPr>
        <w:tabs>
          <w:tab w:val="left" w:pos="709"/>
        </w:tabs>
        <w:suppressAutoHyphens w:val="0"/>
        <w:spacing w:after="120" w:line="240" w:lineRule="auto"/>
        <w:ind w:right="1134"/>
        <w:rPr>
          <w:lang w:eastAsia="en-GB"/>
        </w:rPr>
      </w:pPr>
    </w:p>
    <w:p w14:paraId="492516D7"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Such limitations may not constitute formal restrictions, but may operate as </w:t>
      </w:r>
      <w:r w:rsidRPr="000A1695">
        <w:rPr>
          <w:b/>
          <w:bCs/>
          <w:lang w:eastAsia="en-GB"/>
        </w:rPr>
        <w:t>practical barriers to participation</w:t>
      </w:r>
      <w:r w:rsidRPr="000A1695">
        <w:rPr>
          <w:lang w:eastAsia="en-GB"/>
        </w:rPr>
        <w:t>, particularly where they affect the ability to engage with institutions that shape professional life.</w:t>
      </w:r>
    </w:p>
    <w:p w14:paraId="2EEA1E42" w14:textId="68A01762" w:rsidR="006471F5" w:rsidRPr="000A1695" w:rsidRDefault="006471F5" w:rsidP="000127D1">
      <w:pPr>
        <w:tabs>
          <w:tab w:val="left" w:pos="709"/>
        </w:tabs>
        <w:suppressAutoHyphens w:val="0"/>
        <w:spacing w:after="120" w:line="240" w:lineRule="auto"/>
        <w:ind w:left="1134" w:right="1134"/>
        <w:rPr>
          <w:lang w:eastAsia="en-GB"/>
        </w:rPr>
      </w:pPr>
    </w:p>
    <w:p w14:paraId="66978FE2" w14:textId="7E0FA6D6" w:rsidR="006471F5" w:rsidRPr="000A1695" w:rsidRDefault="00497C97" w:rsidP="00497C97">
      <w:pPr>
        <w:tabs>
          <w:tab w:val="left" w:pos="709"/>
        </w:tabs>
        <w:suppressAutoHyphens w:val="0"/>
        <w:spacing w:after="120" w:line="240" w:lineRule="auto"/>
        <w:ind w:right="1134"/>
        <w:rPr>
          <w:b/>
          <w:bCs/>
          <w:lang w:eastAsia="en-GB"/>
        </w:rPr>
      </w:pPr>
      <w:r>
        <w:rPr>
          <w:b/>
          <w:bCs/>
          <w:lang w:eastAsia="en-GB"/>
        </w:rPr>
        <w:tab/>
      </w:r>
      <w:r w:rsidR="006471F5" w:rsidRPr="000A1695">
        <w:rPr>
          <w:b/>
          <w:bCs/>
          <w:lang w:eastAsia="en-GB"/>
        </w:rPr>
        <w:t>4.6 Consultation and Regulatory Development</w:t>
      </w:r>
    </w:p>
    <w:p w14:paraId="5F77BCFF"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Participation in regulatory and policy development processes is an important aspect of freedom of association.</w:t>
      </w:r>
    </w:p>
    <w:p w14:paraId="0F9A720F" w14:textId="3A3E9590"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The development of frameworks such as the Legal Sector Code involved consultation with a range of established organisations within the legal profession.</w:t>
      </w:r>
      <w:r w:rsidR="00497C97">
        <w:rPr>
          <w:rStyle w:val="FootnoteReference"/>
          <w:lang w:eastAsia="en-GB"/>
        </w:rPr>
        <w:footnoteReference w:id="28"/>
      </w:r>
    </w:p>
    <w:p w14:paraId="331660BF"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However, where consultation processes primarily involve:</w:t>
      </w:r>
    </w:p>
    <w:p w14:paraId="7C8A5B2C" w14:textId="77777777" w:rsidR="006471F5" w:rsidRPr="000A1695" w:rsidRDefault="006471F5">
      <w:pPr>
        <w:pStyle w:val="ListParagraph"/>
        <w:numPr>
          <w:ilvl w:val="0"/>
          <w:numId w:val="45"/>
        </w:numPr>
        <w:tabs>
          <w:tab w:val="left" w:pos="709"/>
        </w:tabs>
        <w:suppressAutoHyphens w:val="0"/>
        <w:spacing w:after="120" w:line="240" w:lineRule="auto"/>
        <w:ind w:right="1134"/>
        <w:rPr>
          <w:lang w:eastAsia="en-GB"/>
        </w:rPr>
      </w:pPr>
      <w:r w:rsidRPr="000A1695">
        <w:rPr>
          <w:lang w:eastAsia="en-GB"/>
        </w:rPr>
        <w:t xml:space="preserve">recognised or established bodies; or </w:t>
      </w:r>
    </w:p>
    <w:p w14:paraId="62D89461" w14:textId="77777777" w:rsidR="006471F5" w:rsidRDefault="006471F5">
      <w:pPr>
        <w:pStyle w:val="ListParagraph"/>
        <w:numPr>
          <w:ilvl w:val="0"/>
          <w:numId w:val="45"/>
        </w:numPr>
        <w:tabs>
          <w:tab w:val="left" w:pos="709"/>
        </w:tabs>
        <w:suppressAutoHyphens w:val="0"/>
        <w:spacing w:after="120" w:line="240" w:lineRule="auto"/>
        <w:ind w:right="1134"/>
        <w:rPr>
          <w:lang w:eastAsia="en-GB"/>
        </w:rPr>
      </w:pPr>
      <w:r w:rsidRPr="000A1695">
        <w:rPr>
          <w:lang w:eastAsia="en-GB"/>
        </w:rPr>
        <w:t xml:space="preserve">organisations aligned with existing frameworks </w:t>
      </w:r>
    </w:p>
    <w:p w14:paraId="0E05E858" w14:textId="77777777" w:rsidR="00497C97" w:rsidRPr="000A1695" w:rsidRDefault="00497C97" w:rsidP="00497C97">
      <w:pPr>
        <w:tabs>
          <w:tab w:val="left" w:pos="709"/>
        </w:tabs>
        <w:suppressAutoHyphens w:val="0"/>
        <w:spacing w:after="120" w:line="240" w:lineRule="auto"/>
        <w:ind w:right="1134"/>
        <w:rPr>
          <w:lang w:eastAsia="en-GB"/>
        </w:rPr>
      </w:pPr>
    </w:p>
    <w:p w14:paraId="29C12E92"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questions may arise regarding:</w:t>
      </w:r>
    </w:p>
    <w:p w14:paraId="73246F01" w14:textId="77777777" w:rsidR="006471F5" w:rsidRPr="000A1695" w:rsidRDefault="006471F5">
      <w:pPr>
        <w:pStyle w:val="ListParagraph"/>
        <w:numPr>
          <w:ilvl w:val="0"/>
          <w:numId w:val="46"/>
        </w:numPr>
        <w:tabs>
          <w:tab w:val="left" w:pos="709"/>
        </w:tabs>
        <w:suppressAutoHyphens w:val="0"/>
        <w:spacing w:after="120" w:line="240" w:lineRule="auto"/>
        <w:ind w:right="1134"/>
        <w:rPr>
          <w:lang w:eastAsia="en-GB"/>
        </w:rPr>
      </w:pPr>
      <w:r w:rsidRPr="000A1695">
        <w:rPr>
          <w:lang w:eastAsia="en-GB"/>
        </w:rPr>
        <w:t xml:space="preserve">the inclusivity of participation; and </w:t>
      </w:r>
    </w:p>
    <w:p w14:paraId="57C35CA4" w14:textId="77777777" w:rsidR="006471F5" w:rsidRPr="000A1695" w:rsidRDefault="006471F5">
      <w:pPr>
        <w:pStyle w:val="ListParagraph"/>
        <w:numPr>
          <w:ilvl w:val="0"/>
          <w:numId w:val="46"/>
        </w:numPr>
        <w:tabs>
          <w:tab w:val="left" w:pos="709"/>
        </w:tabs>
        <w:suppressAutoHyphens w:val="0"/>
        <w:spacing w:after="120" w:line="240" w:lineRule="auto"/>
        <w:ind w:right="1134"/>
        <w:rPr>
          <w:lang w:eastAsia="en-GB"/>
        </w:rPr>
      </w:pPr>
      <w:r w:rsidRPr="000A1695">
        <w:rPr>
          <w:lang w:eastAsia="en-GB"/>
        </w:rPr>
        <w:t xml:space="preserve">the extent to which diverse or dissenting perspectives are represented and considered. </w:t>
      </w:r>
    </w:p>
    <w:p w14:paraId="7CC5F357"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The structure of consultation processes may therefore influence the </w:t>
      </w:r>
      <w:r w:rsidRPr="000A1695">
        <w:rPr>
          <w:b/>
          <w:bCs/>
          <w:lang w:eastAsia="en-GB"/>
        </w:rPr>
        <w:t>range of viewpoints reflected in regulatory outcomes</w:t>
      </w:r>
      <w:r w:rsidRPr="000A1695">
        <w:rPr>
          <w:lang w:eastAsia="en-GB"/>
        </w:rPr>
        <w:t>, and the ability of associations to contribute meaningfully to policy development.</w:t>
      </w:r>
    </w:p>
    <w:p w14:paraId="511542CC" w14:textId="4C6F1773" w:rsidR="006471F5" w:rsidRPr="000A1695" w:rsidRDefault="006471F5" w:rsidP="000127D1">
      <w:pPr>
        <w:tabs>
          <w:tab w:val="left" w:pos="709"/>
        </w:tabs>
        <w:suppressAutoHyphens w:val="0"/>
        <w:spacing w:after="120" w:line="240" w:lineRule="auto"/>
        <w:ind w:left="1134" w:right="1134"/>
        <w:rPr>
          <w:lang w:eastAsia="en-GB"/>
        </w:rPr>
      </w:pPr>
    </w:p>
    <w:p w14:paraId="37B05F0E" w14:textId="5CE38200" w:rsidR="006471F5" w:rsidRPr="000A1695" w:rsidRDefault="00497C97" w:rsidP="00497C97">
      <w:pPr>
        <w:tabs>
          <w:tab w:val="left" w:pos="709"/>
        </w:tabs>
        <w:suppressAutoHyphens w:val="0"/>
        <w:spacing w:after="120" w:line="240" w:lineRule="auto"/>
        <w:ind w:right="1134"/>
        <w:rPr>
          <w:b/>
          <w:bCs/>
          <w:lang w:eastAsia="en-GB"/>
        </w:rPr>
      </w:pPr>
      <w:r>
        <w:rPr>
          <w:b/>
          <w:bCs/>
          <w:lang w:eastAsia="en-GB"/>
        </w:rPr>
        <w:tab/>
      </w:r>
      <w:r w:rsidR="006471F5" w:rsidRPr="000A1695">
        <w:rPr>
          <w:b/>
          <w:bCs/>
          <w:lang w:eastAsia="en-GB"/>
        </w:rPr>
        <w:t>4.7 Concluding Observations on Cumulative Effects</w:t>
      </w:r>
    </w:p>
    <w:p w14:paraId="043B78DA"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 xml:space="preserve">The considerations outlined above illustrate that the conditions affecting freedom of association may arise not from a single measure, but from the </w:t>
      </w:r>
      <w:r w:rsidRPr="000A1695">
        <w:rPr>
          <w:b/>
          <w:bCs/>
          <w:lang w:eastAsia="en-GB"/>
        </w:rPr>
        <w:t>interaction of multiple structural and institutional factors</w:t>
      </w:r>
      <w:r w:rsidRPr="000A1695">
        <w:rPr>
          <w:lang w:eastAsia="en-GB"/>
        </w:rPr>
        <w:t>.</w:t>
      </w:r>
    </w:p>
    <w:p w14:paraId="7897F1B9"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These include:</w:t>
      </w:r>
    </w:p>
    <w:p w14:paraId="78213EB0" w14:textId="77777777" w:rsidR="006471F5" w:rsidRPr="000A1695" w:rsidRDefault="006471F5">
      <w:pPr>
        <w:pStyle w:val="ListParagraph"/>
        <w:numPr>
          <w:ilvl w:val="0"/>
          <w:numId w:val="47"/>
        </w:numPr>
        <w:tabs>
          <w:tab w:val="left" w:pos="709"/>
        </w:tabs>
        <w:suppressAutoHyphens w:val="0"/>
        <w:spacing w:after="120" w:line="240" w:lineRule="auto"/>
        <w:ind w:right="1134"/>
        <w:rPr>
          <w:lang w:eastAsia="en-GB"/>
        </w:rPr>
      </w:pPr>
      <w:r w:rsidRPr="000A1695">
        <w:rPr>
          <w:lang w:eastAsia="en-GB"/>
        </w:rPr>
        <w:t xml:space="preserve">centralised professional regulation; </w:t>
      </w:r>
    </w:p>
    <w:p w14:paraId="2E6EE923" w14:textId="77777777" w:rsidR="006471F5" w:rsidRPr="000A1695" w:rsidRDefault="006471F5">
      <w:pPr>
        <w:pStyle w:val="ListParagraph"/>
        <w:numPr>
          <w:ilvl w:val="0"/>
          <w:numId w:val="47"/>
        </w:numPr>
        <w:tabs>
          <w:tab w:val="left" w:pos="709"/>
        </w:tabs>
        <w:suppressAutoHyphens w:val="0"/>
        <w:spacing w:after="120" w:line="240" w:lineRule="auto"/>
        <w:ind w:right="1134"/>
        <w:rPr>
          <w:lang w:eastAsia="en-GB"/>
        </w:rPr>
      </w:pPr>
      <w:r w:rsidRPr="000A1695">
        <w:rPr>
          <w:lang w:eastAsia="en-GB"/>
        </w:rPr>
        <w:t xml:space="preserve">the relationship between education and professional entry; </w:t>
      </w:r>
    </w:p>
    <w:p w14:paraId="6FF2BFA6" w14:textId="77777777" w:rsidR="006471F5" w:rsidRPr="000A1695" w:rsidRDefault="006471F5">
      <w:pPr>
        <w:pStyle w:val="ListParagraph"/>
        <w:numPr>
          <w:ilvl w:val="0"/>
          <w:numId w:val="47"/>
        </w:numPr>
        <w:tabs>
          <w:tab w:val="left" w:pos="709"/>
        </w:tabs>
        <w:suppressAutoHyphens w:val="0"/>
        <w:spacing w:after="120" w:line="240" w:lineRule="auto"/>
        <w:ind w:right="1134"/>
        <w:rPr>
          <w:lang w:eastAsia="en-GB"/>
        </w:rPr>
      </w:pPr>
      <w:r w:rsidRPr="000A1695">
        <w:rPr>
          <w:lang w:eastAsia="en-GB"/>
        </w:rPr>
        <w:t xml:space="preserve">language policies affecting access and participation; </w:t>
      </w:r>
    </w:p>
    <w:p w14:paraId="4EAF3EA3" w14:textId="77777777" w:rsidR="006471F5" w:rsidRPr="000A1695" w:rsidRDefault="006471F5">
      <w:pPr>
        <w:pStyle w:val="ListParagraph"/>
        <w:numPr>
          <w:ilvl w:val="0"/>
          <w:numId w:val="47"/>
        </w:numPr>
        <w:tabs>
          <w:tab w:val="left" w:pos="709"/>
        </w:tabs>
        <w:suppressAutoHyphens w:val="0"/>
        <w:spacing w:after="120" w:line="240" w:lineRule="auto"/>
        <w:ind w:right="1134"/>
        <w:rPr>
          <w:lang w:eastAsia="en-GB"/>
        </w:rPr>
      </w:pPr>
      <w:r w:rsidRPr="000A1695">
        <w:rPr>
          <w:lang w:eastAsia="en-GB"/>
        </w:rPr>
        <w:t xml:space="preserve">the design and recognition of associations; and </w:t>
      </w:r>
    </w:p>
    <w:p w14:paraId="3402CC75" w14:textId="77777777" w:rsidR="006471F5" w:rsidRDefault="006471F5">
      <w:pPr>
        <w:pStyle w:val="ListParagraph"/>
        <w:numPr>
          <w:ilvl w:val="0"/>
          <w:numId w:val="47"/>
        </w:numPr>
        <w:tabs>
          <w:tab w:val="left" w:pos="709"/>
        </w:tabs>
        <w:suppressAutoHyphens w:val="0"/>
        <w:spacing w:after="120" w:line="240" w:lineRule="auto"/>
        <w:ind w:right="1134"/>
        <w:rPr>
          <w:lang w:eastAsia="en-GB"/>
        </w:rPr>
      </w:pPr>
      <w:r w:rsidRPr="000A1695">
        <w:rPr>
          <w:lang w:eastAsia="en-GB"/>
        </w:rPr>
        <w:t xml:space="preserve">the practical conditions of engagement with regulatory bodies. </w:t>
      </w:r>
    </w:p>
    <w:p w14:paraId="57ED4F36" w14:textId="77777777" w:rsidR="00497C97" w:rsidRPr="000A1695" w:rsidRDefault="00497C97" w:rsidP="00497C97">
      <w:pPr>
        <w:tabs>
          <w:tab w:val="left" w:pos="709"/>
        </w:tabs>
        <w:suppressAutoHyphens w:val="0"/>
        <w:spacing w:after="120" w:line="240" w:lineRule="auto"/>
        <w:ind w:right="1134"/>
        <w:rPr>
          <w:lang w:eastAsia="en-GB"/>
        </w:rPr>
      </w:pPr>
    </w:p>
    <w:p w14:paraId="6A6A64CA" w14:textId="77777777" w:rsidR="006471F5" w:rsidRPr="000A1695" w:rsidRDefault="006471F5" w:rsidP="000127D1">
      <w:pPr>
        <w:tabs>
          <w:tab w:val="left" w:pos="709"/>
        </w:tabs>
        <w:suppressAutoHyphens w:val="0"/>
        <w:spacing w:after="120" w:line="240" w:lineRule="auto"/>
        <w:ind w:left="1134" w:right="1134"/>
        <w:rPr>
          <w:lang w:eastAsia="en-GB"/>
        </w:rPr>
      </w:pPr>
      <w:r w:rsidRPr="000A1695">
        <w:rPr>
          <w:lang w:eastAsia="en-GB"/>
        </w:rPr>
        <w:t>Individually, such measures may pursue legitimate objectives. However, when considered cumulatively, they may influence:</w:t>
      </w:r>
    </w:p>
    <w:p w14:paraId="0EA993BE" w14:textId="77777777" w:rsidR="006471F5" w:rsidRPr="000A1695" w:rsidRDefault="006471F5">
      <w:pPr>
        <w:pStyle w:val="ListParagraph"/>
        <w:numPr>
          <w:ilvl w:val="0"/>
          <w:numId w:val="48"/>
        </w:numPr>
        <w:tabs>
          <w:tab w:val="left" w:pos="709"/>
        </w:tabs>
        <w:suppressAutoHyphens w:val="0"/>
        <w:spacing w:after="120" w:line="240" w:lineRule="auto"/>
        <w:ind w:right="1134"/>
        <w:rPr>
          <w:lang w:eastAsia="en-GB"/>
        </w:rPr>
      </w:pPr>
      <w:r w:rsidRPr="000A1695">
        <w:rPr>
          <w:lang w:eastAsia="en-GB"/>
        </w:rPr>
        <w:t xml:space="preserve">access to the profession; </w:t>
      </w:r>
    </w:p>
    <w:p w14:paraId="1A95AB41" w14:textId="77777777" w:rsidR="006471F5" w:rsidRPr="000A1695" w:rsidRDefault="006471F5">
      <w:pPr>
        <w:pStyle w:val="ListParagraph"/>
        <w:numPr>
          <w:ilvl w:val="0"/>
          <w:numId w:val="48"/>
        </w:numPr>
        <w:tabs>
          <w:tab w:val="left" w:pos="709"/>
        </w:tabs>
        <w:suppressAutoHyphens w:val="0"/>
        <w:spacing w:after="120" w:line="240" w:lineRule="auto"/>
        <w:ind w:right="1134"/>
        <w:rPr>
          <w:lang w:eastAsia="en-GB"/>
        </w:rPr>
      </w:pPr>
      <w:r w:rsidRPr="000A1695">
        <w:rPr>
          <w:lang w:eastAsia="en-GB"/>
        </w:rPr>
        <w:t xml:space="preserve">diversity within professional and associational life; and </w:t>
      </w:r>
    </w:p>
    <w:p w14:paraId="7AD79E2C" w14:textId="77777777" w:rsidR="006471F5" w:rsidRDefault="006471F5">
      <w:pPr>
        <w:pStyle w:val="ListParagraph"/>
        <w:numPr>
          <w:ilvl w:val="0"/>
          <w:numId w:val="48"/>
        </w:numPr>
        <w:tabs>
          <w:tab w:val="left" w:pos="709"/>
        </w:tabs>
        <w:suppressAutoHyphens w:val="0"/>
        <w:spacing w:after="120" w:line="240" w:lineRule="auto"/>
        <w:ind w:right="1134"/>
        <w:rPr>
          <w:lang w:eastAsia="en-GB"/>
        </w:rPr>
      </w:pPr>
      <w:r w:rsidRPr="000A1695">
        <w:rPr>
          <w:lang w:eastAsia="en-GB"/>
        </w:rPr>
        <w:t xml:space="preserve">the ability of associations to function as meaningful participants in the professional system. </w:t>
      </w:r>
    </w:p>
    <w:p w14:paraId="02AF3E75" w14:textId="77777777" w:rsidR="00497C97" w:rsidRPr="000A1695" w:rsidRDefault="00497C97" w:rsidP="00497C97">
      <w:pPr>
        <w:tabs>
          <w:tab w:val="left" w:pos="709"/>
        </w:tabs>
        <w:suppressAutoHyphens w:val="0"/>
        <w:spacing w:after="120" w:line="240" w:lineRule="auto"/>
        <w:ind w:right="1134"/>
        <w:rPr>
          <w:lang w:eastAsia="en-GB"/>
        </w:rPr>
      </w:pPr>
    </w:p>
    <w:p w14:paraId="3CDBFBB7" w14:textId="77777777" w:rsidR="006471F5" w:rsidRDefault="006471F5" w:rsidP="000127D1">
      <w:pPr>
        <w:tabs>
          <w:tab w:val="left" w:pos="709"/>
        </w:tabs>
        <w:suppressAutoHyphens w:val="0"/>
        <w:spacing w:after="120" w:line="240" w:lineRule="auto"/>
        <w:ind w:left="1134" w:right="1134"/>
        <w:rPr>
          <w:lang w:eastAsia="en-GB"/>
        </w:rPr>
      </w:pPr>
      <w:r w:rsidRPr="000A1695">
        <w:rPr>
          <w:lang w:eastAsia="en-GB"/>
        </w:rPr>
        <w:t xml:space="preserve">This cumulative perspective is consistent with paragraphs 30 and 34 of the Draft General Comment and is essential to assessing whether freedom of association is </w:t>
      </w:r>
      <w:r w:rsidRPr="000A1695">
        <w:rPr>
          <w:b/>
          <w:bCs/>
          <w:lang w:eastAsia="en-GB"/>
        </w:rPr>
        <w:t>effectively realised in practice</w:t>
      </w:r>
      <w:r w:rsidRPr="000A1695">
        <w:rPr>
          <w:lang w:eastAsia="en-GB"/>
        </w:rPr>
        <w:t>.</w:t>
      </w:r>
    </w:p>
    <w:p w14:paraId="7958533E" w14:textId="26231428" w:rsidR="008055EC" w:rsidRPr="008055EC" w:rsidRDefault="008055EC" w:rsidP="008055EC">
      <w:pPr>
        <w:pStyle w:val="HChG"/>
        <w:tabs>
          <w:tab w:val="left" w:pos="709"/>
        </w:tabs>
      </w:pPr>
      <w:r w:rsidRPr="009E5CAE">
        <w:tab/>
      </w:r>
      <w:r>
        <w:t>5</w:t>
      </w:r>
      <w:r w:rsidRPr="009E5CAE">
        <w:t>.</w:t>
      </w:r>
      <w:r w:rsidRPr="009E5CAE">
        <w:tab/>
      </w:r>
      <w:r>
        <w:t>Cross-Cutting Principles and Conclusion</w:t>
      </w:r>
    </w:p>
    <w:p w14:paraId="019D7747" w14:textId="77777777" w:rsidR="008055EC" w:rsidRDefault="008055EC" w:rsidP="008055EC">
      <w:pPr>
        <w:tabs>
          <w:tab w:val="left" w:pos="709"/>
        </w:tabs>
        <w:suppressAutoHyphens w:val="0"/>
        <w:spacing w:after="120" w:line="240" w:lineRule="auto"/>
        <w:ind w:right="1134"/>
        <w:rPr>
          <w:b/>
          <w:bCs/>
          <w:lang w:eastAsia="en-GB"/>
        </w:rPr>
      </w:pPr>
    </w:p>
    <w:p w14:paraId="758AA1C6" w14:textId="10F597F7" w:rsidR="000813D5" w:rsidRPr="000A1695" w:rsidRDefault="008055EC" w:rsidP="008055EC">
      <w:pPr>
        <w:tabs>
          <w:tab w:val="left" w:pos="709"/>
        </w:tabs>
        <w:suppressAutoHyphens w:val="0"/>
        <w:spacing w:after="120" w:line="240" w:lineRule="auto"/>
        <w:ind w:right="1134"/>
        <w:rPr>
          <w:b/>
          <w:bCs/>
          <w:lang w:eastAsia="en-GB"/>
        </w:rPr>
      </w:pPr>
      <w:r>
        <w:rPr>
          <w:b/>
          <w:bCs/>
          <w:lang w:eastAsia="en-GB"/>
        </w:rPr>
        <w:tab/>
      </w:r>
      <w:r w:rsidR="000813D5" w:rsidRPr="000A1695">
        <w:rPr>
          <w:b/>
          <w:bCs/>
          <w:lang w:eastAsia="en-GB"/>
        </w:rPr>
        <w:t>5.1 Pluralism as a Foundational Principle</w:t>
      </w:r>
    </w:p>
    <w:p w14:paraId="626D2F80"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Freedom of association under Article 22 is closely linked to the principle of </w:t>
      </w:r>
      <w:r w:rsidRPr="000A1695">
        <w:rPr>
          <w:b/>
          <w:bCs/>
          <w:lang w:eastAsia="en-GB"/>
        </w:rPr>
        <w:t>pluralism</w:t>
      </w:r>
      <w:r w:rsidRPr="000A1695">
        <w:rPr>
          <w:lang w:eastAsia="en-GB"/>
        </w:rPr>
        <w:t>, which requires that individuals are able to organise in a variety of forms and participate in institutional life through diverse structures.</w:t>
      </w:r>
    </w:p>
    <w:p w14:paraId="11C42409"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Pluralism in professional contexts includes:</w:t>
      </w:r>
    </w:p>
    <w:p w14:paraId="2CA71B47" w14:textId="77777777" w:rsidR="000813D5" w:rsidRPr="000A1695" w:rsidRDefault="000813D5">
      <w:pPr>
        <w:pStyle w:val="ListParagraph"/>
        <w:numPr>
          <w:ilvl w:val="0"/>
          <w:numId w:val="49"/>
        </w:numPr>
        <w:tabs>
          <w:tab w:val="left" w:pos="709"/>
        </w:tabs>
        <w:suppressAutoHyphens w:val="0"/>
        <w:spacing w:after="120" w:line="240" w:lineRule="auto"/>
        <w:ind w:right="1134"/>
        <w:rPr>
          <w:lang w:eastAsia="en-GB"/>
        </w:rPr>
      </w:pPr>
      <w:r w:rsidRPr="000A1695">
        <w:rPr>
          <w:lang w:eastAsia="en-GB"/>
        </w:rPr>
        <w:t xml:space="preserve">the existence of multiple associations; </w:t>
      </w:r>
    </w:p>
    <w:p w14:paraId="21CE3A80" w14:textId="77777777" w:rsidR="000813D5" w:rsidRPr="000A1695" w:rsidRDefault="000813D5">
      <w:pPr>
        <w:pStyle w:val="ListParagraph"/>
        <w:numPr>
          <w:ilvl w:val="0"/>
          <w:numId w:val="49"/>
        </w:numPr>
        <w:tabs>
          <w:tab w:val="left" w:pos="709"/>
        </w:tabs>
        <w:suppressAutoHyphens w:val="0"/>
        <w:spacing w:after="120" w:line="240" w:lineRule="auto"/>
        <w:ind w:right="1134"/>
        <w:rPr>
          <w:lang w:eastAsia="en-GB"/>
        </w:rPr>
      </w:pPr>
      <w:r w:rsidRPr="000A1695">
        <w:rPr>
          <w:lang w:eastAsia="en-GB"/>
        </w:rPr>
        <w:t xml:space="preserve">diversity in professional and intellectual approaches; and </w:t>
      </w:r>
    </w:p>
    <w:p w14:paraId="7FA713D1" w14:textId="77777777" w:rsidR="000813D5" w:rsidRDefault="000813D5">
      <w:pPr>
        <w:pStyle w:val="ListParagraph"/>
        <w:numPr>
          <w:ilvl w:val="0"/>
          <w:numId w:val="49"/>
        </w:numPr>
        <w:tabs>
          <w:tab w:val="left" w:pos="709"/>
        </w:tabs>
        <w:suppressAutoHyphens w:val="0"/>
        <w:spacing w:after="120" w:line="240" w:lineRule="auto"/>
        <w:ind w:right="1134"/>
        <w:rPr>
          <w:lang w:eastAsia="en-GB"/>
        </w:rPr>
      </w:pPr>
      <w:r w:rsidRPr="000A1695">
        <w:rPr>
          <w:lang w:eastAsia="en-GB"/>
        </w:rPr>
        <w:t xml:space="preserve">the ability of associations to contribute meaningfully to governance and development within the profession. </w:t>
      </w:r>
    </w:p>
    <w:p w14:paraId="06FD2CC8" w14:textId="77777777" w:rsidR="008055EC" w:rsidRPr="000A1695" w:rsidRDefault="008055EC" w:rsidP="008055EC">
      <w:pPr>
        <w:tabs>
          <w:tab w:val="left" w:pos="709"/>
        </w:tabs>
        <w:suppressAutoHyphens w:val="0"/>
        <w:spacing w:after="120" w:line="240" w:lineRule="auto"/>
        <w:ind w:right="1134"/>
        <w:rPr>
          <w:lang w:eastAsia="en-GB"/>
        </w:rPr>
      </w:pPr>
    </w:p>
    <w:p w14:paraId="47B03887"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Where institutional frameworks limit the </w:t>
      </w:r>
      <w:r w:rsidRPr="000A1695">
        <w:rPr>
          <w:b/>
          <w:bCs/>
          <w:lang w:eastAsia="en-GB"/>
        </w:rPr>
        <w:t>practical availability or effectiveness of alternative associations</w:t>
      </w:r>
      <w:r w:rsidRPr="000A1695">
        <w:rPr>
          <w:lang w:eastAsia="en-GB"/>
        </w:rPr>
        <w:t>, the underlying principle of pluralism may be affected, even in the absence of formal restrictions.</w:t>
      </w:r>
    </w:p>
    <w:p w14:paraId="4E7579C5" w14:textId="376A3617" w:rsidR="000813D5" w:rsidRPr="000A1695" w:rsidRDefault="000813D5" w:rsidP="000127D1">
      <w:pPr>
        <w:tabs>
          <w:tab w:val="left" w:pos="709"/>
        </w:tabs>
        <w:suppressAutoHyphens w:val="0"/>
        <w:spacing w:after="120" w:line="240" w:lineRule="auto"/>
        <w:ind w:left="1134" w:right="1134"/>
        <w:rPr>
          <w:lang w:eastAsia="en-GB"/>
        </w:rPr>
      </w:pPr>
    </w:p>
    <w:p w14:paraId="0BCD5588" w14:textId="00A9F331" w:rsidR="000813D5" w:rsidRPr="000A1695" w:rsidRDefault="008055EC" w:rsidP="008055EC">
      <w:pPr>
        <w:tabs>
          <w:tab w:val="left" w:pos="709"/>
        </w:tabs>
        <w:suppressAutoHyphens w:val="0"/>
        <w:spacing w:after="120" w:line="240" w:lineRule="auto"/>
        <w:ind w:right="1134"/>
        <w:rPr>
          <w:b/>
          <w:bCs/>
          <w:lang w:eastAsia="en-GB"/>
        </w:rPr>
      </w:pPr>
      <w:r>
        <w:rPr>
          <w:b/>
          <w:bCs/>
          <w:lang w:eastAsia="en-GB"/>
        </w:rPr>
        <w:tab/>
      </w:r>
      <w:r w:rsidR="000813D5" w:rsidRPr="000A1695">
        <w:rPr>
          <w:b/>
          <w:bCs/>
          <w:lang w:eastAsia="en-GB"/>
        </w:rPr>
        <w:t>5.2 Conditions of Participation</w:t>
      </w:r>
    </w:p>
    <w:p w14:paraId="5F570983"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The effective exercise of freedom of association depends on the </w:t>
      </w:r>
      <w:r w:rsidRPr="000A1695">
        <w:rPr>
          <w:b/>
          <w:bCs/>
          <w:lang w:eastAsia="en-GB"/>
        </w:rPr>
        <w:t>conditions under which participation occurs</w:t>
      </w:r>
      <w:r w:rsidRPr="000A1695">
        <w:rPr>
          <w:lang w:eastAsia="en-GB"/>
        </w:rPr>
        <w:t>.</w:t>
      </w:r>
    </w:p>
    <w:p w14:paraId="2914CEE4"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These conditions may include:</w:t>
      </w:r>
    </w:p>
    <w:p w14:paraId="1E51D4AD" w14:textId="77777777" w:rsidR="000813D5" w:rsidRPr="000A1695" w:rsidRDefault="000813D5">
      <w:pPr>
        <w:pStyle w:val="ListParagraph"/>
        <w:numPr>
          <w:ilvl w:val="0"/>
          <w:numId w:val="50"/>
        </w:numPr>
        <w:tabs>
          <w:tab w:val="left" w:pos="709"/>
        </w:tabs>
        <w:suppressAutoHyphens w:val="0"/>
        <w:spacing w:after="120" w:line="240" w:lineRule="auto"/>
        <w:ind w:right="1134"/>
        <w:rPr>
          <w:lang w:eastAsia="en-GB"/>
        </w:rPr>
      </w:pPr>
      <w:r w:rsidRPr="000A1695">
        <w:rPr>
          <w:lang w:eastAsia="en-GB"/>
        </w:rPr>
        <w:t xml:space="preserve">access to education and professional entry pathways; </w:t>
      </w:r>
    </w:p>
    <w:p w14:paraId="4458AE24" w14:textId="77777777" w:rsidR="000813D5" w:rsidRPr="000A1695" w:rsidRDefault="000813D5">
      <w:pPr>
        <w:pStyle w:val="ListParagraph"/>
        <w:numPr>
          <w:ilvl w:val="0"/>
          <w:numId w:val="50"/>
        </w:numPr>
        <w:tabs>
          <w:tab w:val="left" w:pos="709"/>
        </w:tabs>
        <w:suppressAutoHyphens w:val="0"/>
        <w:spacing w:after="120" w:line="240" w:lineRule="auto"/>
        <w:ind w:right="1134"/>
        <w:rPr>
          <w:lang w:eastAsia="en-GB"/>
        </w:rPr>
      </w:pPr>
      <w:r w:rsidRPr="000A1695">
        <w:rPr>
          <w:lang w:eastAsia="en-GB"/>
        </w:rPr>
        <w:t xml:space="preserve">language policies affecting communication and qualification; </w:t>
      </w:r>
    </w:p>
    <w:p w14:paraId="191D64E3" w14:textId="77777777" w:rsidR="000813D5" w:rsidRPr="000A1695" w:rsidRDefault="000813D5">
      <w:pPr>
        <w:pStyle w:val="ListParagraph"/>
        <w:numPr>
          <w:ilvl w:val="0"/>
          <w:numId w:val="50"/>
        </w:numPr>
        <w:tabs>
          <w:tab w:val="left" w:pos="709"/>
        </w:tabs>
        <w:suppressAutoHyphens w:val="0"/>
        <w:spacing w:after="120" w:line="240" w:lineRule="auto"/>
        <w:ind w:right="1134"/>
        <w:rPr>
          <w:lang w:eastAsia="en-GB"/>
        </w:rPr>
      </w:pPr>
      <w:r w:rsidRPr="000A1695">
        <w:rPr>
          <w:lang w:eastAsia="en-GB"/>
        </w:rPr>
        <w:t xml:space="preserve">access to information and engagement with regulatory bodies; and </w:t>
      </w:r>
    </w:p>
    <w:p w14:paraId="17B408B9" w14:textId="77777777" w:rsidR="000813D5" w:rsidRDefault="000813D5">
      <w:pPr>
        <w:pStyle w:val="ListParagraph"/>
        <w:numPr>
          <w:ilvl w:val="0"/>
          <w:numId w:val="50"/>
        </w:numPr>
        <w:tabs>
          <w:tab w:val="left" w:pos="709"/>
        </w:tabs>
        <w:suppressAutoHyphens w:val="0"/>
        <w:spacing w:after="120" w:line="240" w:lineRule="auto"/>
        <w:ind w:right="1134"/>
        <w:rPr>
          <w:lang w:eastAsia="en-GB"/>
        </w:rPr>
      </w:pPr>
      <w:r w:rsidRPr="000A1695">
        <w:rPr>
          <w:lang w:eastAsia="en-GB"/>
        </w:rPr>
        <w:t xml:space="preserve">the design of institutional and regulatory frameworks. </w:t>
      </w:r>
    </w:p>
    <w:p w14:paraId="7EAD1C75" w14:textId="77777777" w:rsidR="008055EC" w:rsidRPr="000A1695" w:rsidRDefault="008055EC" w:rsidP="008055EC">
      <w:pPr>
        <w:tabs>
          <w:tab w:val="left" w:pos="709"/>
        </w:tabs>
        <w:suppressAutoHyphens w:val="0"/>
        <w:spacing w:after="120" w:line="240" w:lineRule="auto"/>
        <w:ind w:right="1134"/>
        <w:rPr>
          <w:lang w:eastAsia="en-GB"/>
        </w:rPr>
      </w:pPr>
    </w:p>
    <w:p w14:paraId="70BF53C8"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Where these factors influence who is able to enter the profession and participate in its structures, they may affect the </w:t>
      </w:r>
      <w:r w:rsidRPr="000A1695">
        <w:rPr>
          <w:b/>
          <w:bCs/>
          <w:lang w:eastAsia="en-GB"/>
        </w:rPr>
        <w:t>accessibility and inclusivity of associational life</w:t>
      </w:r>
      <w:r w:rsidRPr="000A1695">
        <w:rPr>
          <w:lang w:eastAsia="en-GB"/>
        </w:rPr>
        <w:t>.</w:t>
      </w:r>
    </w:p>
    <w:p w14:paraId="76FE10CC" w14:textId="2F7F1BA0" w:rsidR="000813D5" w:rsidRPr="000A1695" w:rsidRDefault="000813D5" w:rsidP="000127D1">
      <w:pPr>
        <w:tabs>
          <w:tab w:val="left" w:pos="709"/>
        </w:tabs>
        <w:suppressAutoHyphens w:val="0"/>
        <w:spacing w:after="120" w:line="240" w:lineRule="auto"/>
        <w:ind w:left="1134" w:right="1134"/>
        <w:rPr>
          <w:lang w:eastAsia="en-GB"/>
        </w:rPr>
      </w:pPr>
    </w:p>
    <w:p w14:paraId="0BD746BE" w14:textId="3A53A763" w:rsidR="000813D5" w:rsidRPr="000A1695" w:rsidRDefault="008055EC" w:rsidP="008055EC">
      <w:pPr>
        <w:tabs>
          <w:tab w:val="left" w:pos="709"/>
        </w:tabs>
        <w:suppressAutoHyphens w:val="0"/>
        <w:spacing w:after="120" w:line="240" w:lineRule="auto"/>
        <w:ind w:right="1134"/>
        <w:rPr>
          <w:b/>
          <w:bCs/>
          <w:lang w:eastAsia="en-GB"/>
        </w:rPr>
      </w:pPr>
      <w:r>
        <w:rPr>
          <w:b/>
          <w:bCs/>
          <w:lang w:eastAsia="en-GB"/>
        </w:rPr>
        <w:tab/>
      </w:r>
      <w:r w:rsidR="000813D5" w:rsidRPr="000A1695">
        <w:rPr>
          <w:b/>
          <w:bCs/>
          <w:lang w:eastAsia="en-GB"/>
        </w:rPr>
        <w:t>5.3 Interaction Between Education, Regulation, and Association</w:t>
      </w:r>
    </w:p>
    <w:p w14:paraId="5CC19866"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The interaction between:</w:t>
      </w:r>
    </w:p>
    <w:p w14:paraId="0A0075CC" w14:textId="77777777" w:rsidR="000813D5" w:rsidRPr="000A1695" w:rsidRDefault="000813D5">
      <w:pPr>
        <w:pStyle w:val="ListParagraph"/>
        <w:numPr>
          <w:ilvl w:val="0"/>
          <w:numId w:val="51"/>
        </w:numPr>
        <w:tabs>
          <w:tab w:val="left" w:pos="709"/>
        </w:tabs>
        <w:suppressAutoHyphens w:val="0"/>
        <w:spacing w:after="120" w:line="240" w:lineRule="auto"/>
        <w:ind w:right="1134"/>
        <w:rPr>
          <w:lang w:eastAsia="en-GB"/>
        </w:rPr>
      </w:pPr>
      <w:r w:rsidRPr="000A1695">
        <w:rPr>
          <w:lang w:eastAsia="en-GB"/>
        </w:rPr>
        <w:t xml:space="preserve">legal education; </w:t>
      </w:r>
    </w:p>
    <w:p w14:paraId="4EB3C66F" w14:textId="77777777" w:rsidR="000813D5" w:rsidRPr="000A1695" w:rsidRDefault="000813D5">
      <w:pPr>
        <w:pStyle w:val="ListParagraph"/>
        <w:numPr>
          <w:ilvl w:val="0"/>
          <w:numId w:val="51"/>
        </w:numPr>
        <w:tabs>
          <w:tab w:val="left" w:pos="709"/>
        </w:tabs>
        <w:suppressAutoHyphens w:val="0"/>
        <w:spacing w:after="120" w:line="240" w:lineRule="auto"/>
        <w:ind w:right="1134"/>
        <w:rPr>
          <w:lang w:eastAsia="en-GB"/>
        </w:rPr>
      </w:pPr>
      <w:r w:rsidRPr="000A1695">
        <w:rPr>
          <w:lang w:eastAsia="en-GB"/>
        </w:rPr>
        <w:t xml:space="preserve">professional qualification systems; and </w:t>
      </w:r>
    </w:p>
    <w:p w14:paraId="61D07A6C" w14:textId="77777777" w:rsidR="000813D5" w:rsidRDefault="000813D5">
      <w:pPr>
        <w:pStyle w:val="ListParagraph"/>
        <w:numPr>
          <w:ilvl w:val="0"/>
          <w:numId w:val="51"/>
        </w:numPr>
        <w:tabs>
          <w:tab w:val="left" w:pos="709"/>
        </w:tabs>
        <w:suppressAutoHyphens w:val="0"/>
        <w:spacing w:after="120" w:line="240" w:lineRule="auto"/>
        <w:ind w:right="1134"/>
        <w:rPr>
          <w:lang w:eastAsia="en-GB"/>
        </w:rPr>
      </w:pPr>
      <w:r w:rsidRPr="000A1695">
        <w:rPr>
          <w:lang w:eastAsia="en-GB"/>
        </w:rPr>
        <w:t xml:space="preserve">regulatory frameworks </w:t>
      </w:r>
    </w:p>
    <w:p w14:paraId="1F3D1FE3" w14:textId="77777777" w:rsidR="008055EC" w:rsidRPr="000A1695" w:rsidRDefault="008055EC" w:rsidP="008055EC">
      <w:pPr>
        <w:tabs>
          <w:tab w:val="left" w:pos="709"/>
        </w:tabs>
        <w:suppressAutoHyphens w:val="0"/>
        <w:spacing w:after="120" w:line="240" w:lineRule="auto"/>
        <w:ind w:right="1134"/>
        <w:rPr>
          <w:lang w:eastAsia="en-GB"/>
        </w:rPr>
      </w:pPr>
    </w:p>
    <w:p w14:paraId="15F562DE"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plays a central role in shaping the composition and functioning of the profession.</w:t>
      </w:r>
    </w:p>
    <w:p w14:paraId="01DEAC21"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Where these systems are closely integrated, they may influence:</w:t>
      </w:r>
    </w:p>
    <w:p w14:paraId="567E1A6B" w14:textId="77777777" w:rsidR="000813D5" w:rsidRPr="000A1695" w:rsidRDefault="000813D5">
      <w:pPr>
        <w:pStyle w:val="ListParagraph"/>
        <w:numPr>
          <w:ilvl w:val="0"/>
          <w:numId w:val="52"/>
        </w:numPr>
        <w:tabs>
          <w:tab w:val="left" w:pos="709"/>
        </w:tabs>
        <w:suppressAutoHyphens w:val="0"/>
        <w:spacing w:after="120" w:line="240" w:lineRule="auto"/>
        <w:ind w:right="1134"/>
        <w:rPr>
          <w:lang w:eastAsia="en-GB"/>
        </w:rPr>
      </w:pPr>
      <w:r w:rsidRPr="000A1695">
        <w:rPr>
          <w:lang w:eastAsia="en-GB"/>
        </w:rPr>
        <w:t xml:space="preserve">the diversity of perspectives within the profession; and </w:t>
      </w:r>
    </w:p>
    <w:p w14:paraId="3EC87010" w14:textId="77777777" w:rsidR="000813D5" w:rsidRDefault="000813D5">
      <w:pPr>
        <w:pStyle w:val="ListParagraph"/>
        <w:numPr>
          <w:ilvl w:val="0"/>
          <w:numId w:val="52"/>
        </w:numPr>
        <w:tabs>
          <w:tab w:val="left" w:pos="709"/>
        </w:tabs>
        <w:suppressAutoHyphens w:val="0"/>
        <w:spacing w:after="120" w:line="240" w:lineRule="auto"/>
        <w:ind w:right="1134"/>
        <w:rPr>
          <w:lang w:eastAsia="en-GB"/>
        </w:rPr>
      </w:pPr>
      <w:r w:rsidRPr="000A1695">
        <w:rPr>
          <w:lang w:eastAsia="en-GB"/>
        </w:rPr>
        <w:t xml:space="preserve">the extent to which associations are able to contribute to professional and institutional development. </w:t>
      </w:r>
    </w:p>
    <w:p w14:paraId="7DCC727C" w14:textId="77777777" w:rsidR="008055EC" w:rsidRPr="000A1695" w:rsidRDefault="008055EC" w:rsidP="008055EC">
      <w:pPr>
        <w:tabs>
          <w:tab w:val="left" w:pos="709"/>
        </w:tabs>
        <w:suppressAutoHyphens w:val="0"/>
        <w:spacing w:after="120" w:line="240" w:lineRule="auto"/>
        <w:ind w:right="1134"/>
        <w:rPr>
          <w:lang w:eastAsia="en-GB"/>
        </w:rPr>
      </w:pPr>
    </w:p>
    <w:p w14:paraId="2A7FE397"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Freedom of association should therefore be understood in light of this interaction, recognising that associational rights are exercised within a broader </w:t>
      </w:r>
      <w:r w:rsidRPr="000A1695">
        <w:rPr>
          <w:b/>
          <w:bCs/>
          <w:lang w:eastAsia="en-GB"/>
        </w:rPr>
        <w:t>institutional ecosystem</w:t>
      </w:r>
      <w:r w:rsidRPr="000A1695">
        <w:rPr>
          <w:lang w:eastAsia="en-GB"/>
        </w:rPr>
        <w:t>.</w:t>
      </w:r>
    </w:p>
    <w:p w14:paraId="074AE02A" w14:textId="06114220" w:rsidR="000813D5" w:rsidRPr="000A1695" w:rsidRDefault="000813D5" w:rsidP="000127D1">
      <w:pPr>
        <w:tabs>
          <w:tab w:val="left" w:pos="709"/>
        </w:tabs>
        <w:suppressAutoHyphens w:val="0"/>
        <w:spacing w:after="120" w:line="240" w:lineRule="auto"/>
        <w:ind w:left="1134" w:right="1134"/>
        <w:rPr>
          <w:lang w:eastAsia="en-GB"/>
        </w:rPr>
      </w:pPr>
    </w:p>
    <w:p w14:paraId="5E866999" w14:textId="5F227F18" w:rsidR="000813D5" w:rsidRPr="000A1695" w:rsidRDefault="008055EC" w:rsidP="008055EC">
      <w:pPr>
        <w:tabs>
          <w:tab w:val="left" w:pos="709"/>
        </w:tabs>
        <w:suppressAutoHyphens w:val="0"/>
        <w:spacing w:after="120" w:line="240" w:lineRule="auto"/>
        <w:ind w:right="1134"/>
        <w:rPr>
          <w:b/>
          <w:bCs/>
          <w:lang w:eastAsia="en-GB"/>
        </w:rPr>
      </w:pPr>
      <w:r>
        <w:rPr>
          <w:b/>
          <w:bCs/>
          <w:lang w:eastAsia="en-GB"/>
        </w:rPr>
        <w:tab/>
      </w:r>
      <w:r w:rsidR="000813D5" w:rsidRPr="000A1695">
        <w:rPr>
          <w:b/>
          <w:bCs/>
          <w:lang w:eastAsia="en-GB"/>
        </w:rPr>
        <w:t>5.4 Structural and Cumulative Effects</w:t>
      </w:r>
    </w:p>
    <w:p w14:paraId="658DF137"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The Draft General Comment recognises that restrictions on freedom of association may arise through </w:t>
      </w:r>
      <w:r w:rsidRPr="000A1695">
        <w:rPr>
          <w:b/>
          <w:bCs/>
          <w:lang w:eastAsia="en-GB"/>
        </w:rPr>
        <w:t>indirect measures and cumulative effects</w:t>
      </w:r>
      <w:r w:rsidRPr="000A1695">
        <w:rPr>
          <w:lang w:eastAsia="en-GB"/>
        </w:rPr>
        <w:t>.</w:t>
      </w:r>
    </w:p>
    <w:p w14:paraId="116BB4A2"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This approach is particularly relevant in professional contexts, where:</w:t>
      </w:r>
    </w:p>
    <w:p w14:paraId="6BFD62AC" w14:textId="77777777" w:rsidR="000813D5" w:rsidRPr="000A1695" w:rsidRDefault="000813D5">
      <w:pPr>
        <w:pStyle w:val="ListParagraph"/>
        <w:numPr>
          <w:ilvl w:val="0"/>
          <w:numId w:val="53"/>
        </w:numPr>
        <w:tabs>
          <w:tab w:val="left" w:pos="709"/>
        </w:tabs>
        <w:suppressAutoHyphens w:val="0"/>
        <w:spacing w:after="120" w:line="240" w:lineRule="auto"/>
        <w:ind w:right="1134"/>
        <w:rPr>
          <w:lang w:eastAsia="en-GB"/>
        </w:rPr>
      </w:pPr>
      <w:r w:rsidRPr="000A1695">
        <w:rPr>
          <w:lang w:eastAsia="en-GB"/>
        </w:rPr>
        <w:t xml:space="preserve">no single measure may be determinative; </w:t>
      </w:r>
    </w:p>
    <w:p w14:paraId="72BF46AF" w14:textId="77777777" w:rsidR="000813D5" w:rsidRPr="000A1695" w:rsidRDefault="000813D5">
      <w:pPr>
        <w:pStyle w:val="ListParagraph"/>
        <w:numPr>
          <w:ilvl w:val="0"/>
          <w:numId w:val="53"/>
        </w:numPr>
        <w:tabs>
          <w:tab w:val="left" w:pos="709"/>
        </w:tabs>
        <w:suppressAutoHyphens w:val="0"/>
        <w:spacing w:after="120" w:line="240" w:lineRule="auto"/>
        <w:ind w:right="1134"/>
        <w:rPr>
          <w:lang w:eastAsia="en-GB"/>
        </w:rPr>
      </w:pPr>
      <w:r w:rsidRPr="000A1695">
        <w:rPr>
          <w:lang w:eastAsia="en-GB"/>
        </w:rPr>
        <w:t xml:space="preserve">multiple factors may interact over time; and </w:t>
      </w:r>
    </w:p>
    <w:p w14:paraId="2F079E7D" w14:textId="77777777" w:rsidR="000813D5" w:rsidRPr="000A1695" w:rsidRDefault="000813D5">
      <w:pPr>
        <w:pStyle w:val="ListParagraph"/>
        <w:numPr>
          <w:ilvl w:val="0"/>
          <w:numId w:val="53"/>
        </w:numPr>
        <w:tabs>
          <w:tab w:val="left" w:pos="709"/>
        </w:tabs>
        <w:suppressAutoHyphens w:val="0"/>
        <w:spacing w:after="120" w:line="240" w:lineRule="auto"/>
        <w:ind w:right="1134"/>
        <w:rPr>
          <w:lang w:eastAsia="en-GB"/>
        </w:rPr>
      </w:pPr>
      <w:r w:rsidRPr="000A1695">
        <w:rPr>
          <w:lang w:eastAsia="en-GB"/>
        </w:rPr>
        <w:t xml:space="preserve">the overall framework may influence participation and associational activity. </w:t>
      </w:r>
    </w:p>
    <w:p w14:paraId="5257DF13"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An assessment of Article 22 should therefore consider whether the </w:t>
      </w:r>
      <w:r w:rsidRPr="000A1695">
        <w:rPr>
          <w:b/>
          <w:bCs/>
          <w:lang w:eastAsia="en-GB"/>
        </w:rPr>
        <w:t>combined effect of institutional arrangements</w:t>
      </w:r>
      <w:r w:rsidRPr="000A1695">
        <w:rPr>
          <w:lang w:eastAsia="en-GB"/>
        </w:rPr>
        <w:t xml:space="preserve"> supports or constrains the effective exercise of associational rights.</w:t>
      </w:r>
    </w:p>
    <w:p w14:paraId="1015C88D" w14:textId="13D0AC27" w:rsidR="000813D5" w:rsidRPr="000A1695" w:rsidRDefault="000813D5" w:rsidP="000127D1">
      <w:pPr>
        <w:tabs>
          <w:tab w:val="left" w:pos="709"/>
        </w:tabs>
        <w:suppressAutoHyphens w:val="0"/>
        <w:spacing w:after="120" w:line="240" w:lineRule="auto"/>
        <w:ind w:left="1134" w:right="1134"/>
        <w:rPr>
          <w:lang w:eastAsia="en-GB"/>
        </w:rPr>
      </w:pPr>
    </w:p>
    <w:p w14:paraId="2EBB8B3C" w14:textId="476910B6" w:rsidR="000813D5" w:rsidRPr="000A1695" w:rsidRDefault="008055EC" w:rsidP="008055EC">
      <w:pPr>
        <w:tabs>
          <w:tab w:val="left" w:pos="709"/>
        </w:tabs>
        <w:suppressAutoHyphens w:val="0"/>
        <w:spacing w:after="120" w:line="240" w:lineRule="auto"/>
        <w:ind w:right="1134"/>
        <w:rPr>
          <w:b/>
          <w:bCs/>
          <w:lang w:eastAsia="en-GB"/>
        </w:rPr>
      </w:pPr>
      <w:r>
        <w:rPr>
          <w:b/>
          <w:bCs/>
          <w:lang w:eastAsia="en-GB"/>
        </w:rPr>
        <w:tab/>
      </w:r>
      <w:r w:rsidR="000813D5" w:rsidRPr="000A1695">
        <w:rPr>
          <w:b/>
          <w:bCs/>
          <w:lang w:eastAsia="en-GB"/>
        </w:rPr>
        <w:t>5.5 Legitimacy of Language- and Culture-Based Associations</w:t>
      </w:r>
    </w:p>
    <w:p w14:paraId="6BD9579C"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Freedom of association includes the ability of individuals to organise around:</w:t>
      </w:r>
    </w:p>
    <w:p w14:paraId="0C02DB35" w14:textId="77777777" w:rsidR="000813D5" w:rsidRPr="000A1695" w:rsidRDefault="000813D5">
      <w:pPr>
        <w:pStyle w:val="ListParagraph"/>
        <w:numPr>
          <w:ilvl w:val="0"/>
          <w:numId w:val="54"/>
        </w:numPr>
        <w:tabs>
          <w:tab w:val="left" w:pos="709"/>
        </w:tabs>
        <w:suppressAutoHyphens w:val="0"/>
        <w:spacing w:after="120" w:line="240" w:lineRule="auto"/>
        <w:ind w:right="1134"/>
        <w:rPr>
          <w:lang w:eastAsia="en-GB"/>
        </w:rPr>
      </w:pPr>
      <w:r w:rsidRPr="000A1695">
        <w:rPr>
          <w:lang w:eastAsia="en-GB"/>
        </w:rPr>
        <w:t xml:space="preserve">shared language; </w:t>
      </w:r>
    </w:p>
    <w:p w14:paraId="64A04A82" w14:textId="77777777" w:rsidR="000813D5" w:rsidRPr="000A1695" w:rsidRDefault="000813D5">
      <w:pPr>
        <w:pStyle w:val="ListParagraph"/>
        <w:numPr>
          <w:ilvl w:val="0"/>
          <w:numId w:val="54"/>
        </w:numPr>
        <w:tabs>
          <w:tab w:val="left" w:pos="709"/>
        </w:tabs>
        <w:suppressAutoHyphens w:val="0"/>
        <w:spacing w:after="120" w:line="240" w:lineRule="auto"/>
        <w:ind w:right="1134"/>
        <w:rPr>
          <w:lang w:eastAsia="en-GB"/>
        </w:rPr>
      </w:pPr>
      <w:r w:rsidRPr="000A1695">
        <w:rPr>
          <w:lang w:eastAsia="en-GB"/>
        </w:rPr>
        <w:t xml:space="preserve">cultural identity; or </w:t>
      </w:r>
    </w:p>
    <w:p w14:paraId="7457374A" w14:textId="77777777" w:rsidR="000813D5" w:rsidRDefault="000813D5">
      <w:pPr>
        <w:pStyle w:val="ListParagraph"/>
        <w:numPr>
          <w:ilvl w:val="0"/>
          <w:numId w:val="54"/>
        </w:numPr>
        <w:tabs>
          <w:tab w:val="left" w:pos="709"/>
        </w:tabs>
        <w:suppressAutoHyphens w:val="0"/>
        <w:spacing w:after="120" w:line="240" w:lineRule="auto"/>
        <w:ind w:right="1134"/>
        <w:rPr>
          <w:lang w:eastAsia="en-GB"/>
        </w:rPr>
      </w:pPr>
      <w:r w:rsidRPr="000A1695">
        <w:rPr>
          <w:lang w:eastAsia="en-GB"/>
        </w:rPr>
        <w:t xml:space="preserve">professional orientation. </w:t>
      </w:r>
    </w:p>
    <w:p w14:paraId="698B49AD" w14:textId="77777777" w:rsidR="008055EC" w:rsidRPr="000A1695" w:rsidRDefault="008055EC" w:rsidP="008055EC">
      <w:pPr>
        <w:tabs>
          <w:tab w:val="left" w:pos="709"/>
        </w:tabs>
        <w:suppressAutoHyphens w:val="0"/>
        <w:spacing w:after="120" w:line="240" w:lineRule="auto"/>
        <w:ind w:right="1134"/>
        <w:rPr>
          <w:lang w:eastAsia="en-GB"/>
        </w:rPr>
      </w:pPr>
    </w:p>
    <w:p w14:paraId="50F0F875" w14:textId="77777777" w:rsidR="000813D5" w:rsidRDefault="000813D5" w:rsidP="000127D1">
      <w:pPr>
        <w:tabs>
          <w:tab w:val="left" w:pos="709"/>
        </w:tabs>
        <w:suppressAutoHyphens w:val="0"/>
        <w:spacing w:after="120" w:line="240" w:lineRule="auto"/>
        <w:ind w:left="1134" w:right="1134"/>
        <w:rPr>
          <w:lang w:eastAsia="en-GB"/>
        </w:rPr>
      </w:pPr>
      <w:r w:rsidRPr="000A1695">
        <w:rPr>
          <w:lang w:eastAsia="en-GB"/>
        </w:rPr>
        <w:t>Such forms of association are consistent with pluralism and do not, in themselves, undermine equality or inclusivity.</w:t>
      </w:r>
    </w:p>
    <w:p w14:paraId="4001AD3B" w14:textId="77777777" w:rsidR="00644A78" w:rsidRPr="00644A78" w:rsidRDefault="00644A78" w:rsidP="00644A78">
      <w:pPr>
        <w:tabs>
          <w:tab w:val="left" w:pos="709"/>
        </w:tabs>
        <w:suppressAutoHyphens w:val="0"/>
        <w:spacing w:after="120" w:line="240" w:lineRule="auto"/>
        <w:ind w:left="1134" w:right="1134"/>
        <w:rPr>
          <w:lang w:eastAsia="en-GB"/>
        </w:rPr>
      </w:pPr>
      <w:r w:rsidRPr="00644A78">
        <w:rPr>
          <w:lang w:eastAsia="en-GB"/>
        </w:rPr>
        <w:t>In plural societies, freedom of association is particularly important for minority communities, including linguistic and cultural minorities. Associations organised around shared language, culture, historical experience, or professional orientation are not inherently discriminatory solely by virtue of their identity or membership profile. Their legitimacy should instead be assessed by reference to their conduct, objectives, and compliance with broader constitutional and human rights principles.</w:t>
      </w:r>
    </w:p>
    <w:p w14:paraId="426937A3" w14:textId="64668ED9" w:rsidR="00644A78" w:rsidRPr="000A1695" w:rsidRDefault="00644A78" w:rsidP="00644A78">
      <w:pPr>
        <w:tabs>
          <w:tab w:val="left" w:pos="709"/>
        </w:tabs>
        <w:suppressAutoHyphens w:val="0"/>
        <w:spacing w:after="120" w:line="240" w:lineRule="auto"/>
        <w:ind w:left="1134" w:right="1134"/>
        <w:rPr>
          <w:lang w:eastAsia="en-GB"/>
        </w:rPr>
      </w:pPr>
      <w:r w:rsidRPr="00644A78">
        <w:rPr>
          <w:lang w:eastAsia="en-GB"/>
        </w:rPr>
        <w:t>Historical associations attached to particular languages or communities should not automatically determine the legitimacy of contemporary associational activity conducted within constitutional and rights-respecting frameworks.</w:t>
      </w:r>
    </w:p>
    <w:p w14:paraId="477893F8"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It is therefore important that the exercise of associational rights in this context is not limited by assumptions that such associations are inherently exclusionary, provided that they operate within the broader framework of the law.</w:t>
      </w:r>
    </w:p>
    <w:p w14:paraId="77D16768" w14:textId="46261034" w:rsidR="000813D5" w:rsidRPr="000A1695" w:rsidRDefault="000813D5" w:rsidP="000127D1">
      <w:pPr>
        <w:tabs>
          <w:tab w:val="left" w:pos="709"/>
        </w:tabs>
        <w:suppressAutoHyphens w:val="0"/>
        <w:spacing w:after="120" w:line="240" w:lineRule="auto"/>
        <w:ind w:left="1134" w:right="1134"/>
        <w:rPr>
          <w:lang w:eastAsia="en-GB"/>
        </w:rPr>
      </w:pPr>
    </w:p>
    <w:p w14:paraId="37790A93" w14:textId="3D4878A0" w:rsidR="000813D5" w:rsidRPr="000A1695" w:rsidRDefault="008055EC" w:rsidP="008055EC">
      <w:pPr>
        <w:tabs>
          <w:tab w:val="left" w:pos="709"/>
        </w:tabs>
        <w:suppressAutoHyphens w:val="0"/>
        <w:spacing w:after="120" w:line="240" w:lineRule="auto"/>
        <w:ind w:right="1134"/>
        <w:rPr>
          <w:b/>
          <w:bCs/>
          <w:lang w:eastAsia="en-GB"/>
        </w:rPr>
      </w:pPr>
      <w:r>
        <w:rPr>
          <w:b/>
          <w:bCs/>
          <w:lang w:eastAsia="en-GB"/>
        </w:rPr>
        <w:tab/>
      </w:r>
      <w:r w:rsidR="000813D5" w:rsidRPr="000A1695">
        <w:rPr>
          <w:b/>
          <w:bCs/>
          <w:lang w:eastAsia="en-GB"/>
        </w:rPr>
        <w:t>5.6 Conclusion</w:t>
      </w:r>
    </w:p>
    <w:p w14:paraId="399784BE"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The Draft General Comment provides an important opportunity to clarify that freedom of association under Article 22 must be understood in </w:t>
      </w:r>
      <w:r w:rsidRPr="000A1695">
        <w:rPr>
          <w:b/>
          <w:bCs/>
          <w:lang w:eastAsia="en-GB"/>
        </w:rPr>
        <w:t>practical and structural terms</w:t>
      </w:r>
      <w:r w:rsidRPr="000A1695">
        <w:rPr>
          <w:lang w:eastAsia="en-GB"/>
        </w:rPr>
        <w:t>, rather than solely as a formal legal entitlement.</w:t>
      </w:r>
    </w:p>
    <w:p w14:paraId="04CC309D"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In professional contexts such as the legal profession, the effective exercise of this right may be influenced by:</w:t>
      </w:r>
    </w:p>
    <w:p w14:paraId="2871A45E" w14:textId="77777777" w:rsidR="000813D5" w:rsidRPr="000A1695" w:rsidRDefault="000813D5">
      <w:pPr>
        <w:pStyle w:val="ListParagraph"/>
        <w:numPr>
          <w:ilvl w:val="0"/>
          <w:numId w:val="55"/>
        </w:numPr>
        <w:tabs>
          <w:tab w:val="left" w:pos="709"/>
        </w:tabs>
        <w:suppressAutoHyphens w:val="0"/>
        <w:spacing w:after="120" w:line="240" w:lineRule="auto"/>
        <w:ind w:right="1134"/>
        <w:rPr>
          <w:lang w:eastAsia="en-GB"/>
        </w:rPr>
      </w:pPr>
      <w:r w:rsidRPr="000A1695">
        <w:rPr>
          <w:lang w:eastAsia="en-GB"/>
        </w:rPr>
        <w:t xml:space="preserve">the structure of regulatory systems; </w:t>
      </w:r>
    </w:p>
    <w:p w14:paraId="2ABB7FDE" w14:textId="77777777" w:rsidR="000813D5" w:rsidRPr="000A1695" w:rsidRDefault="000813D5">
      <w:pPr>
        <w:pStyle w:val="ListParagraph"/>
        <w:numPr>
          <w:ilvl w:val="0"/>
          <w:numId w:val="55"/>
        </w:numPr>
        <w:tabs>
          <w:tab w:val="left" w:pos="709"/>
        </w:tabs>
        <w:suppressAutoHyphens w:val="0"/>
        <w:spacing w:after="120" w:line="240" w:lineRule="auto"/>
        <w:ind w:right="1134"/>
        <w:rPr>
          <w:lang w:eastAsia="en-GB"/>
        </w:rPr>
      </w:pPr>
      <w:r w:rsidRPr="000A1695">
        <w:rPr>
          <w:lang w:eastAsia="en-GB"/>
        </w:rPr>
        <w:t xml:space="preserve">access to education and qualification pathways; </w:t>
      </w:r>
    </w:p>
    <w:p w14:paraId="762539B1" w14:textId="77777777" w:rsidR="000813D5" w:rsidRPr="000A1695" w:rsidRDefault="000813D5">
      <w:pPr>
        <w:pStyle w:val="ListParagraph"/>
        <w:numPr>
          <w:ilvl w:val="0"/>
          <w:numId w:val="55"/>
        </w:numPr>
        <w:tabs>
          <w:tab w:val="left" w:pos="709"/>
        </w:tabs>
        <w:suppressAutoHyphens w:val="0"/>
        <w:spacing w:after="120" w:line="240" w:lineRule="auto"/>
        <w:ind w:right="1134"/>
        <w:rPr>
          <w:lang w:eastAsia="en-GB"/>
        </w:rPr>
      </w:pPr>
      <w:r w:rsidRPr="000A1695">
        <w:rPr>
          <w:lang w:eastAsia="en-GB"/>
        </w:rPr>
        <w:t xml:space="preserve">language and participation conditions; and </w:t>
      </w:r>
    </w:p>
    <w:p w14:paraId="0D233789" w14:textId="77777777" w:rsidR="000813D5" w:rsidRDefault="000813D5">
      <w:pPr>
        <w:pStyle w:val="ListParagraph"/>
        <w:numPr>
          <w:ilvl w:val="0"/>
          <w:numId w:val="55"/>
        </w:numPr>
        <w:tabs>
          <w:tab w:val="left" w:pos="709"/>
        </w:tabs>
        <w:suppressAutoHyphens w:val="0"/>
        <w:spacing w:after="120" w:line="240" w:lineRule="auto"/>
        <w:ind w:right="1134"/>
        <w:rPr>
          <w:lang w:eastAsia="en-GB"/>
        </w:rPr>
      </w:pPr>
      <w:r w:rsidRPr="000A1695">
        <w:rPr>
          <w:lang w:eastAsia="en-GB"/>
        </w:rPr>
        <w:t xml:space="preserve">the broader institutional environment. </w:t>
      </w:r>
    </w:p>
    <w:p w14:paraId="1B996E2B" w14:textId="77777777" w:rsidR="008055EC" w:rsidRPr="000A1695" w:rsidRDefault="008055EC" w:rsidP="008055EC">
      <w:pPr>
        <w:tabs>
          <w:tab w:val="left" w:pos="709"/>
        </w:tabs>
        <w:suppressAutoHyphens w:val="0"/>
        <w:spacing w:after="120" w:line="240" w:lineRule="auto"/>
        <w:ind w:right="1134"/>
        <w:rPr>
          <w:lang w:eastAsia="en-GB"/>
        </w:rPr>
      </w:pPr>
    </w:p>
    <w:p w14:paraId="1B163C8B" w14:textId="77777777" w:rsidR="000813D5" w:rsidRPr="000A1695" w:rsidRDefault="000813D5" w:rsidP="000127D1">
      <w:pPr>
        <w:tabs>
          <w:tab w:val="left" w:pos="709"/>
        </w:tabs>
        <w:suppressAutoHyphens w:val="0"/>
        <w:spacing w:after="120" w:line="240" w:lineRule="auto"/>
        <w:ind w:left="1134" w:right="1134"/>
        <w:rPr>
          <w:lang w:eastAsia="en-GB"/>
        </w:rPr>
      </w:pPr>
      <w:r w:rsidRPr="000A1695">
        <w:rPr>
          <w:lang w:eastAsia="en-GB"/>
        </w:rPr>
        <w:t xml:space="preserve">While many of these factors may pursue legitimate objectives, their </w:t>
      </w:r>
      <w:r w:rsidRPr="000A1695">
        <w:rPr>
          <w:b/>
          <w:bCs/>
          <w:lang w:eastAsia="en-GB"/>
        </w:rPr>
        <w:t>interaction and cumulative effect</w:t>
      </w:r>
      <w:r w:rsidRPr="000A1695">
        <w:rPr>
          <w:lang w:eastAsia="en-GB"/>
        </w:rPr>
        <w:t xml:space="preserve"> may influence:</w:t>
      </w:r>
    </w:p>
    <w:p w14:paraId="3F1D55B2" w14:textId="77777777" w:rsidR="000813D5" w:rsidRPr="000A1695" w:rsidRDefault="000813D5">
      <w:pPr>
        <w:pStyle w:val="ListParagraph"/>
        <w:numPr>
          <w:ilvl w:val="0"/>
          <w:numId w:val="56"/>
        </w:numPr>
        <w:tabs>
          <w:tab w:val="left" w:pos="709"/>
        </w:tabs>
        <w:suppressAutoHyphens w:val="0"/>
        <w:spacing w:after="120" w:line="240" w:lineRule="auto"/>
        <w:ind w:right="1134"/>
        <w:rPr>
          <w:lang w:eastAsia="en-GB"/>
        </w:rPr>
      </w:pPr>
      <w:r w:rsidRPr="000A1695">
        <w:rPr>
          <w:lang w:eastAsia="en-GB"/>
        </w:rPr>
        <w:t xml:space="preserve">access to the profession; </w:t>
      </w:r>
    </w:p>
    <w:p w14:paraId="636D6627" w14:textId="77777777" w:rsidR="000813D5" w:rsidRPr="000A1695" w:rsidRDefault="000813D5">
      <w:pPr>
        <w:pStyle w:val="ListParagraph"/>
        <w:numPr>
          <w:ilvl w:val="0"/>
          <w:numId w:val="56"/>
        </w:numPr>
        <w:tabs>
          <w:tab w:val="left" w:pos="709"/>
        </w:tabs>
        <w:suppressAutoHyphens w:val="0"/>
        <w:spacing w:after="120" w:line="240" w:lineRule="auto"/>
        <w:ind w:right="1134"/>
        <w:rPr>
          <w:lang w:eastAsia="en-GB"/>
        </w:rPr>
      </w:pPr>
      <w:r w:rsidRPr="000A1695">
        <w:rPr>
          <w:lang w:eastAsia="en-GB"/>
        </w:rPr>
        <w:t xml:space="preserve">diversity within professional and associational life; and </w:t>
      </w:r>
    </w:p>
    <w:p w14:paraId="76F4D3DC" w14:textId="77777777" w:rsidR="000813D5" w:rsidRDefault="000813D5">
      <w:pPr>
        <w:pStyle w:val="ListParagraph"/>
        <w:numPr>
          <w:ilvl w:val="0"/>
          <w:numId w:val="56"/>
        </w:numPr>
        <w:tabs>
          <w:tab w:val="left" w:pos="709"/>
        </w:tabs>
        <w:suppressAutoHyphens w:val="0"/>
        <w:spacing w:after="120" w:line="240" w:lineRule="auto"/>
        <w:ind w:right="1134"/>
        <w:rPr>
          <w:lang w:eastAsia="en-GB"/>
        </w:rPr>
      </w:pPr>
      <w:r w:rsidRPr="000A1695">
        <w:rPr>
          <w:lang w:eastAsia="en-GB"/>
        </w:rPr>
        <w:t xml:space="preserve">the ability of associations to function as meaningful participants in institutional processes. </w:t>
      </w:r>
    </w:p>
    <w:p w14:paraId="18369AFE" w14:textId="77777777" w:rsidR="008055EC" w:rsidRPr="000A1695" w:rsidRDefault="008055EC" w:rsidP="008055EC">
      <w:pPr>
        <w:tabs>
          <w:tab w:val="left" w:pos="709"/>
        </w:tabs>
        <w:suppressAutoHyphens w:val="0"/>
        <w:spacing w:after="120" w:line="240" w:lineRule="auto"/>
        <w:ind w:right="1134"/>
        <w:rPr>
          <w:lang w:eastAsia="en-GB"/>
        </w:rPr>
      </w:pPr>
    </w:p>
    <w:p w14:paraId="29709C21" w14:textId="77777777" w:rsidR="000813D5" w:rsidRPr="000A1695" w:rsidRDefault="000813D5" w:rsidP="008055EC">
      <w:pPr>
        <w:tabs>
          <w:tab w:val="left" w:pos="709"/>
        </w:tabs>
        <w:suppressAutoHyphens w:val="0"/>
        <w:spacing w:after="120" w:line="240" w:lineRule="auto"/>
        <w:ind w:left="1494" w:right="1134"/>
        <w:rPr>
          <w:lang w:eastAsia="en-GB"/>
        </w:rPr>
      </w:pPr>
      <w:r w:rsidRPr="000A1695">
        <w:rPr>
          <w:lang w:eastAsia="en-GB"/>
        </w:rPr>
        <w:t>A comprehensive interpretation of Article 22 should therefore:</w:t>
      </w:r>
    </w:p>
    <w:p w14:paraId="6022658B" w14:textId="77777777" w:rsidR="000813D5" w:rsidRPr="000A1695" w:rsidRDefault="000813D5">
      <w:pPr>
        <w:pStyle w:val="ListParagraph"/>
        <w:numPr>
          <w:ilvl w:val="0"/>
          <w:numId w:val="57"/>
        </w:numPr>
        <w:tabs>
          <w:tab w:val="left" w:pos="709"/>
        </w:tabs>
        <w:suppressAutoHyphens w:val="0"/>
        <w:spacing w:after="120" w:line="240" w:lineRule="auto"/>
        <w:ind w:right="1134"/>
        <w:rPr>
          <w:lang w:eastAsia="en-GB"/>
        </w:rPr>
      </w:pPr>
      <w:r w:rsidRPr="000A1695">
        <w:rPr>
          <w:lang w:eastAsia="en-GB"/>
        </w:rPr>
        <w:t xml:space="preserve">recognise the role of structural and indirect factors; </w:t>
      </w:r>
    </w:p>
    <w:p w14:paraId="229E713F" w14:textId="77777777" w:rsidR="000813D5" w:rsidRPr="000A1695" w:rsidRDefault="000813D5">
      <w:pPr>
        <w:pStyle w:val="ListParagraph"/>
        <w:numPr>
          <w:ilvl w:val="0"/>
          <w:numId w:val="57"/>
        </w:numPr>
        <w:tabs>
          <w:tab w:val="left" w:pos="709"/>
        </w:tabs>
        <w:suppressAutoHyphens w:val="0"/>
        <w:spacing w:after="120" w:line="240" w:lineRule="auto"/>
        <w:ind w:right="1134"/>
        <w:rPr>
          <w:lang w:eastAsia="en-GB"/>
        </w:rPr>
      </w:pPr>
      <w:r w:rsidRPr="000A1695">
        <w:rPr>
          <w:lang w:eastAsia="en-GB"/>
        </w:rPr>
        <w:t xml:space="preserve">emphasise the importance of pluralism and participation; and </w:t>
      </w:r>
    </w:p>
    <w:p w14:paraId="336B3902" w14:textId="1B2B8EF5" w:rsidR="00644A78" w:rsidRDefault="000813D5">
      <w:pPr>
        <w:pStyle w:val="ListParagraph"/>
        <w:numPr>
          <w:ilvl w:val="0"/>
          <w:numId w:val="57"/>
        </w:numPr>
        <w:tabs>
          <w:tab w:val="left" w:pos="709"/>
        </w:tabs>
        <w:suppressAutoHyphens w:val="0"/>
        <w:spacing w:before="100" w:beforeAutospacing="1" w:after="100" w:afterAutospacing="1" w:line="240" w:lineRule="auto"/>
        <w:ind w:right="1134"/>
        <w:rPr>
          <w:lang w:eastAsia="en-GB"/>
        </w:rPr>
      </w:pPr>
      <w:r w:rsidRPr="000A1695">
        <w:rPr>
          <w:lang w:eastAsia="en-GB"/>
        </w:rPr>
        <w:t xml:space="preserve">ensure that freedom of association is </w:t>
      </w:r>
      <w:r w:rsidRPr="008055EC">
        <w:rPr>
          <w:b/>
          <w:bCs/>
          <w:lang w:eastAsia="en-GB"/>
        </w:rPr>
        <w:t>effectively realised in practice</w:t>
      </w:r>
      <w:r w:rsidRPr="000A1695">
        <w:rPr>
          <w:lang w:eastAsia="en-GB"/>
        </w:rPr>
        <w:t>, including within regulated professions.</w:t>
      </w:r>
    </w:p>
    <w:p w14:paraId="1030FFF7" w14:textId="5E5902C5" w:rsidR="003615B6" w:rsidRPr="003615B6" w:rsidRDefault="003615B6" w:rsidP="003615B6">
      <w:pPr>
        <w:tabs>
          <w:tab w:val="left" w:pos="709"/>
        </w:tabs>
        <w:suppressAutoHyphens w:val="0"/>
        <w:spacing w:before="100" w:beforeAutospacing="1" w:after="100" w:afterAutospacing="1" w:line="240" w:lineRule="auto"/>
        <w:ind w:left="1134" w:right="1134"/>
        <w:rPr>
          <w:lang w:eastAsia="en-GB"/>
        </w:rPr>
      </w:pPr>
      <w:r w:rsidRPr="003615B6">
        <w:rPr>
          <w:lang w:eastAsia="en-GB"/>
        </w:rPr>
        <w:t>This submission does not dispute the legitimacy of measures aimed at redressing historical disadvantage, but seeks to emphasise the importance of ensuring that such measures remain compatible with pluralism, associational autonomy, and effective participation under Article 22.</w:t>
      </w:r>
    </w:p>
    <w:p w14:paraId="45272C3D" w14:textId="42D85F4D" w:rsidR="003615B6" w:rsidRDefault="003615B6" w:rsidP="003615B6">
      <w:pPr>
        <w:tabs>
          <w:tab w:val="left" w:pos="709"/>
        </w:tabs>
        <w:suppressAutoHyphens w:val="0"/>
        <w:spacing w:before="100" w:beforeAutospacing="1" w:after="100" w:afterAutospacing="1" w:line="240" w:lineRule="auto"/>
        <w:ind w:right="1134"/>
        <w:rPr>
          <w:lang w:eastAsia="en-GB"/>
        </w:rPr>
      </w:pPr>
    </w:p>
    <w:p w14:paraId="71181395" w14:textId="77777777" w:rsidR="00644A78" w:rsidRDefault="00644A78">
      <w:pPr>
        <w:suppressAutoHyphens w:val="0"/>
        <w:spacing w:after="200" w:line="276" w:lineRule="auto"/>
        <w:rPr>
          <w:lang w:eastAsia="en-GB"/>
        </w:rPr>
      </w:pPr>
      <w:r>
        <w:rPr>
          <w:lang w:eastAsia="en-GB"/>
        </w:rPr>
        <w:br w:type="page"/>
      </w:r>
    </w:p>
    <w:p w14:paraId="7DF49D6C" w14:textId="7A438DFF" w:rsidR="00644A78" w:rsidRDefault="00644A78" w:rsidP="00644A78">
      <w:pPr>
        <w:tabs>
          <w:tab w:val="left" w:pos="709"/>
        </w:tabs>
        <w:suppressAutoHyphens w:val="0"/>
        <w:spacing w:after="120" w:line="240" w:lineRule="auto"/>
        <w:ind w:right="1134"/>
        <w:rPr>
          <w:b/>
          <w:bCs/>
          <w:lang w:eastAsia="en-GB"/>
        </w:rPr>
      </w:pPr>
      <w:r>
        <w:rPr>
          <w:b/>
          <w:bCs/>
          <w:lang w:eastAsia="en-GB"/>
        </w:rPr>
        <w:tab/>
        <w:t>Bibliography</w:t>
      </w:r>
    </w:p>
    <w:p w14:paraId="7842BFF3" w14:textId="77777777" w:rsidR="00644A78" w:rsidRPr="000A1695" w:rsidRDefault="00644A78" w:rsidP="00644A78">
      <w:pPr>
        <w:tabs>
          <w:tab w:val="left" w:pos="709"/>
        </w:tabs>
        <w:suppressAutoHyphens w:val="0"/>
        <w:spacing w:after="120" w:line="240" w:lineRule="auto"/>
        <w:ind w:right="1134"/>
        <w:rPr>
          <w:b/>
          <w:bCs/>
          <w:lang w:eastAsia="en-GB"/>
        </w:rPr>
      </w:pPr>
    </w:p>
    <w:p w14:paraId="7512CCC5" w14:textId="77777777" w:rsidR="00644A78" w:rsidRPr="00644A78" w:rsidRDefault="00644A78" w:rsidP="00644A78">
      <w:pPr>
        <w:tabs>
          <w:tab w:val="left" w:pos="709"/>
        </w:tabs>
        <w:suppressAutoHyphens w:val="0"/>
        <w:spacing w:before="100" w:beforeAutospacing="1" w:after="100" w:afterAutospacing="1"/>
        <w:ind w:right="1134"/>
        <w:rPr>
          <w:b/>
          <w:bCs/>
          <w:lang w:eastAsia="en-GB"/>
        </w:rPr>
      </w:pPr>
      <w:r>
        <w:rPr>
          <w:lang w:eastAsia="en-GB"/>
        </w:rPr>
        <w:tab/>
      </w:r>
      <w:r>
        <w:rPr>
          <w:lang w:eastAsia="en-GB"/>
        </w:rPr>
        <w:tab/>
      </w:r>
      <w:r w:rsidRPr="00644A78">
        <w:rPr>
          <w:b/>
          <w:bCs/>
          <w:lang w:eastAsia="en-GB"/>
        </w:rPr>
        <w:t>International and United Nations Sources</w:t>
      </w:r>
    </w:p>
    <w:p w14:paraId="6D469747" w14:textId="42B65688"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 xml:space="preserve">Human Rights Committee, </w:t>
      </w:r>
      <w:r w:rsidRPr="00644A78">
        <w:rPr>
          <w:i/>
          <w:iCs/>
          <w:lang w:eastAsia="en-GB"/>
        </w:rPr>
        <w:t>Draft General Comment No. 38 on Article 22 (Right to Freedom of Association)</w:t>
      </w:r>
      <w:r w:rsidRPr="00644A78">
        <w:rPr>
          <w:lang w:eastAsia="en-GB"/>
        </w:rPr>
        <w:t xml:space="preserve"> (First Reading, 145th Session, March 2026)</w:t>
      </w:r>
      <w:r w:rsidRPr="00644A78">
        <w:rPr>
          <w:lang w:eastAsia="en-GB"/>
        </w:rPr>
        <w:br/>
      </w:r>
      <w:hyperlink r:id="rId11" w:history="1">
        <w:r w:rsidRPr="009B4352">
          <w:rPr>
            <w:rStyle w:val="Hyperlink"/>
            <w:rFonts w:eastAsia="Times New Roman"/>
            <w:lang w:eastAsia="en-GB"/>
          </w:rPr>
          <w:t>https://www.ohchr.org/sites/default/files/documents/hrbodies/ccpr/cfis/gc38-22/draft-gc-38-call-for-comments-en.docx</w:t>
        </w:r>
      </w:hyperlink>
      <w:r>
        <w:rPr>
          <w:lang w:eastAsia="en-GB"/>
        </w:rPr>
        <w:t xml:space="preserve"> </w:t>
      </w:r>
    </w:p>
    <w:p w14:paraId="4826666B" w14:textId="77777777"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 xml:space="preserve">United Nations Human Rights Committee, </w:t>
      </w:r>
      <w:r w:rsidRPr="00644A78">
        <w:rPr>
          <w:i/>
          <w:iCs/>
          <w:lang w:eastAsia="en-GB"/>
        </w:rPr>
        <w:t>International Covenant on Civil and Political Rights</w:t>
      </w:r>
      <w:r w:rsidRPr="00644A78">
        <w:rPr>
          <w:lang w:eastAsia="en-GB"/>
        </w:rPr>
        <w:t xml:space="preserve"> (1966)</w:t>
      </w:r>
      <w:r w:rsidRPr="00644A78">
        <w:rPr>
          <w:lang w:eastAsia="en-GB"/>
        </w:rPr>
        <w:br/>
      </w:r>
      <w:hyperlink r:id="rId12" w:tgtFrame="_new" w:history="1">
        <w:r w:rsidRPr="00644A78">
          <w:rPr>
            <w:rStyle w:val="Hyperlink"/>
            <w:rFonts w:eastAsia="Times New Roman"/>
            <w:lang w:eastAsia="en-GB"/>
          </w:rPr>
          <w:t>https://www.ohchr.org/en/instruments-mechanisms/instruments/international-covenant-civil-and-political-rights</w:t>
        </w:r>
      </w:hyperlink>
    </w:p>
    <w:p w14:paraId="0433F8CE" w14:textId="77777777"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 xml:space="preserve">United Nations, </w:t>
      </w:r>
      <w:r w:rsidRPr="00644A78">
        <w:rPr>
          <w:i/>
          <w:iCs/>
          <w:lang w:eastAsia="en-GB"/>
        </w:rPr>
        <w:t>Basic Principles on the Role of Lawyers</w:t>
      </w:r>
      <w:r w:rsidRPr="00644A78">
        <w:rPr>
          <w:lang w:eastAsia="en-GB"/>
        </w:rPr>
        <w:t xml:space="preserve"> (1990)</w:t>
      </w:r>
      <w:r w:rsidRPr="00644A78">
        <w:rPr>
          <w:lang w:eastAsia="en-GB"/>
        </w:rPr>
        <w:br/>
      </w:r>
      <w:hyperlink r:id="rId13" w:tgtFrame="_new" w:history="1">
        <w:r w:rsidRPr="00644A78">
          <w:rPr>
            <w:rStyle w:val="Hyperlink"/>
            <w:rFonts w:eastAsia="Times New Roman"/>
            <w:lang w:eastAsia="en-GB"/>
          </w:rPr>
          <w:t>https://www.ohchr.org/en/instruments-mechanisms/instruments/basic-principles-role-lawyers</w:t>
        </w:r>
      </w:hyperlink>
    </w:p>
    <w:p w14:paraId="0AE33679" w14:textId="77777777" w:rsidR="00644A78" w:rsidRDefault="00644A78" w:rsidP="00644A78">
      <w:pPr>
        <w:tabs>
          <w:tab w:val="left" w:pos="709"/>
        </w:tabs>
        <w:suppressAutoHyphens w:val="0"/>
        <w:spacing w:before="100" w:beforeAutospacing="1" w:after="100" w:afterAutospacing="1" w:line="240" w:lineRule="auto"/>
        <w:ind w:left="1134" w:right="1134"/>
        <w:rPr>
          <w:lang w:eastAsia="en-GB"/>
        </w:rPr>
      </w:pPr>
    </w:p>
    <w:p w14:paraId="26D195F7" w14:textId="68226756" w:rsidR="00644A78" w:rsidRPr="00644A78" w:rsidRDefault="00644A78" w:rsidP="00644A78">
      <w:pPr>
        <w:tabs>
          <w:tab w:val="left" w:pos="709"/>
        </w:tabs>
        <w:suppressAutoHyphens w:val="0"/>
        <w:spacing w:before="100" w:beforeAutospacing="1" w:after="100" w:afterAutospacing="1" w:line="240" w:lineRule="auto"/>
        <w:ind w:left="1134" w:right="1134"/>
        <w:rPr>
          <w:b/>
          <w:bCs/>
          <w:lang w:eastAsia="en-GB"/>
        </w:rPr>
      </w:pPr>
      <w:r w:rsidRPr="00644A78">
        <w:rPr>
          <w:b/>
          <w:bCs/>
          <w:lang w:eastAsia="en-GB"/>
        </w:rPr>
        <w:t>South African Legislation and Government Sources</w:t>
      </w:r>
    </w:p>
    <w:p w14:paraId="5172F50E" w14:textId="57EAF79D"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 xml:space="preserve">Republic of South Africa, </w:t>
      </w:r>
      <w:r w:rsidRPr="00644A78">
        <w:rPr>
          <w:i/>
          <w:iCs/>
          <w:lang w:eastAsia="en-GB"/>
        </w:rPr>
        <w:t>Constitution of the Republic of South Africa, 1996</w:t>
      </w:r>
      <w:r w:rsidRPr="00644A78">
        <w:rPr>
          <w:lang w:eastAsia="en-GB"/>
        </w:rPr>
        <w:br/>
      </w:r>
      <w:hyperlink r:id="rId14" w:history="1">
        <w:r w:rsidR="00C32623" w:rsidRPr="0091594C">
          <w:rPr>
            <w:rStyle w:val="Hyperlink"/>
            <w:rFonts w:eastAsia="Times New Roman"/>
          </w:rPr>
          <w:t>https://www.justice.gov.za/constitution/SAConstitution-web-eng.pdf</w:t>
        </w:r>
      </w:hyperlink>
      <w:r w:rsidR="00C32623">
        <w:t xml:space="preserve"> </w:t>
      </w:r>
    </w:p>
    <w:p w14:paraId="422FE923" w14:textId="6DE22EEB"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 xml:space="preserve">Republic of South Africa, </w:t>
      </w:r>
      <w:r w:rsidRPr="00644A78">
        <w:rPr>
          <w:i/>
          <w:iCs/>
          <w:lang w:eastAsia="en-GB"/>
        </w:rPr>
        <w:t>Legal Practice Act 28 of 2014</w:t>
      </w:r>
      <w:r w:rsidRPr="00644A78">
        <w:rPr>
          <w:lang w:eastAsia="en-GB"/>
        </w:rPr>
        <w:br/>
      </w:r>
      <w:hyperlink r:id="rId15" w:history="1">
        <w:r w:rsidR="000118BF" w:rsidRPr="0091594C">
          <w:rPr>
            <w:rStyle w:val="Hyperlink"/>
            <w:rFonts w:eastAsia="Times New Roman"/>
          </w:rPr>
          <w:t>https://www.gov.za/sites/default/files/gcis_document/201409/3802222-9act28of2014legalpracticeacta.pdf</w:t>
        </w:r>
      </w:hyperlink>
      <w:r w:rsidR="000118BF">
        <w:t xml:space="preserve"> </w:t>
      </w:r>
    </w:p>
    <w:p w14:paraId="430FAF64" w14:textId="77777777"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 xml:space="preserve">Department of Justice and Constitutional Development, </w:t>
      </w:r>
      <w:r w:rsidRPr="00644A78">
        <w:rPr>
          <w:i/>
          <w:iCs/>
          <w:lang w:eastAsia="en-GB"/>
        </w:rPr>
        <w:t>Legal Sector Code an Important Instrument of Transformative Tool for the Legal Profession</w:t>
      </w:r>
      <w:r w:rsidRPr="00644A78">
        <w:rPr>
          <w:lang w:eastAsia="en-GB"/>
        </w:rPr>
        <w:t xml:space="preserve"> (27 July 2022)</w:t>
      </w:r>
      <w:r w:rsidRPr="00644A78">
        <w:rPr>
          <w:lang w:eastAsia="en-GB"/>
        </w:rPr>
        <w:br/>
      </w:r>
      <w:hyperlink r:id="rId16" w:tgtFrame="_new" w:history="1">
        <w:r w:rsidRPr="00644A78">
          <w:rPr>
            <w:rStyle w:val="Hyperlink"/>
            <w:rFonts w:eastAsia="Times New Roman"/>
            <w:lang w:eastAsia="en-GB"/>
          </w:rPr>
          <w:t>https://www.justice.gov.za/m_statements/2022/20220727-LegalSectorCode.html</w:t>
        </w:r>
      </w:hyperlink>
    </w:p>
    <w:p w14:paraId="16C63714" w14:textId="77777777" w:rsidR="00644A78" w:rsidRDefault="00644A78" w:rsidP="00644A78">
      <w:pPr>
        <w:tabs>
          <w:tab w:val="left" w:pos="709"/>
        </w:tabs>
        <w:suppressAutoHyphens w:val="0"/>
        <w:spacing w:before="100" w:beforeAutospacing="1" w:after="100" w:afterAutospacing="1" w:line="240" w:lineRule="auto"/>
        <w:ind w:left="1134" w:right="1134"/>
        <w:rPr>
          <w:lang w:eastAsia="en-GB"/>
        </w:rPr>
      </w:pPr>
    </w:p>
    <w:p w14:paraId="65180A07" w14:textId="7527E697" w:rsidR="00644A78" w:rsidRPr="00644A78" w:rsidRDefault="00644A78" w:rsidP="00644A78">
      <w:pPr>
        <w:tabs>
          <w:tab w:val="left" w:pos="709"/>
        </w:tabs>
        <w:suppressAutoHyphens w:val="0"/>
        <w:spacing w:before="100" w:beforeAutospacing="1" w:after="100" w:afterAutospacing="1" w:line="240" w:lineRule="auto"/>
        <w:ind w:left="1134" w:right="1134"/>
        <w:rPr>
          <w:b/>
          <w:bCs/>
          <w:lang w:eastAsia="en-GB"/>
        </w:rPr>
      </w:pPr>
      <w:r w:rsidRPr="00644A78">
        <w:rPr>
          <w:b/>
          <w:bCs/>
          <w:lang w:eastAsia="en-GB"/>
        </w:rPr>
        <w:t>Legal Profession and Professional Governance Sources</w:t>
      </w:r>
    </w:p>
    <w:p w14:paraId="6645A90C" w14:textId="72A6029D"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De Rebus, ‘LSSA News Update – May 2019’ (10 May 2019)</w:t>
      </w:r>
      <w:r w:rsidRPr="00644A78">
        <w:rPr>
          <w:lang w:eastAsia="en-GB"/>
        </w:rPr>
        <w:br/>
      </w:r>
      <w:hyperlink r:id="rId17" w:history="1">
        <w:r w:rsidRPr="009B4352">
          <w:rPr>
            <w:rStyle w:val="Hyperlink"/>
            <w:rFonts w:eastAsia="Times New Roman"/>
            <w:lang w:eastAsia="en-GB"/>
          </w:rPr>
          <w:t>https://www.derebus.org.za/lssa-news-update-may-2019/</w:t>
        </w:r>
      </w:hyperlink>
      <w:r>
        <w:rPr>
          <w:lang w:eastAsia="en-GB"/>
        </w:rPr>
        <w:t xml:space="preserve"> </w:t>
      </w:r>
    </w:p>
    <w:p w14:paraId="719EBC4A" w14:textId="77777777" w:rsidR="00644A78" w:rsidRDefault="00644A78" w:rsidP="00644A78">
      <w:pPr>
        <w:tabs>
          <w:tab w:val="left" w:pos="709"/>
        </w:tabs>
        <w:suppressAutoHyphens w:val="0"/>
        <w:spacing w:before="100" w:beforeAutospacing="1" w:after="100" w:afterAutospacing="1" w:line="240" w:lineRule="auto"/>
        <w:ind w:left="1134" w:right="1134"/>
        <w:rPr>
          <w:lang w:eastAsia="en-GB"/>
        </w:rPr>
      </w:pPr>
    </w:p>
    <w:p w14:paraId="46D40DEC" w14:textId="65BF2942" w:rsidR="00644A78" w:rsidRPr="00644A78" w:rsidRDefault="00644A78" w:rsidP="00644A78">
      <w:pPr>
        <w:tabs>
          <w:tab w:val="left" w:pos="709"/>
        </w:tabs>
        <w:suppressAutoHyphens w:val="0"/>
        <w:spacing w:before="100" w:beforeAutospacing="1" w:after="100" w:afterAutospacing="1" w:line="240" w:lineRule="auto"/>
        <w:ind w:left="1134" w:right="1134"/>
        <w:rPr>
          <w:b/>
          <w:bCs/>
          <w:lang w:eastAsia="en-GB"/>
        </w:rPr>
      </w:pPr>
      <w:r w:rsidRPr="00644A78">
        <w:rPr>
          <w:b/>
          <w:bCs/>
          <w:lang w:eastAsia="en-GB"/>
        </w:rPr>
        <w:t>Internal / Non-Public Supporting Materials Submitted to the Committee</w:t>
      </w:r>
    </w:p>
    <w:p w14:paraId="5026E196" w14:textId="77777777"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 xml:space="preserve">University of South Africa (UNISA), College of Law, </w:t>
      </w:r>
      <w:r w:rsidRPr="00644A78">
        <w:rPr>
          <w:i/>
          <w:iCs/>
          <w:lang w:eastAsia="en-GB"/>
        </w:rPr>
        <w:t>Curriculum Transformation Plan 2023–2025</w:t>
      </w:r>
      <w:r w:rsidRPr="00644A78">
        <w:rPr>
          <w:lang w:eastAsia="en-GB"/>
        </w:rPr>
        <w:t xml:space="preserve"> (internal institutional document, submitted separately to the Human Rights Committee).</w:t>
      </w:r>
    </w:p>
    <w:p w14:paraId="7EA922F0" w14:textId="77777777"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Correspondence with the Legal Practice Council regarding regulatory and institutional matters (2025) (submitted separately to the Human Rights Committee).</w:t>
      </w:r>
    </w:p>
    <w:p w14:paraId="2E0A52F3" w14:textId="77777777" w:rsidR="00644A78" w:rsidRDefault="00644A78" w:rsidP="00644A78">
      <w:pPr>
        <w:tabs>
          <w:tab w:val="left" w:pos="709"/>
        </w:tabs>
        <w:suppressAutoHyphens w:val="0"/>
        <w:spacing w:before="100" w:beforeAutospacing="1" w:after="100" w:afterAutospacing="1" w:line="240" w:lineRule="auto"/>
        <w:ind w:left="1134" w:right="1134"/>
        <w:rPr>
          <w:lang w:eastAsia="en-GB"/>
        </w:rPr>
      </w:pPr>
    </w:p>
    <w:p w14:paraId="6C6D1DFE" w14:textId="71AA51A0" w:rsidR="00644A78" w:rsidRPr="00644A78" w:rsidRDefault="00644A78" w:rsidP="00644A78">
      <w:pPr>
        <w:tabs>
          <w:tab w:val="left" w:pos="709"/>
        </w:tabs>
        <w:suppressAutoHyphens w:val="0"/>
        <w:spacing w:before="100" w:beforeAutospacing="1" w:after="100" w:afterAutospacing="1" w:line="240" w:lineRule="auto"/>
        <w:ind w:left="1134" w:right="1134"/>
        <w:rPr>
          <w:b/>
          <w:bCs/>
          <w:lang w:eastAsia="en-GB"/>
        </w:rPr>
      </w:pPr>
      <w:r w:rsidRPr="00644A78">
        <w:rPr>
          <w:b/>
          <w:bCs/>
          <w:lang w:eastAsia="en-GB"/>
        </w:rPr>
        <w:t>Media and Public Commentary Sources</w:t>
      </w:r>
    </w:p>
    <w:p w14:paraId="312479C8" w14:textId="38D09980"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proofErr w:type="spellStart"/>
      <w:r w:rsidRPr="00644A78">
        <w:rPr>
          <w:lang w:eastAsia="en-GB"/>
        </w:rPr>
        <w:t>SowetanLIVE</w:t>
      </w:r>
      <w:proofErr w:type="spellEnd"/>
      <w:r w:rsidRPr="00644A78">
        <w:rPr>
          <w:lang w:eastAsia="en-GB"/>
        </w:rPr>
        <w:t>, ‘What You Need to Know About the B-BBEE Court Challenge’ (5 May 2026)</w:t>
      </w:r>
      <w:r>
        <w:rPr>
          <w:lang w:eastAsia="en-GB"/>
        </w:rPr>
        <w:br/>
      </w:r>
      <w:hyperlink r:id="rId18" w:history="1">
        <w:r w:rsidRPr="009B4352">
          <w:rPr>
            <w:rStyle w:val="Hyperlink"/>
            <w:rFonts w:eastAsia="Times New Roman"/>
            <w:lang w:eastAsia="en-GB"/>
          </w:rPr>
          <w:t>https://www.sowetan.co.za/news/2026-05-05-what-you-need-to-know-about-the-b-bbee-court-challenge/</w:t>
        </w:r>
      </w:hyperlink>
      <w:r>
        <w:rPr>
          <w:lang w:eastAsia="en-GB"/>
        </w:rPr>
        <w:t xml:space="preserve"> </w:t>
      </w:r>
    </w:p>
    <w:p w14:paraId="5F60C5B2" w14:textId="1D747856" w:rsidR="00644A78" w:rsidRPr="00644A78" w:rsidRDefault="00644A78" w:rsidP="00644A78">
      <w:pPr>
        <w:tabs>
          <w:tab w:val="left" w:pos="709"/>
        </w:tabs>
        <w:suppressAutoHyphens w:val="0"/>
        <w:spacing w:before="100" w:beforeAutospacing="1" w:after="100" w:afterAutospacing="1" w:line="240" w:lineRule="auto"/>
        <w:ind w:left="1134" w:right="1134"/>
        <w:rPr>
          <w:lang w:eastAsia="en-GB"/>
        </w:rPr>
      </w:pPr>
      <w:r w:rsidRPr="00644A78">
        <w:rPr>
          <w:lang w:eastAsia="en-GB"/>
        </w:rPr>
        <w:t>Daily Investor, ‘Minister Says Anyone Who Opens a Debate About BEE Promotes White Supremacy’ (6 January 2026)</w:t>
      </w:r>
      <w:r w:rsidRPr="00644A78">
        <w:rPr>
          <w:lang w:eastAsia="en-GB"/>
        </w:rPr>
        <w:br/>
      </w:r>
      <w:hyperlink r:id="rId19" w:history="1">
        <w:r w:rsidRPr="009B4352">
          <w:rPr>
            <w:rStyle w:val="Hyperlink"/>
            <w:rFonts w:eastAsia="Times New Roman"/>
            <w:lang w:eastAsia="en-GB"/>
          </w:rPr>
          <w:t>https://dailyinvestor.com/south-africa/115044/minister-says-anyone-who-opens-a-debate-about-bee-promotes-white-supremacy/</w:t>
        </w:r>
      </w:hyperlink>
      <w:r>
        <w:rPr>
          <w:lang w:eastAsia="en-GB"/>
        </w:rPr>
        <w:t xml:space="preserve"> </w:t>
      </w:r>
    </w:p>
    <w:p w14:paraId="34DCF18D" w14:textId="1E8D27EA" w:rsidR="000813D5" w:rsidRPr="000A1695" w:rsidRDefault="000813D5" w:rsidP="00644A78">
      <w:pPr>
        <w:tabs>
          <w:tab w:val="left" w:pos="709"/>
        </w:tabs>
        <w:suppressAutoHyphens w:val="0"/>
        <w:spacing w:before="100" w:beforeAutospacing="1" w:after="100" w:afterAutospacing="1" w:line="240" w:lineRule="auto"/>
        <w:ind w:right="1134"/>
        <w:rPr>
          <w:lang w:eastAsia="en-GB"/>
        </w:rPr>
      </w:pPr>
    </w:p>
    <w:sectPr w:rsidR="000813D5" w:rsidRPr="000A1695" w:rsidSect="00472FED">
      <w:headerReference w:type="default" r:id="rId20"/>
      <w:footerReference w:type="even" r:id="rId21"/>
      <w:footerReference w:type="default" r:id="rId22"/>
      <w:headerReference w:type="first" r:id="rId23"/>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C1685" w14:textId="77777777" w:rsidR="008A5595" w:rsidRPr="00B903E5" w:rsidRDefault="008A5595" w:rsidP="00B903E5">
      <w:pPr>
        <w:pStyle w:val="Footer"/>
      </w:pPr>
    </w:p>
  </w:endnote>
  <w:endnote w:type="continuationSeparator" w:id="0">
    <w:p w14:paraId="56A71FA0" w14:textId="77777777" w:rsidR="008A5595" w:rsidRPr="00B903E5" w:rsidRDefault="008A5595" w:rsidP="00B903E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819A" w14:textId="14278E29" w:rsidR="00535457" w:rsidRDefault="00535457" w:rsidP="00535457">
    <w:pPr>
      <w:pStyle w:val="Footer"/>
      <w:tabs>
        <w:tab w:val="right" w:pos="9638"/>
      </w:tabs>
    </w:pPr>
    <w:r w:rsidRPr="00535457">
      <w:rPr>
        <w:b/>
        <w:bCs/>
        <w:sz w:val="18"/>
      </w:rPr>
      <w:fldChar w:fldCharType="begin"/>
    </w:r>
    <w:r w:rsidRPr="00535457">
      <w:rPr>
        <w:b/>
        <w:bCs/>
        <w:sz w:val="18"/>
      </w:rPr>
      <w:instrText xml:space="preserve"> PAGE  \* MERGEFORMAT </w:instrText>
    </w:r>
    <w:r w:rsidRPr="00535457">
      <w:rPr>
        <w:b/>
        <w:bCs/>
        <w:sz w:val="18"/>
      </w:rPr>
      <w:fldChar w:fldCharType="separate"/>
    </w:r>
    <w:r w:rsidRPr="00535457">
      <w:rPr>
        <w:b/>
        <w:bCs/>
        <w:noProof/>
        <w:sz w:val="18"/>
      </w:rPr>
      <w:t>2</w:t>
    </w:r>
    <w:r w:rsidRPr="00535457">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D133" w14:textId="242E54D4" w:rsidR="00535457" w:rsidRDefault="00535457" w:rsidP="00535457">
    <w:pPr>
      <w:pStyle w:val="Footer"/>
      <w:tabs>
        <w:tab w:val="right" w:pos="9638"/>
      </w:tabs>
    </w:pPr>
    <w:r>
      <w:tab/>
    </w:r>
    <w:r w:rsidRPr="00535457">
      <w:rPr>
        <w:b/>
        <w:bCs/>
        <w:sz w:val="18"/>
      </w:rPr>
      <w:fldChar w:fldCharType="begin"/>
    </w:r>
    <w:r w:rsidRPr="00535457">
      <w:rPr>
        <w:b/>
        <w:bCs/>
        <w:sz w:val="18"/>
      </w:rPr>
      <w:instrText xml:space="preserve"> PAGE  \* MERGEFORMAT </w:instrText>
    </w:r>
    <w:r w:rsidRPr="00535457">
      <w:rPr>
        <w:b/>
        <w:bCs/>
        <w:sz w:val="18"/>
      </w:rPr>
      <w:fldChar w:fldCharType="separate"/>
    </w:r>
    <w:r w:rsidRPr="00535457">
      <w:rPr>
        <w:b/>
        <w:bCs/>
        <w:noProof/>
        <w:sz w:val="18"/>
      </w:rPr>
      <w:t>3</w:t>
    </w:r>
    <w:r w:rsidRPr="0053545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4D1CA" w14:textId="77777777" w:rsidR="008A5595" w:rsidRPr="00B903E5" w:rsidRDefault="008A5595" w:rsidP="00B903E5">
      <w:pPr>
        <w:tabs>
          <w:tab w:val="right" w:pos="2155"/>
        </w:tabs>
        <w:spacing w:after="80" w:line="240" w:lineRule="auto"/>
        <w:ind w:left="680"/>
      </w:pPr>
      <w:r>
        <w:rPr>
          <w:u w:val="single"/>
        </w:rPr>
        <w:tab/>
      </w:r>
    </w:p>
  </w:footnote>
  <w:footnote w:type="continuationSeparator" w:id="0">
    <w:p w14:paraId="4245BD7F" w14:textId="77777777" w:rsidR="008A5595" w:rsidRPr="00B903E5" w:rsidRDefault="008A5595" w:rsidP="00B903E5">
      <w:pPr>
        <w:tabs>
          <w:tab w:val="right" w:pos="2155"/>
        </w:tabs>
        <w:spacing w:after="80" w:line="240" w:lineRule="auto"/>
        <w:ind w:left="680"/>
      </w:pPr>
      <w:r>
        <w:rPr>
          <w:u w:val="single"/>
        </w:rPr>
        <w:tab/>
      </w:r>
    </w:p>
  </w:footnote>
  <w:footnote w:id="1">
    <w:p w14:paraId="39412FDE" w14:textId="1BAFB04E" w:rsidR="00E955E3" w:rsidRPr="00533B17" w:rsidRDefault="00E955E3" w:rsidP="00E955E3">
      <w:pPr>
        <w:pStyle w:val="FootnoteText"/>
      </w:pPr>
      <w:r w:rsidRPr="009E5CAE">
        <w:rPr>
          <w:rStyle w:val="FootnoteReference"/>
        </w:rPr>
        <w:t>*</w:t>
      </w:r>
      <w:r w:rsidRPr="009E5CAE">
        <w:t xml:space="preserve"> </w:t>
      </w:r>
      <w:r w:rsidRPr="009E5CAE">
        <w:tab/>
        <w:t xml:space="preserve">Draft adopted on First Reading during the 145th </w:t>
      </w:r>
      <w:r w:rsidR="000558A3" w:rsidRPr="009E5CAE">
        <w:t>s</w:t>
      </w:r>
      <w:r w:rsidRPr="009E5CAE">
        <w:t xml:space="preserve">ession </w:t>
      </w:r>
      <w:r w:rsidR="000558A3" w:rsidRPr="009E5CAE">
        <w:t xml:space="preserve">of the Committee </w:t>
      </w:r>
      <w:r w:rsidRPr="009E5CAE">
        <w:t>(2- 19 March 2026).</w:t>
      </w:r>
    </w:p>
  </w:footnote>
  <w:footnote w:id="2">
    <w:p w14:paraId="47591171" w14:textId="2CAA70D1" w:rsidR="0080208D" w:rsidRPr="0080208D" w:rsidRDefault="0080208D" w:rsidP="003615B6">
      <w:pPr>
        <w:pStyle w:val="FootnoteText"/>
        <w:tabs>
          <w:tab w:val="clear" w:pos="1021"/>
        </w:tabs>
        <w:ind w:left="142" w:hanging="142"/>
        <w:rPr>
          <w:lang w:val="en-US"/>
        </w:rPr>
      </w:pPr>
      <w:r>
        <w:rPr>
          <w:rStyle w:val="FootnoteReference"/>
        </w:rPr>
        <w:footnoteRef/>
      </w:r>
      <w:r>
        <w:t xml:space="preserve"> </w:t>
      </w:r>
      <w:r w:rsidR="001378E0" w:rsidRPr="001378E0">
        <w:t>International Covenant on Civil and Political Rights (adopted 16 December 1966, entered into force 23 March</w:t>
      </w:r>
      <w:r w:rsidR="001378E0">
        <w:t xml:space="preserve"> </w:t>
      </w:r>
      <w:r w:rsidR="001378E0" w:rsidRPr="001378E0">
        <w:t>1976) 999 UNTS 171 (ICCPR).</w:t>
      </w:r>
    </w:p>
  </w:footnote>
  <w:footnote w:id="3">
    <w:p w14:paraId="03345AD4" w14:textId="40721A4B" w:rsidR="001378E0" w:rsidRPr="001378E0" w:rsidRDefault="001378E0" w:rsidP="003615B6">
      <w:pPr>
        <w:pStyle w:val="FootnoteText"/>
        <w:tabs>
          <w:tab w:val="clear" w:pos="1021"/>
        </w:tabs>
        <w:ind w:left="142" w:hanging="142"/>
        <w:rPr>
          <w:lang w:val="en-US"/>
        </w:rPr>
      </w:pPr>
      <w:r>
        <w:rPr>
          <w:rStyle w:val="FootnoteReference"/>
        </w:rPr>
        <w:footnoteRef/>
      </w:r>
      <w:r>
        <w:t xml:space="preserve"> </w:t>
      </w:r>
      <w:r w:rsidRPr="001378E0">
        <w:t>Human Rights Committee, Draft General Comment No. 38 on Article 22 (right to freedom of association) (2026 draft).</w:t>
      </w:r>
    </w:p>
  </w:footnote>
  <w:footnote w:id="4">
    <w:p w14:paraId="515A511E" w14:textId="5E3CE88E" w:rsidR="001378E0" w:rsidRPr="001378E0" w:rsidRDefault="001378E0">
      <w:pPr>
        <w:pStyle w:val="FootnoteText"/>
        <w:rPr>
          <w:lang w:val="en-US"/>
        </w:rPr>
      </w:pPr>
      <w:r>
        <w:rPr>
          <w:rStyle w:val="FootnoteReference"/>
        </w:rPr>
        <w:footnoteRef/>
      </w:r>
      <w:r>
        <w:t xml:space="preserve"> </w:t>
      </w:r>
      <w:r w:rsidRPr="001378E0">
        <w:t>Basic Principles on the Role of Lawyers (adopted 7 September 1990) Principle 23.</w:t>
      </w:r>
    </w:p>
  </w:footnote>
  <w:footnote w:id="5">
    <w:p w14:paraId="05D498E8" w14:textId="09BEF3A3" w:rsidR="001378E0" w:rsidRPr="001378E0" w:rsidRDefault="001378E0">
      <w:pPr>
        <w:pStyle w:val="FootnoteText"/>
        <w:rPr>
          <w:lang w:val="en-US"/>
        </w:rPr>
      </w:pPr>
      <w:r>
        <w:rPr>
          <w:rStyle w:val="FootnoteReference"/>
        </w:rPr>
        <w:footnoteRef/>
      </w:r>
      <w:r>
        <w:t xml:space="preserve"> </w:t>
      </w:r>
      <w:r w:rsidRPr="001378E0">
        <w:t>Basic Principles on the Role of Lawyers (n 3) Principle 24.</w:t>
      </w:r>
    </w:p>
  </w:footnote>
  <w:footnote w:id="6">
    <w:p w14:paraId="7543B2D5" w14:textId="0E78686C" w:rsidR="001378E0" w:rsidRPr="001378E0" w:rsidRDefault="001378E0">
      <w:pPr>
        <w:pStyle w:val="FootnoteText"/>
        <w:rPr>
          <w:lang w:val="en-US"/>
        </w:rPr>
      </w:pPr>
      <w:r>
        <w:rPr>
          <w:rStyle w:val="FootnoteReference"/>
        </w:rPr>
        <w:footnoteRef/>
      </w:r>
      <w:r>
        <w:t xml:space="preserve"> </w:t>
      </w:r>
      <w:r w:rsidRPr="001378E0">
        <w:t>Basic Principles on the Role of Lawyers (n 3) Principles 9–10.</w:t>
      </w:r>
    </w:p>
  </w:footnote>
  <w:footnote w:id="7">
    <w:p w14:paraId="6162CE3B" w14:textId="712F633B" w:rsidR="0008072D" w:rsidRPr="0008072D" w:rsidRDefault="0008072D">
      <w:pPr>
        <w:pStyle w:val="FootnoteText"/>
        <w:rPr>
          <w:lang w:val="en-US"/>
        </w:rPr>
      </w:pPr>
      <w:r>
        <w:rPr>
          <w:rStyle w:val="FootnoteReference"/>
        </w:rPr>
        <w:footnoteRef/>
      </w:r>
      <w:r>
        <w:t xml:space="preserve"> </w:t>
      </w:r>
      <w:r w:rsidRPr="0008072D">
        <w:t>Human Rights Committee, Draft General Comment No. 38 on Article 22 (2026 draft) para 7.</w:t>
      </w:r>
    </w:p>
  </w:footnote>
  <w:footnote w:id="8">
    <w:p w14:paraId="24EF1912" w14:textId="34A3A555" w:rsidR="0008072D" w:rsidRPr="0008072D" w:rsidRDefault="0008072D">
      <w:pPr>
        <w:pStyle w:val="FootnoteText"/>
        <w:rPr>
          <w:lang w:val="en-US"/>
        </w:rPr>
      </w:pPr>
      <w:r>
        <w:rPr>
          <w:rStyle w:val="FootnoteReference"/>
        </w:rPr>
        <w:footnoteRef/>
      </w:r>
      <w:r>
        <w:t xml:space="preserve"> </w:t>
      </w:r>
      <w:r w:rsidRPr="0008072D">
        <w:t>Basic Principles on the Role of Lawyers (adopted 7 September 1990) Principles 23–24.</w:t>
      </w:r>
    </w:p>
  </w:footnote>
  <w:footnote w:id="9">
    <w:p w14:paraId="2A6CB88B" w14:textId="0E1F846C" w:rsidR="0008072D" w:rsidRPr="0008072D" w:rsidRDefault="0008072D">
      <w:pPr>
        <w:pStyle w:val="FootnoteText"/>
        <w:rPr>
          <w:lang w:val="en-US"/>
        </w:rPr>
      </w:pPr>
      <w:r>
        <w:rPr>
          <w:rStyle w:val="FootnoteReference"/>
        </w:rPr>
        <w:footnoteRef/>
      </w:r>
      <w:r>
        <w:t xml:space="preserve"> </w:t>
      </w:r>
      <w:r w:rsidRPr="0008072D">
        <w:t>Human Rights Committee, Draft General Comment No. 38 on Article 22 (2026 draft) para 9.</w:t>
      </w:r>
    </w:p>
  </w:footnote>
  <w:footnote w:id="10">
    <w:p w14:paraId="1B5DD204" w14:textId="0DDFD46B" w:rsidR="0008072D" w:rsidRPr="0008072D" w:rsidRDefault="0008072D">
      <w:pPr>
        <w:pStyle w:val="FootnoteText"/>
        <w:rPr>
          <w:lang w:val="en-US"/>
        </w:rPr>
      </w:pPr>
      <w:r>
        <w:rPr>
          <w:rStyle w:val="FootnoteReference"/>
        </w:rPr>
        <w:footnoteRef/>
      </w:r>
      <w:r>
        <w:t xml:space="preserve"> </w:t>
      </w:r>
      <w:r w:rsidRPr="0008072D">
        <w:t>Human Rights Committee, Draft General Comment No. 38 on Article 22 (2026 draft) para 10.</w:t>
      </w:r>
    </w:p>
  </w:footnote>
  <w:footnote w:id="11">
    <w:p w14:paraId="43C62B5A" w14:textId="08AE4E07" w:rsidR="0008072D" w:rsidRPr="0008072D" w:rsidRDefault="0008072D">
      <w:pPr>
        <w:pStyle w:val="FootnoteText"/>
        <w:rPr>
          <w:lang w:val="en-US"/>
        </w:rPr>
      </w:pPr>
      <w:r>
        <w:rPr>
          <w:rStyle w:val="FootnoteReference"/>
        </w:rPr>
        <w:footnoteRef/>
      </w:r>
      <w:r>
        <w:t xml:space="preserve"> </w:t>
      </w:r>
      <w:r w:rsidRPr="0008072D">
        <w:t>Basic Principles on the Role of Lawyers (adopted 7 September 1990) Principle 23.</w:t>
      </w:r>
    </w:p>
  </w:footnote>
  <w:footnote w:id="12">
    <w:p w14:paraId="24F591E4" w14:textId="3D6E8841" w:rsidR="000A1695" w:rsidRPr="000A1695" w:rsidRDefault="000A1695">
      <w:pPr>
        <w:pStyle w:val="FootnoteText"/>
        <w:rPr>
          <w:lang w:val="en-US"/>
        </w:rPr>
      </w:pPr>
      <w:r>
        <w:rPr>
          <w:rStyle w:val="FootnoteReference"/>
        </w:rPr>
        <w:footnoteRef/>
      </w:r>
      <w:r>
        <w:t xml:space="preserve"> </w:t>
      </w:r>
      <w:r w:rsidRPr="000A1695">
        <w:t>Human Rights Committee, Draft General Comment No. 38 on Article 22 (2026 draft) para 12.</w:t>
      </w:r>
    </w:p>
  </w:footnote>
  <w:footnote w:id="13">
    <w:p w14:paraId="2A816E5E" w14:textId="1CDDA69A" w:rsidR="000A1695" w:rsidRPr="000A1695" w:rsidRDefault="000A1695">
      <w:pPr>
        <w:pStyle w:val="FootnoteText"/>
        <w:rPr>
          <w:lang w:val="en-US"/>
        </w:rPr>
      </w:pPr>
      <w:r>
        <w:rPr>
          <w:rStyle w:val="FootnoteReference"/>
        </w:rPr>
        <w:footnoteRef/>
      </w:r>
      <w:r>
        <w:t xml:space="preserve"> </w:t>
      </w:r>
      <w:r w:rsidRPr="000A1695">
        <w:t>Basic Principles on the Role of Lawyers (n 2) Principle 24.</w:t>
      </w:r>
    </w:p>
  </w:footnote>
  <w:footnote w:id="14">
    <w:p w14:paraId="5B9EECD6" w14:textId="692BBA01" w:rsidR="000A1695" w:rsidRPr="000A1695" w:rsidRDefault="000A1695">
      <w:pPr>
        <w:pStyle w:val="FootnoteText"/>
        <w:rPr>
          <w:lang w:val="en-US"/>
        </w:rPr>
      </w:pPr>
      <w:r>
        <w:rPr>
          <w:rStyle w:val="FootnoteReference"/>
        </w:rPr>
        <w:footnoteRef/>
      </w:r>
      <w:r>
        <w:t xml:space="preserve"> </w:t>
      </w:r>
      <w:r w:rsidRPr="000A1695">
        <w:t>ibid.</w:t>
      </w:r>
    </w:p>
  </w:footnote>
  <w:footnote w:id="15">
    <w:p w14:paraId="32C9CD93" w14:textId="0AA7BBD5" w:rsidR="000A1695" w:rsidRPr="000A1695" w:rsidRDefault="000A1695">
      <w:pPr>
        <w:pStyle w:val="FootnoteText"/>
        <w:rPr>
          <w:lang w:val="en-US"/>
        </w:rPr>
      </w:pPr>
      <w:r>
        <w:rPr>
          <w:rStyle w:val="FootnoteReference"/>
        </w:rPr>
        <w:footnoteRef/>
      </w:r>
      <w:r>
        <w:t xml:space="preserve"> </w:t>
      </w:r>
      <w:r w:rsidRPr="000A1695">
        <w:t>Human Rights Committee, Draft General Comment No. 38 on Article 22 (2026 draft) para 15.</w:t>
      </w:r>
    </w:p>
  </w:footnote>
  <w:footnote w:id="16">
    <w:p w14:paraId="1BEE7EA1" w14:textId="194F2099" w:rsidR="000A1695" w:rsidRPr="000A1695" w:rsidRDefault="000A1695">
      <w:pPr>
        <w:pStyle w:val="FootnoteText"/>
        <w:rPr>
          <w:lang w:val="en-US"/>
        </w:rPr>
      </w:pPr>
      <w:r>
        <w:rPr>
          <w:rStyle w:val="FootnoteReference"/>
        </w:rPr>
        <w:footnoteRef/>
      </w:r>
      <w:r>
        <w:t xml:space="preserve"> </w:t>
      </w:r>
      <w:r w:rsidRPr="000A1695">
        <w:t>Basic Principles on the Role of Lawyers (adopted 7 September 1990) Principle 24.</w:t>
      </w:r>
    </w:p>
  </w:footnote>
  <w:footnote w:id="17">
    <w:p w14:paraId="1706BE2B" w14:textId="1A2412F3" w:rsidR="000A1695" w:rsidRPr="000A1695" w:rsidRDefault="000A1695">
      <w:pPr>
        <w:pStyle w:val="FootnoteText"/>
        <w:rPr>
          <w:lang w:val="en-US"/>
        </w:rPr>
      </w:pPr>
      <w:r>
        <w:rPr>
          <w:rStyle w:val="FootnoteReference"/>
        </w:rPr>
        <w:footnoteRef/>
      </w:r>
      <w:r>
        <w:t xml:space="preserve"> </w:t>
      </w:r>
      <w:r w:rsidRPr="000A1695">
        <w:t>Human Rights Committee, Draft General Comment No. 38 on Article 22 (2026 draft) para 18.</w:t>
      </w:r>
    </w:p>
  </w:footnote>
  <w:footnote w:id="18">
    <w:p w14:paraId="7A6C367D" w14:textId="17FC7C39" w:rsidR="000A1695" w:rsidRPr="000A1695" w:rsidRDefault="000A1695">
      <w:pPr>
        <w:pStyle w:val="FootnoteText"/>
        <w:rPr>
          <w:lang w:val="en-US"/>
        </w:rPr>
      </w:pPr>
      <w:r>
        <w:rPr>
          <w:rStyle w:val="FootnoteReference"/>
        </w:rPr>
        <w:footnoteRef/>
      </w:r>
      <w:r>
        <w:t xml:space="preserve"> </w:t>
      </w:r>
      <w:r w:rsidRPr="000A1695">
        <w:t>ibid para 24.</w:t>
      </w:r>
    </w:p>
  </w:footnote>
  <w:footnote w:id="19">
    <w:p w14:paraId="33C117B2" w14:textId="70DF2729" w:rsidR="000A1695" w:rsidRPr="000A1695" w:rsidRDefault="000A1695">
      <w:pPr>
        <w:pStyle w:val="FootnoteText"/>
        <w:rPr>
          <w:lang w:val="en-US"/>
        </w:rPr>
      </w:pPr>
      <w:r>
        <w:rPr>
          <w:rStyle w:val="FootnoteReference"/>
        </w:rPr>
        <w:footnoteRef/>
      </w:r>
      <w:r>
        <w:t xml:space="preserve"> </w:t>
      </w:r>
      <w:r w:rsidRPr="000A1695">
        <w:t>Basic Principles on the Role of Lawyers (n 2) Principle 16.</w:t>
      </w:r>
    </w:p>
  </w:footnote>
  <w:footnote w:id="20">
    <w:p w14:paraId="5C560478" w14:textId="074D9FE5" w:rsidR="000127D1" w:rsidRPr="000127D1" w:rsidRDefault="000127D1">
      <w:pPr>
        <w:pStyle w:val="FootnoteText"/>
        <w:rPr>
          <w:lang w:val="en-US"/>
        </w:rPr>
      </w:pPr>
      <w:r>
        <w:rPr>
          <w:rStyle w:val="FootnoteReference"/>
        </w:rPr>
        <w:footnoteRef/>
      </w:r>
      <w:r>
        <w:t xml:space="preserve"> </w:t>
      </w:r>
      <w:r w:rsidRPr="000127D1">
        <w:t>Human Rights Committee, Draft General Comment No. 38 on Article 22 (2026 draft) paras 30 and 34.</w:t>
      </w:r>
    </w:p>
  </w:footnote>
  <w:footnote w:id="21">
    <w:p w14:paraId="2D28A10E" w14:textId="21B194D8" w:rsidR="000127D1" w:rsidRPr="000127D1" w:rsidRDefault="000127D1">
      <w:pPr>
        <w:pStyle w:val="FootnoteText"/>
        <w:rPr>
          <w:lang w:val="en-US"/>
        </w:rPr>
      </w:pPr>
      <w:r>
        <w:rPr>
          <w:rStyle w:val="FootnoteReference"/>
        </w:rPr>
        <w:footnoteRef/>
      </w:r>
      <w:r>
        <w:t xml:space="preserve"> </w:t>
      </w:r>
      <w:r w:rsidRPr="000127D1">
        <w:t>ibid para 33.</w:t>
      </w:r>
    </w:p>
  </w:footnote>
  <w:footnote w:id="22">
    <w:p w14:paraId="53B589BF" w14:textId="42896E3B" w:rsidR="000127D1" w:rsidRPr="000127D1" w:rsidRDefault="000127D1">
      <w:pPr>
        <w:pStyle w:val="FootnoteText"/>
        <w:rPr>
          <w:lang w:val="en-US"/>
        </w:rPr>
      </w:pPr>
      <w:r>
        <w:rPr>
          <w:rStyle w:val="FootnoteReference"/>
        </w:rPr>
        <w:footnoteRef/>
      </w:r>
      <w:r>
        <w:rPr>
          <w:rStyle w:val="FootnoteReference"/>
        </w:rPr>
        <w:footnoteRef/>
      </w:r>
      <w:r>
        <w:t xml:space="preserve"> </w:t>
      </w:r>
      <w:r w:rsidRPr="000127D1">
        <w:t>ibid para 38.</w:t>
      </w:r>
    </w:p>
  </w:footnote>
  <w:footnote w:id="23">
    <w:p w14:paraId="074A9570" w14:textId="43453CE7" w:rsidR="000127D1" w:rsidRPr="000127D1" w:rsidRDefault="000127D1">
      <w:pPr>
        <w:pStyle w:val="FootnoteText"/>
        <w:rPr>
          <w:lang w:val="en-US"/>
        </w:rPr>
      </w:pPr>
      <w:r>
        <w:rPr>
          <w:rStyle w:val="FootnoteReference"/>
        </w:rPr>
        <w:footnoteRef/>
      </w:r>
      <w:r>
        <w:t xml:space="preserve"> </w:t>
      </w:r>
      <w:r w:rsidRPr="000127D1">
        <w:t>Legal Practice Act 28 of 2014.</w:t>
      </w:r>
    </w:p>
  </w:footnote>
  <w:footnote w:id="24">
    <w:p w14:paraId="58ED3DFE" w14:textId="1809CB97" w:rsidR="000127D1" w:rsidRPr="000127D1" w:rsidRDefault="000127D1">
      <w:pPr>
        <w:pStyle w:val="FootnoteText"/>
        <w:rPr>
          <w:lang w:val="en-US"/>
        </w:rPr>
      </w:pPr>
      <w:r>
        <w:rPr>
          <w:rStyle w:val="FootnoteReference"/>
        </w:rPr>
        <w:footnoteRef/>
      </w:r>
      <w:r>
        <w:t xml:space="preserve"> </w:t>
      </w:r>
      <w:r w:rsidRPr="000127D1">
        <w:t>Legal Practice Act 28 of 2014, long title and provisions establishing the Legal Practice Council.</w:t>
      </w:r>
    </w:p>
  </w:footnote>
  <w:footnote w:id="25">
    <w:p w14:paraId="2E31DFB6" w14:textId="5E178EB1" w:rsidR="00497C97" w:rsidRPr="00497C97" w:rsidRDefault="00497C97">
      <w:pPr>
        <w:pStyle w:val="FootnoteText"/>
        <w:rPr>
          <w:lang w:val="en-US"/>
        </w:rPr>
      </w:pPr>
      <w:r>
        <w:rPr>
          <w:rStyle w:val="FootnoteReference"/>
        </w:rPr>
        <w:footnoteRef/>
      </w:r>
      <w:r>
        <w:t xml:space="preserve"> </w:t>
      </w:r>
      <w:r w:rsidRPr="00497C97">
        <w:t xml:space="preserve">UNISA College of Law, </w:t>
      </w:r>
      <w:r w:rsidRPr="00497C97">
        <w:rPr>
          <w:i/>
          <w:iCs/>
        </w:rPr>
        <w:t>Curriculum Transformation Plan 2023–2025</w:t>
      </w:r>
      <w:r w:rsidRPr="00497C97">
        <w:t>.</w:t>
      </w:r>
    </w:p>
  </w:footnote>
  <w:footnote w:id="26">
    <w:p w14:paraId="150624B7" w14:textId="172D1C55" w:rsidR="00497C97" w:rsidRPr="00497C97" w:rsidRDefault="00497C97">
      <w:pPr>
        <w:pStyle w:val="FootnoteText"/>
        <w:rPr>
          <w:lang w:val="en-US"/>
        </w:rPr>
      </w:pPr>
      <w:r>
        <w:rPr>
          <w:rStyle w:val="FootnoteReference"/>
        </w:rPr>
        <w:footnoteRef/>
      </w:r>
      <w:r>
        <w:t xml:space="preserve"> </w:t>
      </w:r>
      <w:r w:rsidRPr="00497C97">
        <w:t xml:space="preserve">Nomfundo Manyathi-Jele, ‘LSSA news update – May 2019’ </w:t>
      </w:r>
      <w:r w:rsidRPr="00497C97">
        <w:rPr>
          <w:i/>
          <w:iCs/>
        </w:rPr>
        <w:t>De Rebus</w:t>
      </w:r>
      <w:r w:rsidRPr="00497C97">
        <w:t xml:space="preserve"> (10 May 2019).</w:t>
      </w:r>
    </w:p>
  </w:footnote>
  <w:footnote w:id="27">
    <w:p w14:paraId="10BB4926" w14:textId="627C83D9" w:rsidR="00497C97" w:rsidRPr="003615B6" w:rsidRDefault="00497C97" w:rsidP="003615B6">
      <w:pPr>
        <w:pStyle w:val="FootnoteText"/>
      </w:pPr>
      <w:r>
        <w:rPr>
          <w:rStyle w:val="FootnoteReference"/>
        </w:rPr>
        <w:footnoteRef/>
      </w:r>
      <w:r>
        <w:t xml:space="preserve"> </w:t>
      </w:r>
      <w:r w:rsidR="003615B6" w:rsidRPr="003615B6">
        <w:t>Correspondence with the Legal Practice Council regarding regulatory and institutional matters (2025) (submitted</w:t>
      </w:r>
      <w:r w:rsidR="003615B6">
        <w:t xml:space="preserve"> </w:t>
      </w:r>
      <w:r w:rsidR="003615B6" w:rsidRPr="003615B6">
        <w:t>separately to the Human Rights Committee).</w:t>
      </w:r>
    </w:p>
  </w:footnote>
  <w:footnote w:id="28">
    <w:p w14:paraId="0DFC8DBB" w14:textId="232B4D29" w:rsidR="00497C97" w:rsidRPr="00497C97" w:rsidRDefault="00497C97">
      <w:pPr>
        <w:pStyle w:val="FootnoteText"/>
        <w:rPr>
          <w:lang w:val="en-US"/>
        </w:rPr>
      </w:pPr>
      <w:r>
        <w:rPr>
          <w:rStyle w:val="FootnoteReference"/>
        </w:rPr>
        <w:footnoteRef/>
      </w:r>
      <w:r>
        <w:t xml:space="preserve"> </w:t>
      </w:r>
      <w:r w:rsidRPr="00497C97">
        <w:t>Department of Justice and Constitutional Development, ‘Legal Sector Code an important instrument of transformative tool for the Legal Profession’ (27 July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E91F" w14:textId="3305AF6F" w:rsidR="00535457" w:rsidRDefault="00535457" w:rsidP="0053545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0B2B" w14:textId="5A8C5658" w:rsidR="004B6ADA" w:rsidRPr="004B6ADA" w:rsidRDefault="004B6ADA" w:rsidP="004B6ADA">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305"/>
    <w:multiLevelType w:val="hybridMultilevel"/>
    <w:tmpl w:val="41ACCF1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3AE9"/>
    <w:multiLevelType w:val="multilevel"/>
    <w:tmpl w:val="6C2C7538"/>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3" w15:restartNumberingAfterBreak="0">
    <w:nsid w:val="057A3EF3"/>
    <w:multiLevelType w:val="hybridMultilevel"/>
    <w:tmpl w:val="7D52307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0EDE1CA8"/>
    <w:multiLevelType w:val="hybridMultilevel"/>
    <w:tmpl w:val="1674BA5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14F53489"/>
    <w:multiLevelType w:val="hybridMultilevel"/>
    <w:tmpl w:val="606A36B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1A7C3F51"/>
    <w:multiLevelType w:val="multilevel"/>
    <w:tmpl w:val="6B1458A8"/>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7" w15:restartNumberingAfterBreak="0">
    <w:nsid w:val="1B5C51B5"/>
    <w:multiLevelType w:val="multilevel"/>
    <w:tmpl w:val="B680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F2C63"/>
    <w:multiLevelType w:val="hybridMultilevel"/>
    <w:tmpl w:val="06A8C5A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1C1513AC"/>
    <w:multiLevelType w:val="hybridMultilevel"/>
    <w:tmpl w:val="D8F250D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1D561DEB"/>
    <w:multiLevelType w:val="multilevel"/>
    <w:tmpl w:val="12743C1C"/>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11"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43736"/>
    <w:multiLevelType w:val="hybridMultilevel"/>
    <w:tmpl w:val="B34E482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239B3925"/>
    <w:multiLevelType w:val="hybridMultilevel"/>
    <w:tmpl w:val="F29C05E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15:restartNumberingAfterBreak="0">
    <w:nsid w:val="243F2ED4"/>
    <w:multiLevelType w:val="multilevel"/>
    <w:tmpl w:val="761A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E507F"/>
    <w:multiLevelType w:val="hybridMultilevel"/>
    <w:tmpl w:val="C2082FD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2D000FDA"/>
    <w:multiLevelType w:val="hybridMultilevel"/>
    <w:tmpl w:val="910C070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2ED71A1D"/>
    <w:multiLevelType w:val="hybridMultilevel"/>
    <w:tmpl w:val="1538770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1870BC"/>
    <w:multiLevelType w:val="multilevel"/>
    <w:tmpl w:val="333E52E0"/>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20" w15:restartNumberingAfterBreak="0">
    <w:nsid w:val="37AD1E40"/>
    <w:multiLevelType w:val="hybridMultilevel"/>
    <w:tmpl w:val="7E2E4FE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1" w15:restartNumberingAfterBreak="0">
    <w:nsid w:val="380301C1"/>
    <w:multiLevelType w:val="hybridMultilevel"/>
    <w:tmpl w:val="DB38AFD8"/>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22" w15:restartNumberingAfterBreak="0">
    <w:nsid w:val="38195726"/>
    <w:multiLevelType w:val="hybridMultilevel"/>
    <w:tmpl w:val="20803F3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3" w15:restartNumberingAfterBreak="0">
    <w:nsid w:val="3897285F"/>
    <w:multiLevelType w:val="hybridMultilevel"/>
    <w:tmpl w:val="1D221B3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4" w15:restartNumberingAfterBreak="0">
    <w:nsid w:val="38A30A6A"/>
    <w:multiLevelType w:val="hybridMultilevel"/>
    <w:tmpl w:val="49DE303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5" w15:restartNumberingAfterBreak="0">
    <w:nsid w:val="3AA45F8F"/>
    <w:multiLevelType w:val="multilevel"/>
    <w:tmpl w:val="5B2AD702"/>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26" w15:restartNumberingAfterBreak="0">
    <w:nsid w:val="3D1D3A5E"/>
    <w:multiLevelType w:val="multilevel"/>
    <w:tmpl w:val="DCA8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5B3E32"/>
    <w:multiLevelType w:val="multilevel"/>
    <w:tmpl w:val="7E3E9EEA"/>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28" w15:restartNumberingAfterBreak="0">
    <w:nsid w:val="47833F8B"/>
    <w:multiLevelType w:val="multilevel"/>
    <w:tmpl w:val="0F28CE98"/>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29" w15:restartNumberingAfterBreak="0">
    <w:nsid w:val="4C84264F"/>
    <w:multiLevelType w:val="multilevel"/>
    <w:tmpl w:val="B380C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976584"/>
    <w:multiLevelType w:val="hybridMultilevel"/>
    <w:tmpl w:val="8462129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51D47A46"/>
    <w:multiLevelType w:val="hybridMultilevel"/>
    <w:tmpl w:val="5814649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2" w15:restartNumberingAfterBreak="0">
    <w:nsid w:val="54015F83"/>
    <w:multiLevelType w:val="multilevel"/>
    <w:tmpl w:val="C32C2856"/>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33" w15:restartNumberingAfterBreak="0">
    <w:nsid w:val="55393D49"/>
    <w:multiLevelType w:val="hybridMultilevel"/>
    <w:tmpl w:val="D3F2841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4" w15:restartNumberingAfterBreak="0">
    <w:nsid w:val="565552D3"/>
    <w:multiLevelType w:val="multilevel"/>
    <w:tmpl w:val="5C04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665247"/>
    <w:multiLevelType w:val="hybridMultilevel"/>
    <w:tmpl w:val="655CF42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6" w15:restartNumberingAfterBreak="0">
    <w:nsid w:val="56F00CF4"/>
    <w:multiLevelType w:val="hybridMultilevel"/>
    <w:tmpl w:val="50461F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7" w15:restartNumberingAfterBreak="0">
    <w:nsid w:val="57133C34"/>
    <w:multiLevelType w:val="multilevel"/>
    <w:tmpl w:val="CA0E2E96"/>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38" w15:restartNumberingAfterBreak="0">
    <w:nsid w:val="58D66464"/>
    <w:multiLevelType w:val="hybridMultilevel"/>
    <w:tmpl w:val="4ADE756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9" w15:restartNumberingAfterBreak="0">
    <w:nsid w:val="59222385"/>
    <w:multiLevelType w:val="multilevel"/>
    <w:tmpl w:val="CF7C4978"/>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40" w15:restartNumberingAfterBreak="0">
    <w:nsid w:val="5CCE152C"/>
    <w:multiLevelType w:val="hybridMultilevel"/>
    <w:tmpl w:val="BD2E2A9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1" w15:restartNumberingAfterBreak="0">
    <w:nsid w:val="5EBB743E"/>
    <w:multiLevelType w:val="hybridMultilevel"/>
    <w:tmpl w:val="8B94314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2"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3" w15:restartNumberingAfterBreak="0">
    <w:nsid w:val="623717BB"/>
    <w:multiLevelType w:val="multilevel"/>
    <w:tmpl w:val="1062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2372911"/>
    <w:multiLevelType w:val="hybridMultilevel"/>
    <w:tmpl w:val="52585F6E"/>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45" w15:restartNumberingAfterBreak="0">
    <w:nsid w:val="64851711"/>
    <w:multiLevelType w:val="multilevel"/>
    <w:tmpl w:val="5414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E606AD"/>
    <w:multiLevelType w:val="multilevel"/>
    <w:tmpl w:val="990E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4722C4"/>
    <w:multiLevelType w:val="hybridMultilevel"/>
    <w:tmpl w:val="CADE50F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8" w15:restartNumberingAfterBreak="0">
    <w:nsid w:val="65B21BD0"/>
    <w:multiLevelType w:val="hybridMultilevel"/>
    <w:tmpl w:val="713A5B5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9" w15:restartNumberingAfterBreak="0">
    <w:nsid w:val="67D10328"/>
    <w:multiLevelType w:val="hybridMultilevel"/>
    <w:tmpl w:val="6F16404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0" w15:restartNumberingAfterBreak="0">
    <w:nsid w:val="6D9667B2"/>
    <w:multiLevelType w:val="hybridMultilevel"/>
    <w:tmpl w:val="EA58BB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1" w15:restartNumberingAfterBreak="0">
    <w:nsid w:val="74083AF9"/>
    <w:multiLevelType w:val="multilevel"/>
    <w:tmpl w:val="4AC03EE4"/>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52" w15:restartNumberingAfterBreak="0">
    <w:nsid w:val="769A3B09"/>
    <w:multiLevelType w:val="multilevel"/>
    <w:tmpl w:val="0DD8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71657F2"/>
    <w:multiLevelType w:val="hybridMultilevel"/>
    <w:tmpl w:val="4CCC9C3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4" w15:restartNumberingAfterBreak="0">
    <w:nsid w:val="780A6F6F"/>
    <w:multiLevelType w:val="hybridMultilevel"/>
    <w:tmpl w:val="7C9E286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5"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7A597E1F"/>
    <w:multiLevelType w:val="multilevel"/>
    <w:tmpl w:val="A2C00B20"/>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num w:numId="1" w16cid:durableId="594049388">
    <w:abstractNumId w:val="18"/>
  </w:num>
  <w:num w:numId="2" w16cid:durableId="784471728">
    <w:abstractNumId w:val="11"/>
  </w:num>
  <w:num w:numId="3" w16cid:durableId="412706424">
    <w:abstractNumId w:val="1"/>
  </w:num>
  <w:num w:numId="4" w16cid:durableId="1653674163">
    <w:abstractNumId w:val="42"/>
  </w:num>
  <w:num w:numId="5" w16cid:durableId="976423175">
    <w:abstractNumId w:val="55"/>
  </w:num>
  <w:num w:numId="6" w16cid:durableId="428934242">
    <w:abstractNumId w:val="28"/>
  </w:num>
  <w:num w:numId="7" w16cid:durableId="316301471">
    <w:abstractNumId w:val="27"/>
  </w:num>
  <w:num w:numId="8" w16cid:durableId="1991208958">
    <w:abstractNumId w:val="52"/>
  </w:num>
  <w:num w:numId="9" w16cid:durableId="1174078282">
    <w:abstractNumId w:val="26"/>
  </w:num>
  <w:num w:numId="10" w16cid:durableId="1569994643">
    <w:abstractNumId w:val="45"/>
  </w:num>
  <w:num w:numId="11" w16cid:durableId="1918902636">
    <w:abstractNumId w:val="29"/>
  </w:num>
  <w:num w:numId="12" w16cid:durableId="543715970">
    <w:abstractNumId w:val="51"/>
  </w:num>
  <w:num w:numId="13" w16cid:durableId="152574005">
    <w:abstractNumId w:val="25"/>
  </w:num>
  <w:num w:numId="14" w16cid:durableId="1773355684">
    <w:abstractNumId w:val="46"/>
  </w:num>
  <w:num w:numId="15" w16cid:durableId="1197691744">
    <w:abstractNumId w:val="34"/>
  </w:num>
  <w:num w:numId="16" w16cid:durableId="1861160550">
    <w:abstractNumId w:val="39"/>
  </w:num>
  <w:num w:numId="17" w16cid:durableId="1481771146">
    <w:abstractNumId w:val="6"/>
  </w:num>
  <w:num w:numId="18" w16cid:durableId="1887912192">
    <w:abstractNumId w:val="19"/>
  </w:num>
  <w:num w:numId="19" w16cid:durableId="807821819">
    <w:abstractNumId w:val="43"/>
  </w:num>
  <w:num w:numId="20" w16cid:durableId="1221403343">
    <w:abstractNumId w:val="14"/>
  </w:num>
  <w:num w:numId="21" w16cid:durableId="189874872">
    <w:abstractNumId w:val="7"/>
  </w:num>
  <w:num w:numId="22" w16cid:durableId="288437428">
    <w:abstractNumId w:val="56"/>
  </w:num>
  <w:num w:numId="23" w16cid:durableId="686175390">
    <w:abstractNumId w:val="10"/>
  </w:num>
  <w:num w:numId="24" w16cid:durableId="1601833929">
    <w:abstractNumId w:val="32"/>
  </w:num>
  <w:num w:numId="25" w16cid:durableId="1568606584">
    <w:abstractNumId w:val="37"/>
  </w:num>
  <w:num w:numId="26" w16cid:durableId="985817493">
    <w:abstractNumId w:val="2"/>
  </w:num>
  <w:num w:numId="27" w16cid:durableId="2126994298">
    <w:abstractNumId w:val="16"/>
  </w:num>
  <w:num w:numId="28" w16cid:durableId="264776768">
    <w:abstractNumId w:val="38"/>
  </w:num>
  <w:num w:numId="29" w16cid:durableId="1401097585">
    <w:abstractNumId w:val="33"/>
  </w:num>
  <w:num w:numId="30" w16cid:durableId="2073116439">
    <w:abstractNumId w:val="12"/>
  </w:num>
  <w:num w:numId="31" w16cid:durableId="529418085">
    <w:abstractNumId w:val="23"/>
  </w:num>
  <w:num w:numId="32" w16cid:durableId="1262298683">
    <w:abstractNumId w:val="41"/>
  </w:num>
  <w:num w:numId="33" w16cid:durableId="218169437">
    <w:abstractNumId w:val="8"/>
  </w:num>
  <w:num w:numId="34" w16cid:durableId="1384212905">
    <w:abstractNumId w:val="24"/>
  </w:num>
  <w:num w:numId="35" w16cid:durableId="203949816">
    <w:abstractNumId w:val="53"/>
  </w:num>
  <w:num w:numId="36" w16cid:durableId="1601185885">
    <w:abstractNumId w:val="22"/>
  </w:num>
  <w:num w:numId="37" w16cid:durableId="1445298030">
    <w:abstractNumId w:val="47"/>
  </w:num>
  <w:num w:numId="38" w16cid:durableId="754472202">
    <w:abstractNumId w:val="17"/>
  </w:num>
  <w:num w:numId="39" w16cid:durableId="575869708">
    <w:abstractNumId w:val="54"/>
  </w:num>
  <w:num w:numId="40" w16cid:durableId="1003048876">
    <w:abstractNumId w:val="30"/>
  </w:num>
  <w:num w:numId="41" w16cid:durableId="969675471">
    <w:abstractNumId w:val="20"/>
  </w:num>
  <w:num w:numId="42" w16cid:durableId="1594705725">
    <w:abstractNumId w:val="13"/>
  </w:num>
  <w:num w:numId="43" w16cid:durableId="2121947744">
    <w:abstractNumId w:val="40"/>
  </w:num>
  <w:num w:numId="44" w16cid:durableId="211693466">
    <w:abstractNumId w:val="48"/>
  </w:num>
  <w:num w:numId="45" w16cid:durableId="1185752732">
    <w:abstractNumId w:val="35"/>
  </w:num>
  <w:num w:numId="46" w16cid:durableId="422725179">
    <w:abstractNumId w:val="0"/>
  </w:num>
  <w:num w:numId="47" w16cid:durableId="1179730484">
    <w:abstractNumId w:val="4"/>
  </w:num>
  <w:num w:numId="48" w16cid:durableId="8728444">
    <w:abstractNumId w:val="36"/>
  </w:num>
  <w:num w:numId="49" w16cid:durableId="1279337117">
    <w:abstractNumId w:val="15"/>
  </w:num>
  <w:num w:numId="50" w16cid:durableId="972517056">
    <w:abstractNumId w:val="5"/>
  </w:num>
  <w:num w:numId="51" w16cid:durableId="1417435204">
    <w:abstractNumId w:val="50"/>
  </w:num>
  <w:num w:numId="52" w16cid:durableId="516577114">
    <w:abstractNumId w:val="31"/>
  </w:num>
  <w:num w:numId="53" w16cid:durableId="1110974029">
    <w:abstractNumId w:val="9"/>
  </w:num>
  <w:num w:numId="54" w16cid:durableId="1632131124">
    <w:abstractNumId w:val="3"/>
  </w:num>
  <w:num w:numId="55" w16cid:durableId="113795074">
    <w:abstractNumId w:val="49"/>
  </w:num>
  <w:num w:numId="56" w16cid:durableId="1962690372">
    <w:abstractNumId w:val="21"/>
  </w:num>
  <w:num w:numId="57" w16cid:durableId="268976915">
    <w:abstractNumId w:val="4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inkAnnotations="0"/>
  <w:documentProtection w:edit="trackedChanges" w:enforcement="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3E7"/>
    <w:rsid w:val="000118BF"/>
    <w:rsid w:val="000127D1"/>
    <w:rsid w:val="000151F4"/>
    <w:rsid w:val="00022278"/>
    <w:rsid w:val="00033C0B"/>
    <w:rsid w:val="00040D96"/>
    <w:rsid w:val="00044BFC"/>
    <w:rsid w:val="00046E92"/>
    <w:rsid w:val="00051E66"/>
    <w:rsid w:val="00052979"/>
    <w:rsid w:val="000558A3"/>
    <w:rsid w:val="000638EA"/>
    <w:rsid w:val="0006523D"/>
    <w:rsid w:val="00067960"/>
    <w:rsid w:val="00073273"/>
    <w:rsid w:val="0008072D"/>
    <w:rsid w:val="000813D5"/>
    <w:rsid w:val="000820E8"/>
    <w:rsid w:val="00084600"/>
    <w:rsid w:val="000858EC"/>
    <w:rsid w:val="000869A9"/>
    <w:rsid w:val="00086B04"/>
    <w:rsid w:val="00090A38"/>
    <w:rsid w:val="00090FB8"/>
    <w:rsid w:val="00092A04"/>
    <w:rsid w:val="0009481B"/>
    <w:rsid w:val="000A1695"/>
    <w:rsid w:val="000A682C"/>
    <w:rsid w:val="000B1F68"/>
    <w:rsid w:val="000B4DE8"/>
    <w:rsid w:val="000C0CBB"/>
    <w:rsid w:val="000C1A89"/>
    <w:rsid w:val="000C58E3"/>
    <w:rsid w:val="000E48C1"/>
    <w:rsid w:val="000F0364"/>
    <w:rsid w:val="000F144B"/>
    <w:rsid w:val="0010221E"/>
    <w:rsid w:val="001024AA"/>
    <w:rsid w:val="00107684"/>
    <w:rsid w:val="00122E9E"/>
    <w:rsid w:val="00123705"/>
    <w:rsid w:val="001275C6"/>
    <w:rsid w:val="00131D7A"/>
    <w:rsid w:val="00135C45"/>
    <w:rsid w:val="001378E0"/>
    <w:rsid w:val="00142EF6"/>
    <w:rsid w:val="00146D3C"/>
    <w:rsid w:val="001470ED"/>
    <w:rsid w:val="00160564"/>
    <w:rsid w:val="00165C15"/>
    <w:rsid w:val="00167899"/>
    <w:rsid w:val="00167DCB"/>
    <w:rsid w:val="0017278D"/>
    <w:rsid w:val="001746CF"/>
    <w:rsid w:val="0018047A"/>
    <w:rsid w:val="00191C38"/>
    <w:rsid w:val="001A0E10"/>
    <w:rsid w:val="001A0F18"/>
    <w:rsid w:val="001A1B1A"/>
    <w:rsid w:val="001A5402"/>
    <w:rsid w:val="001A5C4B"/>
    <w:rsid w:val="001A5F9C"/>
    <w:rsid w:val="001B2007"/>
    <w:rsid w:val="001B2076"/>
    <w:rsid w:val="001B41C1"/>
    <w:rsid w:val="001B4C5E"/>
    <w:rsid w:val="001C502C"/>
    <w:rsid w:val="001D3185"/>
    <w:rsid w:val="001D3704"/>
    <w:rsid w:val="001E0D14"/>
    <w:rsid w:val="001E152D"/>
    <w:rsid w:val="001E3FAC"/>
    <w:rsid w:val="001E55C8"/>
    <w:rsid w:val="001E6470"/>
    <w:rsid w:val="001F0A22"/>
    <w:rsid w:val="001F2810"/>
    <w:rsid w:val="002024C6"/>
    <w:rsid w:val="00211693"/>
    <w:rsid w:val="00213F5F"/>
    <w:rsid w:val="00234389"/>
    <w:rsid w:val="002427C5"/>
    <w:rsid w:val="00246A30"/>
    <w:rsid w:val="00247E2C"/>
    <w:rsid w:val="002512DE"/>
    <w:rsid w:val="00255386"/>
    <w:rsid w:val="0025613E"/>
    <w:rsid w:val="00257008"/>
    <w:rsid w:val="00260BBA"/>
    <w:rsid w:val="0026331E"/>
    <w:rsid w:val="00263640"/>
    <w:rsid w:val="00267680"/>
    <w:rsid w:val="00271173"/>
    <w:rsid w:val="0028082B"/>
    <w:rsid w:val="00284B6C"/>
    <w:rsid w:val="00287F11"/>
    <w:rsid w:val="0029776C"/>
    <w:rsid w:val="002A1C55"/>
    <w:rsid w:val="002A3854"/>
    <w:rsid w:val="002A5BFA"/>
    <w:rsid w:val="002A66CD"/>
    <w:rsid w:val="002D2B50"/>
    <w:rsid w:val="002D6ABB"/>
    <w:rsid w:val="002D6C53"/>
    <w:rsid w:val="002D70E5"/>
    <w:rsid w:val="002F5595"/>
    <w:rsid w:val="002F7922"/>
    <w:rsid w:val="00327B9A"/>
    <w:rsid w:val="00332B9D"/>
    <w:rsid w:val="00334F6A"/>
    <w:rsid w:val="00342AC8"/>
    <w:rsid w:val="00344650"/>
    <w:rsid w:val="0034599C"/>
    <w:rsid w:val="003615B6"/>
    <w:rsid w:val="003776A4"/>
    <w:rsid w:val="00381564"/>
    <w:rsid w:val="0038618B"/>
    <w:rsid w:val="00386422"/>
    <w:rsid w:val="00392095"/>
    <w:rsid w:val="003A444F"/>
    <w:rsid w:val="003A74EF"/>
    <w:rsid w:val="003B012F"/>
    <w:rsid w:val="003B4550"/>
    <w:rsid w:val="003B7AE0"/>
    <w:rsid w:val="003C05C3"/>
    <w:rsid w:val="003C66D2"/>
    <w:rsid w:val="003F0D30"/>
    <w:rsid w:val="003F3EA0"/>
    <w:rsid w:val="0040431D"/>
    <w:rsid w:val="00404381"/>
    <w:rsid w:val="00404E28"/>
    <w:rsid w:val="00430EBD"/>
    <w:rsid w:val="004312DB"/>
    <w:rsid w:val="004315CD"/>
    <w:rsid w:val="0044601F"/>
    <w:rsid w:val="00446629"/>
    <w:rsid w:val="0045346C"/>
    <w:rsid w:val="00456901"/>
    <w:rsid w:val="004610B6"/>
    <w:rsid w:val="00461253"/>
    <w:rsid w:val="00470EBD"/>
    <w:rsid w:val="00472FED"/>
    <w:rsid w:val="00476F51"/>
    <w:rsid w:val="004836BD"/>
    <w:rsid w:val="00485198"/>
    <w:rsid w:val="0048793A"/>
    <w:rsid w:val="00493BC1"/>
    <w:rsid w:val="004951A1"/>
    <w:rsid w:val="00497C97"/>
    <w:rsid w:val="004A333F"/>
    <w:rsid w:val="004A3B8D"/>
    <w:rsid w:val="004A5533"/>
    <w:rsid w:val="004A5D8E"/>
    <w:rsid w:val="004A7EA1"/>
    <w:rsid w:val="004B6ADA"/>
    <w:rsid w:val="004C2770"/>
    <w:rsid w:val="004C2AEB"/>
    <w:rsid w:val="004C301D"/>
    <w:rsid w:val="004D0E7A"/>
    <w:rsid w:val="004D17B3"/>
    <w:rsid w:val="004D7DE9"/>
    <w:rsid w:val="004E0BEC"/>
    <w:rsid w:val="004E6F65"/>
    <w:rsid w:val="004E7131"/>
    <w:rsid w:val="004F1B1B"/>
    <w:rsid w:val="00500442"/>
    <w:rsid w:val="005024E8"/>
    <w:rsid w:val="005042C2"/>
    <w:rsid w:val="0050792F"/>
    <w:rsid w:val="00510FE3"/>
    <w:rsid w:val="0051587B"/>
    <w:rsid w:val="00523067"/>
    <w:rsid w:val="00534102"/>
    <w:rsid w:val="00535457"/>
    <w:rsid w:val="005422A0"/>
    <w:rsid w:val="005473B3"/>
    <w:rsid w:val="00547DA7"/>
    <w:rsid w:val="005575F6"/>
    <w:rsid w:val="00560877"/>
    <w:rsid w:val="0056214E"/>
    <w:rsid w:val="00574191"/>
    <w:rsid w:val="00574243"/>
    <w:rsid w:val="00574E2F"/>
    <w:rsid w:val="005753EC"/>
    <w:rsid w:val="0059623D"/>
    <w:rsid w:val="005A58EE"/>
    <w:rsid w:val="005C0939"/>
    <w:rsid w:val="005C399F"/>
    <w:rsid w:val="005C4CBF"/>
    <w:rsid w:val="005D1A17"/>
    <w:rsid w:val="005D65FD"/>
    <w:rsid w:val="005E0CF9"/>
    <w:rsid w:val="005F2E0B"/>
    <w:rsid w:val="00611138"/>
    <w:rsid w:val="00612010"/>
    <w:rsid w:val="0061261D"/>
    <w:rsid w:val="006229F4"/>
    <w:rsid w:val="00623847"/>
    <w:rsid w:val="00625DDA"/>
    <w:rsid w:val="00626349"/>
    <w:rsid w:val="006267A8"/>
    <w:rsid w:val="00631C09"/>
    <w:rsid w:val="00644A78"/>
    <w:rsid w:val="006471F5"/>
    <w:rsid w:val="006506BC"/>
    <w:rsid w:val="00651087"/>
    <w:rsid w:val="0066250A"/>
    <w:rsid w:val="00663C98"/>
    <w:rsid w:val="00665D4C"/>
    <w:rsid w:val="00671529"/>
    <w:rsid w:val="00683E3F"/>
    <w:rsid w:val="00690B0E"/>
    <w:rsid w:val="006915F4"/>
    <w:rsid w:val="00691B77"/>
    <w:rsid w:val="00694352"/>
    <w:rsid w:val="006A0B99"/>
    <w:rsid w:val="006A4A1E"/>
    <w:rsid w:val="006B224E"/>
    <w:rsid w:val="006B4124"/>
    <w:rsid w:val="006B78ED"/>
    <w:rsid w:val="006C56C6"/>
    <w:rsid w:val="006C75C9"/>
    <w:rsid w:val="006D28E9"/>
    <w:rsid w:val="006D6088"/>
    <w:rsid w:val="006D7BEE"/>
    <w:rsid w:val="006E1619"/>
    <w:rsid w:val="006E2843"/>
    <w:rsid w:val="006E6419"/>
    <w:rsid w:val="006F3A88"/>
    <w:rsid w:val="006F7E95"/>
    <w:rsid w:val="00701DB0"/>
    <w:rsid w:val="00710CC3"/>
    <w:rsid w:val="0071230A"/>
    <w:rsid w:val="0072089A"/>
    <w:rsid w:val="00721379"/>
    <w:rsid w:val="0072166F"/>
    <w:rsid w:val="007268F9"/>
    <w:rsid w:val="00731BA5"/>
    <w:rsid w:val="007327A0"/>
    <w:rsid w:val="00737ED1"/>
    <w:rsid w:val="00740248"/>
    <w:rsid w:val="00741046"/>
    <w:rsid w:val="007547D2"/>
    <w:rsid w:val="00771C5E"/>
    <w:rsid w:val="007730D6"/>
    <w:rsid w:val="00785164"/>
    <w:rsid w:val="00786BFC"/>
    <w:rsid w:val="00787D66"/>
    <w:rsid w:val="007957CC"/>
    <w:rsid w:val="00795BA3"/>
    <w:rsid w:val="007A3DA4"/>
    <w:rsid w:val="007A63BE"/>
    <w:rsid w:val="007B16A3"/>
    <w:rsid w:val="007B6A4A"/>
    <w:rsid w:val="007C4D08"/>
    <w:rsid w:val="007C52B0"/>
    <w:rsid w:val="007C62AF"/>
    <w:rsid w:val="007D14EC"/>
    <w:rsid w:val="007D4E6E"/>
    <w:rsid w:val="007E3A70"/>
    <w:rsid w:val="007E4105"/>
    <w:rsid w:val="007E7204"/>
    <w:rsid w:val="007F5B3B"/>
    <w:rsid w:val="0080208D"/>
    <w:rsid w:val="00803B0D"/>
    <w:rsid w:val="008055EC"/>
    <w:rsid w:val="008064E0"/>
    <w:rsid w:val="00810050"/>
    <w:rsid w:val="0081179E"/>
    <w:rsid w:val="00811B25"/>
    <w:rsid w:val="00811E57"/>
    <w:rsid w:val="00817E57"/>
    <w:rsid w:val="008221D2"/>
    <w:rsid w:val="00822FAD"/>
    <w:rsid w:val="008243C0"/>
    <w:rsid w:val="0082586E"/>
    <w:rsid w:val="00826936"/>
    <w:rsid w:val="00827262"/>
    <w:rsid w:val="0083298E"/>
    <w:rsid w:val="00836118"/>
    <w:rsid w:val="00844589"/>
    <w:rsid w:val="008553B1"/>
    <w:rsid w:val="00861D89"/>
    <w:rsid w:val="008641C0"/>
    <w:rsid w:val="00864480"/>
    <w:rsid w:val="00864F57"/>
    <w:rsid w:val="00866052"/>
    <w:rsid w:val="0087504E"/>
    <w:rsid w:val="00882757"/>
    <w:rsid w:val="00886882"/>
    <w:rsid w:val="00892361"/>
    <w:rsid w:val="00897FC1"/>
    <w:rsid w:val="008A5595"/>
    <w:rsid w:val="008A6683"/>
    <w:rsid w:val="008A72D1"/>
    <w:rsid w:val="008B1F74"/>
    <w:rsid w:val="008B40FA"/>
    <w:rsid w:val="008C2936"/>
    <w:rsid w:val="008C65C6"/>
    <w:rsid w:val="008D33C9"/>
    <w:rsid w:val="008D3450"/>
    <w:rsid w:val="008D5D05"/>
    <w:rsid w:val="008E6340"/>
    <w:rsid w:val="008F02DD"/>
    <w:rsid w:val="008F0C63"/>
    <w:rsid w:val="008F3954"/>
    <w:rsid w:val="00901F10"/>
    <w:rsid w:val="00906983"/>
    <w:rsid w:val="00916E7F"/>
    <w:rsid w:val="00932D48"/>
    <w:rsid w:val="00933DF7"/>
    <w:rsid w:val="00935F4C"/>
    <w:rsid w:val="009411B4"/>
    <w:rsid w:val="0094169F"/>
    <w:rsid w:val="00941F18"/>
    <w:rsid w:val="00942419"/>
    <w:rsid w:val="00942C45"/>
    <w:rsid w:val="0096538C"/>
    <w:rsid w:val="00965E5E"/>
    <w:rsid w:val="0096651B"/>
    <w:rsid w:val="00967639"/>
    <w:rsid w:val="009734CA"/>
    <w:rsid w:val="00973612"/>
    <w:rsid w:val="00984EC5"/>
    <w:rsid w:val="009862D9"/>
    <w:rsid w:val="009B6D53"/>
    <w:rsid w:val="009C1C22"/>
    <w:rsid w:val="009D0139"/>
    <w:rsid w:val="009D1CF0"/>
    <w:rsid w:val="009D4E04"/>
    <w:rsid w:val="009E03F2"/>
    <w:rsid w:val="009E0DAE"/>
    <w:rsid w:val="009E5CAE"/>
    <w:rsid w:val="009E675C"/>
    <w:rsid w:val="009E7EC2"/>
    <w:rsid w:val="009F5A81"/>
    <w:rsid w:val="009F5CDC"/>
    <w:rsid w:val="009F5DC1"/>
    <w:rsid w:val="00A055F1"/>
    <w:rsid w:val="00A10949"/>
    <w:rsid w:val="00A21F05"/>
    <w:rsid w:val="00A23459"/>
    <w:rsid w:val="00A25594"/>
    <w:rsid w:val="00A279A0"/>
    <w:rsid w:val="00A3041F"/>
    <w:rsid w:val="00A30967"/>
    <w:rsid w:val="00A315CA"/>
    <w:rsid w:val="00A32B1D"/>
    <w:rsid w:val="00A35D3E"/>
    <w:rsid w:val="00A445D1"/>
    <w:rsid w:val="00A52B70"/>
    <w:rsid w:val="00A53967"/>
    <w:rsid w:val="00A65947"/>
    <w:rsid w:val="00A7171B"/>
    <w:rsid w:val="00A7421D"/>
    <w:rsid w:val="00A74AAB"/>
    <w:rsid w:val="00A75982"/>
    <w:rsid w:val="00A759BB"/>
    <w:rsid w:val="00A76847"/>
    <w:rsid w:val="00A775CF"/>
    <w:rsid w:val="00A812F7"/>
    <w:rsid w:val="00A86611"/>
    <w:rsid w:val="00A87947"/>
    <w:rsid w:val="00A9715A"/>
    <w:rsid w:val="00A97D69"/>
    <w:rsid w:val="00AA0C68"/>
    <w:rsid w:val="00AB3E69"/>
    <w:rsid w:val="00AB49A2"/>
    <w:rsid w:val="00AC4838"/>
    <w:rsid w:val="00AD22A6"/>
    <w:rsid w:val="00AD3423"/>
    <w:rsid w:val="00AD6355"/>
    <w:rsid w:val="00AD6E0F"/>
    <w:rsid w:val="00AE43D2"/>
    <w:rsid w:val="00AE4B11"/>
    <w:rsid w:val="00AE54B3"/>
    <w:rsid w:val="00AF10BA"/>
    <w:rsid w:val="00AF1350"/>
    <w:rsid w:val="00AF5831"/>
    <w:rsid w:val="00AF712F"/>
    <w:rsid w:val="00B06045"/>
    <w:rsid w:val="00B11030"/>
    <w:rsid w:val="00B13880"/>
    <w:rsid w:val="00B2355B"/>
    <w:rsid w:val="00B24975"/>
    <w:rsid w:val="00B25C19"/>
    <w:rsid w:val="00B3516B"/>
    <w:rsid w:val="00B36BAE"/>
    <w:rsid w:val="00B50295"/>
    <w:rsid w:val="00B518DE"/>
    <w:rsid w:val="00B51E91"/>
    <w:rsid w:val="00B53233"/>
    <w:rsid w:val="00B539A1"/>
    <w:rsid w:val="00B53AA5"/>
    <w:rsid w:val="00B54393"/>
    <w:rsid w:val="00B637D5"/>
    <w:rsid w:val="00B75F91"/>
    <w:rsid w:val="00B77369"/>
    <w:rsid w:val="00B903E5"/>
    <w:rsid w:val="00B91AD7"/>
    <w:rsid w:val="00B91D8D"/>
    <w:rsid w:val="00BB3CC9"/>
    <w:rsid w:val="00BB5F94"/>
    <w:rsid w:val="00BB643A"/>
    <w:rsid w:val="00BC74CD"/>
    <w:rsid w:val="00BD557E"/>
    <w:rsid w:val="00BE429F"/>
    <w:rsid w:val="00BF6C58"/>
    <w:rsid w:val="00BF6E34"/>
    <w:rsid w:val="00C008A1"/>
    <w:rsid w:val="00C049D3"/>
    <w:rsid w:val="00C0619C"/>
    <w:rsid w:val="00C24337"/>
    <w:rsid w:val="00C32623"/>
    <w:rsid w:val="00C35A27"/>
    <w:rsid w:val="00C361B8"/>
    <w:rsid w:val="00C536F1"/>
    <w:rsid w:val="00C542F0"/>
    <w:rsid w:val="00C54F87"/>
    <w:rsid w:val="00C576D3"/>
    <w:rsid w:val="00C62091"/>
    <w:rsid w:val="00C733F0"/>
    <w:rsid w:val="00C815D8"/>
    <w:rsid w:val="00C8277D"/>
    <w:rsid w:val="00CA1AEA"/>
    <w:rsid w:val="00CA1CD9"/>
    <w:rsid w:val="00CA1D54"/>
    <w:rsid w:val="00CA2568"/>
    <w:rsid w:val="00CB197F"/>
    <w:rsid w:val="00CD03CE"/>
    <w:rsid w:val="00CD1D28"/>
    <w:rsid w:val="00CD2DED"/>
    <w:rsid w:val="00CD632F"/>
    <w:rsid w:val="00CE3021"/>
    <w:rsid w:val="00CF789D"/>
    <w:rsid w:val="00D00907"/>
    <w:rsid w:val="00D04601"/>
    <w:rsid w:val="00D11E51"/>
    <w:rsid w:val="00D13495"/>
    <w:rsid w:val="00D154C1"/>
    <w:rsid w:val="00D313FE"/>
    <w:rsid w:val="00D327D6"/>
    <w:rsid w:val="00D3410C"/>
    <w:rsid w:val="00D40979"/>
    <w:rsid w:val="00D47719"/>
    <w:rsid w:val="00D56754"/>
    <w:rsid w:val="00D62B82"/>
    <w:rsid w:val="00D7397D"/>
    <w:rsid w:val="00D76858"/>
    <w:rsid w:val="00D82530"/>
    <w:rsid w:val="00D851FD"/>
    <w:rsid w:val="00D86A1E"/>
    <w:rsid w:val="00D9255D"/>
    <w:rsid w:val="00D945E8"/>
    <w:rsid w:val="00D94797"/>
    <w:rsid w:val="00D9527E"/>
    <w:rsid w:val="00D962D7"/>
    <w:rsid w:val="00D96528"/>
    <w:rsid w:val="00DA4872"/>
    <w:rsid w:val="00DA64E5"/>
    <w:rsid w:val="00DB065A"/>
    <w:rsid w:val="00DC2423"/>
    <w:rsid w:val="00DC2523"/>
    <w:rsid w:val="00DC7BEF"/>
    <w:rsid w:val="00DD1F59"/>
    <w:rsid w:val="00DD2388"/>
    <w:rsid w:val="00DD23AD"/>
    <w:rsid w:val="00DE4830"/>
    <w:rsid w:val="00DE4A16"/>
    <w:rsid w:val="00DE5085"/>
    <w:rsid w:val="00DF08DA"/>
    <w:rsid w:val="00E02C2B"/>
    <w:rsid w:val="00E05879"/>
    <w:rsid w:val="00E252A1"/>
    <w:rsid w:val="00E33324"/>
    <w:rsid w:val="00E335DC"/>
    <w:rsid w:val="00E36723"/>
    <w:rsid w:val="00E40240"/>
    <w:rsid w:val="00E40EE9"/>
    <w:rsid w:val="00E417D6"/>
    <w:rsid w:val="00E43E31"/>
    <w:rsid w:val="00E52199"/>
    <w:rsid w:val="00E5229D"/>
    <w:rsid w:val="00E56A50"/>
    <w:rsid w:val="00E73919"/>
    <w:rsid w:val="00E75442"/>
    <w:rsid w:val="00E81126"/>
    <w:rsid w:val="00E955E3"/>
    <w:rsid w:val="00EA192D"/>
    <w:rsid w:val="00EC30CD"/>
    <w:rsid w:val="00ED3A0C"/>
    <w:rsid w:val="00ED670D"/>
    <w:rsid w:val="00ED6C48"/>
    <w:rsid w:val="00EE0E08"/>
    <w:rsid w:val="00EE0FE4"/>
    <w:rsid w:val="00EE7A54"/>
    <w:rsid w:val="00EF06FF"/>
    <w:rsid w:val="00EF1E69"/>
    <w:rsid w:val="00EF5FE2"/>
    <w:rsid w:val="00F0278D"/>
    <w:rsid w:val="00F027B3"/>
    <w:rsid w:val="00F030E7"/>
    <w:rsid w:val="00F11E81"/>
    <w:rsid w:val="00F15AE3"/>
    <w:rsid w:val="00F301B1"/>
    <w:rsid w:val="00F31255"/>
    <w:rsid w:val="00F41F0F"/>
    <w:rsid w:val="00F423E7"/>
    <w:rsid w:val="00F44BC2"/>
    <w:rsid w:val="00F5232C"/>
    <w:rsid w:val="00F54BC5"/>
    <w:rsid w:val="00F54DA7"/>
    <w:rsid w:val="00F65F5D"/>
    <w:rsid w:val="00F86A3A"/>
    <w:rsid w:val="00F86DCF"/>
    <w:rsid w:val="00F96372"/>
    <w:rsid w:val="00FA49F8"/>
    <w:rsid w:val="00FA505C"/>
    <w:rsid w:val="00FA5E77"/>
    <w:rsid w:val="00FC7A17"/>
    <w:rsid w:val="00FC7BF5"/>
    <w:rsid w:val="00FD0A43"/>
    <w:rsid w:val="00FD599F"/>
    <w:rsid w:val="00FE2401"/>
    <w:rsid w:val="00FE2EB7"/>
    <w:rsid w:val="00FE4CA4"/>
    <w:rsid w:val="00FF27AF"/>
    <w:rsid w:val="00FF685B"/>
    <w:rsid w:val="00FF718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0F15C"/>
  <w15:docId w15:val="{5B145BEC-216C-43AC-AF38-B6C9F38E6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A78"/>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uiPriority w:val="9"/>
    <w:qFormat/>
    <w:rsid w:val="007268F9"/>
    <w:pPr>
      <w:spacing w:after="0" w:line="240" w:lineRule="auto"/>
      <w:ind w:right="0"/>
      <w:jc w:val="left"/>
      <w:outlineLvl w:val="0"/>
    </w:pPr>
  </w:style>
  <w:style w:type="paragraph" w:styleId="Heading2">
    <w:name w:val="heading 2"/>
    <w:basedOn w:val="Normal"/>
    <w:next w:val="Normal"/>
    <w:link w:val="Heading2Char"/>
    <w:uiPriority w:val="9"/>
    <w:semiHidden/>
    <w:qFormat/>
    <w:rsid w:val="007268F9"/>
    <w:pPr>
      <w:spacing w:line="240" w:lineRule="auto"/>
      <w:outlineLvl w:val="1"/>
    </w:pPr>
    <w:rPr>
      <w:rFonts w:eastAsia="SimSun"/>
      <w:lang w:eastAsia="zh-CN"/>
    </w:rPr>
  </w:style>
  <w:style w:type="paragraph" w:styleId="Heading3">
    <w:name w:val="heading 3"/>
    <w:basedOn w:val="Normal"/>
    <w:next w:val="Normal"/>
    <w:link w:val="Heading3Char"/>
    <w:uiPriority w:val="9"/>
    <w:semiHidden/>
    <w:qFormat/>
    <w:rsid w:val="007268F9"/>
    <w:pPr>
      <w:spacing w:line="240" w:lineRule="auto"/>
      <w:outlineLvl w:val="2"/>
    </w:pPr>
    <w:rPr>
      <w:rFonts w:eastAsia="SimSun"/>
      <w:lang w:eastAsia="zh-CN"/>
    </w:rPr>
  </w:style>
  <w:style w:type="paragraph" w:styleId="Heading4">
    <w:name w:val="heading 4"/>
    <w:basedOn w:val="Normal"/>
    <w:next w:val="Normal"/>
    <w:link w:val="Heading4Char"/>
    <w:uiPriority w:val="9"/>
    <w:semiHidden/>
    <w:qFormat/>
    <w:rsid w:val="007268F9"/>
    <w:pPr>
      <w:spacing w:line="240" w:lineRule="auto"/>
      <w:outlineLvl w:val="3"/>
    </w:pPr>
    <w:rPr>
      <w:rFonts w:eastAsia="SimSun"/>
      <w:lang w:eastAsia="zh-CN"/>
    </w:rPr>
  </w:style>
  <w:style w:type="paragraph" w:styleId="Heading5">
    <w:name w:val="heading 5"/>
    <w:basedOn w:val="Normal"/>
    <w:next w:val="Normal"/>
    <w:link w:val="Heading5Char"/>
    <w:uiPriority w:val="9"/>
    <w:semiHidden/>
    <w:qFormat/>
    <w:rsid w:val="007268F9"/>
    <w:pPr>
      <w:spacing w:line="240" w:lineRule="auto"/>
      <w:outlineLvl w:val="4"/>
    </w:pPr>
    <w:rPr>
      <w:rFonts w:eastAsia="SimSun"/>
      <w:lang w:eastAsia="zh-CN"/>
    </w:rPr>
  </w:style>
  <w:style w:type="paragraph" w:styleId="Heading6">
    <w:name w:val="heading 6"/>
    <w:basedOn w:val="Normal"/>
    <w:next w:val="Normal"/>
    <w:link w:val="Heading6Char"/>
    <w:uiPriority w:val="9"/>
    <w:semiHidden/>
    <w:qFormat/>
    <w:rsid w:val="007268F9"/>
    <w:pPr>
      <w:spacing w:line="240" w:lineRule="auto"/>
      <w:outlineLvl w:val="5"/>
    </w:pPr>
    <w:rPr>
      <w:rFonts w:eastAsia="SimSun"/>
      <w:lang w:eastAsia="zh-CN"/>
    </w:rPr>
  </w:style>
  <w:style w:type="paragraph" w:styleId="Heading7">
    <w:name w:val="heading 7"/>
    <w:basedOn w:val="Normal"/>
    <w:next w:val="Normal"/>
    <w:link w:val="Heading7Char"/>
    <w:uiPriority w:val="9"/>
    <w:semiHidden/>
    <w:qFormat/>
    <w:rsid w:val="007268F9"/>
    <w:pPr>
      <w:spacing w:line="240" w:lineRule="auto"/>
      <w:outlineLvl w:val="6"/>
    </w:pPr>
    <w:rPr>
      <w:rFonts w:eastAsia="SimSun"/>
      <w:lang w:eastAsia="zh-CN"/>
    </w:rPr>
  </w:style>
  <w:style w:type="paragraph" w:styleId="Heading8">
    <w:name w:val="heading 8"/>
    <w:basedOn w:val="Normal"/>
    <w:next w:val="Normal"/>
    <w:link w:val="Heading8Char"/>
    <w:uiPriority w:val="9"/>
    <w:semiHidden/>
    <w:qFormat/>
    <w:rsid w:val="007268F9"/>
    <w:pPr>
      <w:spacing w:line="240" w:lineRule="auto"/>
      <w:outlineLvl w:val="7"/>
    </w:pPr>
    <w:rPr>
      <w:rFonts w:eastAsia="SimSun"/>
      <w:lang w:eastAsia="zh-CN"/>
    </w:rPr>
  </w:style>
  <w:style w:type="paragraph" w:styleId="Heading9">
    <w:name w:val="heading 9"/>
    <w:basedOn w:val="Normal"/>
    <w:next w:val="Normal"/>
    <w:link w:val="Heading9Char"/>
    <w:uiPriority w:val="9"/>
    <w:semiHidden/>
    <w:qFormat/>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rsid w:val="007268F9"/>
    <w:pPr>
      <w:pBdr>
        <w:bottom w:val="single" w:sz="4" w:space="4" w:color="auto"/>
      </w:pBdr>
      <w:spacing w:line="240" w:lineRule="auto"/>
    </w:pPr>
    <w:rPr>
      <w:rFonts w:eastAsia="SimSun"/>
      <w:b/>
      <w:sz w:val="18"/>
      <w:lang w:eastAsia="zh-CN"/>
    </w:rPr>
  </w:style>
  <w:style w:type="character" w:customStyle="1" w:styleId="HeaderChar">
    <w:name w:val="Header Char"/>
    <w:aliases w:val="6_G Char"/>
    <w:basedOn w:val="DefaultParagraphFont"/>
    <w:link w:val="Header"/>
    <w:uiPriority w:val="99"/>
    <w:rsid w:val="003B4550"/>
    <w:rPr>
      <w:rFonts w:ascii="Times New Roman" w:hAnsi="Times New Roman" w:cs="Times New Roman"/>
      <w:b/>
      <w:sz w:val="18"/>
      <w:szCs w:val="20"/>
    </w:rPr>
  </w:style>
  <w:style w:type="paragraph" w:styleId="Footer">
    <w:name w:val="footer"/>
    <w:aliases w:val="3_G"/>
    <w:basedOn w:val="Normal"/>
    <w:link w:val="FooterChar"/>
    <w:uiPriority w:val="99"/>
    <w:rsid w:val="007268F9"/>
    <w:pPr>
      <w:spacing w:line="240" w:lineRule="auto"/>
    </w:pPr>
    <w:rPr>
      <w:rFonts w:eastAsia="SimSun"/>
      <w:sz w:val="16"/>
      <w:lang w:eastAsia="zh-CN"/>
    </w:rPr>
  </w:style>
  <w:style w:type="character" w:customStyle="1" w:styleId="FooterChar">
    <w:name w:val="Footer Char"/>
    <w:aliases w:val="3_G Char"/>
    <w:basedOn w:val="DefaultParagraphFont"/>
    <w:link w:val="Footer"/>
    <w:uiPriority w:val="99"/>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rsid w:val="00892361"/>
    <w:pPr>
      <w:tabs>
        <w:tab w:val="left" w:pos="1701"/>
        <w:tab w:val="left" w:pos="2268"/>
      </w:tabs>
      <w:spacing w:after="120"/>
      <w:ind w:left="1134" w:right="1134"/>
      <w:jc w:val="both"/>
    </w:pPr>
    <w:rPr>
      <w:rFonts w:eastAsia="SimSun"/>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rPr>
  </w:style>
  <w:style w:type="paragraph" w:customStyle="1" w:styleId="SMG">
    <w:name w:val="__S_M_G"/>
    <w:basedOn w:val="Normal"/>
    <w:next w:val="Normal"/>
    <w:rsid w:val="007268F9"/>
    <w:pPr>
      <w:keepNext/>
      <w:keepLines/>
      <w:spacing w:before="240" w:after="240" w:line="420" w:lineRule="exact"/>
      <w:ind w:left="1134" w:right="1134"/>
    </w:pPr>
    <w:rPr>
      <w:b/>
      <w:sz w:val="40"/>
    </w:rPr>
  </w:style>
  <w:style w:type="paragraph" w:customStyle="1" w:styleId="SSG">
    <w:name w:val="__S_S_G"/>
    <w:basedOn w:val="Normal"/>
    <w:next w:val="Normal"/>
    <w:rsid w:val="007268F9"/>
    <w:pPr>
      <w:keepNext/>
      <w:keepLines/>
      <w:spacing w:before="240" w:after="240" w:line="300" w:lineRule="exact"/>
      <w:ind w:left="1134" w:right="1134"/>
    </w:pPr>
    <w:rPr>
      <w:b/>
      <w:sz w:val="28"/>
    </w:rPr>
  </w:style>
  <w:style w:type="paragraph" w:customStyle="1" w:styleId="XLargeG">
    <w:name w:val="__XLarge_G"/>
    <w:basedOn w:val="Normal"/>
    <w:next w:val="Normal"/>
    <w:rsid w:val="007268F9"/>
    <w:pPr>
      <w:keepNext/>
      <w:keepLines/>
      <w:spacing w:before="240" w:after="240" w:line="420" w:lineRule="exact"/>
      <w:ind w:left="1134" w:right="1134"/>
    </w:pPr>
    <w:rPr>
      <w:b/>
      <w:sz w:val="40"/>
    </w:rPr>
  </w:style>
  <w:style w:type="paragraph" w:customStyle="1" w:styleId="Bullet1G">
    <w:name w:val="_Bullet 1_G"/>
    <w:basedOn w:val="Normal"/>
    <w:rsid w:val="007268F9"/>
    <w:pPr>
      <w:numPr>
        <w:numId w:val="1"/>
      </w:numPr>
      <w:spacing w:after="120"/>
      <w:ind w:right="1134"/>
      <w:jc w:val="both"/>
    </w:pPr>
  </w:style>
  <w:style w:type="paragraph" w:customStyle="1" w:styleId="Bullet2G">
    <w:name w:val="_Bullet 2_G"/>
    <w:basedOn w:val="Normal"/>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4"/>
      </w:numPr>
    </w:pPr>
  </w:style>
  <w:style w:type="numbering" w:styleId="1ai">
    <w:name w:val="Outline List 1"/>
    <w:basedOn w:val="NoList"/>
    <w:semiHidden/>
    <w:rsid w:val="007268F9"/>
    <w:pPr>
      <w:numPr>
        <w:numId w:val="5"/>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Footnote Text Char Char Char Char Char,Footnote Text Char Char Char Char,Footnote reference,FA Fu,Footnote Text Char Char Char,Footnote Reference1, Char,Char,ft,Style 27,Char Char Char Char Char,Style 11, Char Char Char,Voetnoottekst1"/>
    <w:basedOn w:val="Normal"/>
    <w:link w:val="FootnoteTextChar"/>
    <w:uiPriority w:val="99"/>
    <w:qFormat/>
    <w:rsid w:val="007268F9"/>
    <w:pPr>
      <w:tabs>
        <w:tab w:val="right" w:pos="1021"/>
      </w:tabs>
      <w:spacing w:line="220" w:lineRule="exact"/>
      <w:ind w:left="1134" w:right="1134" w:hanging="1134"/>
    </w:pPr>
    <w:rPr>
      <w:rFonts w:eastAsia="SimSun"/>
      <w:sz w:val="18"/>
      <w:lang w:eastAsia="zh-CN"/>
    </w:rPr>
  </w:style>
  <w:style w:type="character" w:customStyle="1" w:styleId="FootnoteTextChar">
    <w:name w:val="Footnote Text Char"/>
    <w:aliases w:val="5_G Char,Footnote Text Char Char Char Char Char Char,Footnote Text Char Char Char Char Char1,Footnote reference Char,FA Fu Char,Footnote Text Char Char Char Char1,Footnote Reference1 Char, Char Char,Char Char,ft Char,Style 27 Char"/>
    <w:basedOn w:val="DefaultParagraphFont"/>
    <w:link w:val="FootnoteText"/>
    <w:uiPriority w:val="99"/>
    <w:qFormat/>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Footnote number,ftref,Footnotes refss,Style 10,referencia nota al pie,BVI fnr,Footnote text,4_Footnote text,callout,Fago Fußnotenzeichen,16 Point,Superscript 6 Point,Footnote,Footnote symbol,f,Footnote Refernece,Ref,callou"/>
    <w:link w:val="Appelnotedebasde"/>
    <w:qFormat/>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uiPriority w:val="9"/>
    <w:rsid w:val="003B4550"/>
    <w:rPr>
      <w:rFonts w:ascii="Times New Roman" w:hAnsi="Times New Roman" w:cs="Times New Roman"/>
      <w:sz w:val="20"/>
      <w:szCs w:val="20"/>
    </w:rPr>
  </w:style>
  <w:style w:type="character" w:customStyle="1" w:styleId="Heading2Char">
    <w:name w:val="Heading 2 Char"/>
    <w:basedOn w:val="DefaultParagraphFont"/>
    <w:link w:val="Heading2"/>
    <w:uiPriority w:val="9"/>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uiPriority w:val="9"/>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uiPriority w:val="9"/>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uiPriority w:val="9"/>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uiPriority w:val="9"/>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uiPriority w:val="9"/>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uiPriority w:val="9"/>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uiPriority w:val="9"/>
    <w:semiHidden/>
    <w:rsid w:val="003B4550"/>
    <w:rPr>
      <w:rFonts w:ascii="Times New Roman" w:hAnsi="Times New Roman" w:cs="Times New Roman"/>
      <w:sz w:val="20"/>
      <w:szCs w:val="20"/>
    </w:rPr>
  </w:style>
  <w:style w:type="character" w:styleId="PageNumber">
    <w:name w:val="page number"/>
    <w:aliases w:val="7_G"/>
    <w:uiPriority w:val="99"/>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165C15"/>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5C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C15"/>
    <w:rPr>
      <w:rFonts w:ascii="Tahoma" w:eastAsia="Times New Roman" w:hAnsi="Tahoma" w:cs="Tahoma"/>
      <w:sz w:val="16"/>
      <w:szCs w:val="16"/>
      <w:lang w:eastAsia="en-US"/>
    </w:rPr>
  </w:style>
  <w:style w:type="character" w:styleId="Hyperlink">
    <w:name w:val="Hyperlink"/>
    <w:basedOn w:val="DefaultParagraphFont"/>
    <w:uiPriority w:val="99"/>
    <w:unhideWhenUsed/>
    <w:rsid w:val="00BB3CC9"/>
    <w:rPr>
      <w:rFonts w:eastAsiaTheme="minorEastAsia"/>
      <w:color w:val="0000FF"/>
    </w:rPr>
  </w:style>
  <w:style w:type="paragraph" w:styleId="Revision">
    <w:name w:val="Revision"/>
    <w:hidden/>
    <w:uiPriority w:val="99"/>
    <w:semiHidden/>
    <w:rsid w:val="00BB3CC9"/>
    <w:pPr>
      <w:spacing w:after="0" w:line="240" w:lineRule="auto"/>
    </w:pPr>
    <w:rPr>
      <w:rFonts w:ascii="Times New Roman" w:eastAsia="Times New Roman" w:hAnsi="Times New Roman" w:cs="Times New Roman"/>
      <w:sz w:val="20"/>
      <w:szCs w:val="20"/>
      <w:lang w:eastAsia="en-US"/>
    </w:rPr>
  </w:style>
  <w:style w:type="character" w:styleId="FollowedHyperlink">
    <w:name w:val="FollowedHyperlink"/>
    <w:basedOn w:val="DefaultParagraphFont"/>
    <w:uiPriority w:val="99"/>
    <w:semiHidden/>
    <w:unhideWhenUsed/>
    <w:rsid w:val="00BB3CC9"/>
    <w:rPr>
      <w:color w:val="0000FF"/>
      <w:u w:val="single"/>
    </w:rPr>
  </w:style>
  <w:style w:type="character" w:styleId="UnresolvedMention">
    <w:name w:val="Unresolved Mention"/>
    <w:basedOn w:val="DefaultParagraphFont"/>
    <w:uiPriority w:val="99"/>
    <w:semiHidden/>
    <w:unhideWhenUsed/>
    <w:rsid w:val="00123705"/>
    <w:rPr>
      <w:color w:val="605E5C"/>
      <w:shd w:val="clear" w:color="auto" w:fill="E1DFDD"/>
    </w:rPr>
  </w:style>
  <w:style w:type="character" w:styleId="CommentReference">
    <w:name w:val="annotation reference"/>
    <w:basedOn w:val="DefaultParagraphFont"/>
    <w:uiPriority w:val="99"/>
    <w:semiHidden/>
    <w:unhideWhenUsed/>
    <w:rsid w:val="005C0939"/>
    <w:rPr>
      <w:sz w:val="16"/>
      <w:szCs w:val="16"/>
    </w:rPr>
  </w:style>
  <w:style w:type="paragraph" w:styleId="CommentText">
    <w:name w:val="annotation text"/>
    <w:basedOn w:val="Normal"/>
    <w:link w:val="CommentTextChar"/>
    <w:uiPriority w:val="99"/>
    <w:semiHidden/>
    <w:unhideWhenUsed/>
    <w:rsid w:val="005C0939"/>
    <w:pPr>
      <w:spacing w:line="240" w:lineRule="auto"/>
    </w:pPr>
  </w:style>
  <w:style w:type="character" w:customStyle="1" w:styleId="CommentTextChar">
    <w:name w:val="Comment Text Char"/>
    <w:basedOn w:val="DefaultParagraphFont"/>
    <w:link w:val="CommentText"/>
    <w:uiPriority w:val="99"/>
    <w:semiHidden/>
    <w:rsid w:val="005C0939"/>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5C0939"/>
    <w:rPr>
      <w:b/>
      <w:bCs/>
    </w:rPr>
  </w:style>
  <w:style w:type="character" w:customStyle="1" w:styleId="CommentSubjectChar">
    <w:name w:val="Comment Subject Char"/>
    <w:basedOn w:val="CommentTextChar"/>
    <w:link w:val="CommentSubject"/>
    <w:uiPriority w:val="99"/>
    <w:semiHidden/>
    <w:rsid w:val="005C0939"/>
    <w:rPr>
      <w:rFonts w:ascii="Times New Roman" w:eastAsia="Times New Roman" w:hAnsi="Times New Roman" w:cs="Times New Roman"/>
      <w:b/>
      <w:bCs/>
      <w:sz w:val="20"/>
      <w:szCs w:val="20"/>
      <w:lang w:eastAsia="en-US"/>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FootnoteReference"/>
    <w:rsid w:val="00984EC5"/>
    <w:pPr>
      <w:suppressAutoHyphens w:val="0"/>
      <w:spacing w:before="120" w:after="120" w:line="240" w:lineRule="auto"/>
    </w:pPr>
    <w:rPr>
      <w:rFonts w:eastAsia="SimSun" w:cstheme="minorBidi"/>
      <w:sz w:val="18"/>
      <w:szCs w:val="22"/>
      <w:vertAlign w:val="superscript"/>
      <w:lang w:eastAsia="zh-CN"/>
    </w:rPr>
  </w:style>
  <w:style w:type="paragraph" w:styleId="ListParagraph">
    <w:name w:val="List Paragraph"/>
    <w:basedOn w:val="Normal"/>
    <w:uiPriority w:val="34"/>
    <w:rsid w:val="000127D1"/>
    <w:pPr>
      <w:ind w:left="720"/>
      <w:contextualSpacing/>
    </w:pPr>
  </w:style>
  <w:style w:type="paragraph" w:styleId="NormalWeb">
    <w:name w:val="Normal (Web)"/>
    <w:basedOn w:val="Normal"/>
    <w:uiPriority w:val="99"/>
    <w:semiHidden/>
    <w:unhideWhenUsed/>
    <w:rsid w:val="003615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95442">
      <w:bodyDiv w:val="1"/>
      <w:marLeft w:val="0"/>
      <w:marRight w:val="0"/>
      <w:marTop w:val="0"/>
      <w:marBottom w:val="0"/>
      <w:divBdr>
        <w:top w:val="none" w:sz="0" w:space="0" w:color="auto"/>
        <w:left w:val="none" w:sz="0" w:space="0" w:color="auto"/>
        <w:bottom w:val="none" w:sz="0" w:space="0" w:color="auto"/>
        <w:right w:val="none" w:sz="0" w:space="0" w:color="auto"/>
      </w:divBdr>
    </w:div>
    <w:div w:id="143621279">
      <w:bodyDiv w:val="1"/>
      <w:marLeft w:val="0"/>
      <w:marRight w:val="0"/>
      <w:marTop w:val="0"/>
      <w:marBottom w:val="0"/>
      <w:divBdr>
        <w:top w:val="none" w:sz="0" w:space="0" w:color="auto"/>
        <w:left w:val="none" w:sz="0" w:space="0" w:color="auto"/>
        <w:bottom w:val="none" w:sz="0" w:space="0" w:color="auto"/>
        <w:right w:val="none" w:sz="0" w:space="0" w:color="auto"/>
      </w:divBdr>
    </w:div>
    <w:div w:id="262033191">
      <w:bodyDiv w:val="1"/>
      <w:marLeft w:val="0"/>
      <w:marRight w:val="0"/>
      <w:marTop w:val="0"/>
      <w:marBottom w:val="0"/>
      <w:divBdr>
        <w:top w:val="none" w:sz="0" w:space="0" w:color="auto"/>
        <w:left w:val="none" w:sz="0" w:space="0" w:color="auto"/>
        <w:bottom w:val="none" w:sz="0" w:space="0" w:color="auto"/>
        <w:right w:val="none" w:sz="0" w:space="0" w:color="auto"/>
      </w:divBdr>
    </w:div>
    <w:div w:id="297880371">
      <w:bodyDiv w:val="1"/>
      <w:marLeft w:val="0"/>
      <w:marRight w:val="0"/>
      <w:marTop w:val="0"/>
      <w:marBottom w:val="0"/>
      <w:divBdr>
        <w:top w:val="none" w:sz="0" w:space="0" w:color="auto"/>
        <w:left w:val="none" w:sz="0" w:space="0" w:color="auto"/>
        <w:bottom w:val="none" w:sz="0" w:space="0" w:color="auto"/>
        <w:right w:val="none" w:sz="0" w:space="0" w:color="auto"/>
      </w:divBdr>
    </w:div>
    <w:div w:id="588198524">
      <w:bodyDiv w:val="1"/>
      <w:marLeft w:val="0"/>
      <w:marRight w:val="0"/>
      <w:marTop w:val="0"/>
      <w:marBottom w:val="0"/>
      <w:divBdr>
        <w:top w:val="none" w:sz="0" w:space="0" w:color="auto"/>
        <w:left w:val="none" w:sz="0" w:space="0" w:color="auto"/>
        <w:bottom w:val="none" w:sz="0" w:space="0" w:color="auto"/>
        <w:right w:val="none" w:sz="0" w:space="0" w:color="auto"/>
      </w:divBdr>
    </w:div>
    <w:div w:id="632906032">
      <w:bodyDiv w:val="1"/>
      <w:marLeft w:val="0"/>
      <w:marRight w:val="0"/>
      <w:marTop w:val="0"/>
      <w:marBottom w:val="0"/>
      <w:divBdr>
        <w:top w:val="none" w:sz="0" w:space="0" w:color="auto"/>
        <w:left w:val="none" w:sz="0" w:space="0" w:color="auto"/>
        <w:bottom w:val="none" w:sz="0" w:space="0" w:color="auto"/>
        <w:right w:val="none" w:sz="0" w:space="0" w:color="auto"/>
      </w:divBdr>
    </w:div>
    <w:div w:id="739253181">
      <w:bodyDiv w:val="1"/>
      <w:marLeft w:val="0"/>
      <w:marRight w:val="0"/>
      <w:marTop w:val="0"/>
      <w:marBottom w:val="0"/>
      <w:divBdr>
        <w:top w:val="none" w:sz="0" w:space="0" w:color="auto"/>
        <w:left w:val="none" w:sz="0" w:space="0" w:color="auto"/>
        <w:bottom w:val="none" w:sz="0" w:space="0" w:color="auto"/>
        <w:right w:val="none" w:sz="0" w:space="0" w:color="auto"/>
      </w:divBdr>
    </w:div>
    <w:div w:id="751392386">
      <w:bodyDiv w:val="1"/>
      <w:marLeft w:val="0"/>
      <w:marRight w:val="0"/>
      <w:marTop w:val="0"/>
      <w:marBottom w:val="0"/>
      <w:divBdr>
        <w:top w:val="none" w:sz="0" w:space="0" w:color="auto"/>
        <w:left w:val="none" w:sz="0" w:space="0" w:color="auto"/>
        <w:bottom w:val="none" w:sz="0" w:space="0" w:color="auto"/>
        <w:right w:val="none" w:sz="0" w:space="0" w:color="auto"/>
      </w:divBdr>
    </w:div>
    <w:div w:id="876625961">
      <w:bodyDiv w:val="1"/>
      <w:marLeft w:val="0"/>
      <w:marRight w:val="0"/>
      <w:marTop w:val="0"/>
      <w:marBottom w:val="0"/>
      <w:divBdr>
        <w:top w:val="none" w:sz="0" w:space="0" w:color="auto"/>
        <w:left w:val="none" w:sz="0" w:space="0" w:color="auto"/>
        <w:bottom w:val="none" w:sz="0" w:space="0" w:color="auto"/>
        <w:right w:val="none" w:sz="0" w:space="0" w:color="auto"/>
      </w:divBdr>
    </w:div>
    <w:div w:id="1020467797">
      <w:bodyDiv w:val="1"/>
      <w:marLeft w:val="0"/>
      <w:marRight w:val="0"/>
      <w:marTop w:val="0"/>
      <w:marBottom w:val="0"/>
      <w:divBdr>
        <w:top w:val="none" w:sz="0" w:space="0" w:color="auto"/>
        <w:left w:val="none" w:sz="0" w:space="0" w:color="auto"/>
        <w:bottom w:val="none" w:sz="0" w:space="0" w:color="auto"/>
        <w:right w:val="none" w:sz="0" w:space="0" w:color="auto"/>
      </w:divBdr>
    </w:div>
    <w:div w:id="1408965452">
      <w:bodyDiv w:val="1"/>
      <w:marLeft w:val="0"/>
      <w:marRight w:val="0"/>
      <w:marTop w:val="0"/>
      <w:marBottom w:val="0"/>
      <w:divBdr>
        <w:top w:val="none" w:sz="0" w:space="0" w:color="auto"/>
        <w:left w:val="none" w:sz="0" w:space="0" w:color="auto"/>
        <w:bottom w:val="none" w:sz="0" w:space="0" w:color="auto"/>
        <w:right w:val="none" w:sz="0" w:space="0" w:color="auto"/>
      </w:divBdr>
    </w:div>
    <w:div w:id="1604151087">
      <w:bodyDiv w:val="1"/>
      <w:marLeft w:val="0"/>
      <w:marRight w:val="0"/>
      <w:marTop w:val="0"/>
      <w:marBottom w:val="0"/>
      <w:divBdr>
        <w:top w:val="none" w:sz="0" w:space="0" w:color="auto"/>
        <w:left w:val="none" w:sz="0" w:space="0" w:color="auto"/>
        <w:bottom w:val="none" w:sz="0" w:space="0" w:color="auto"/>
        <w:right w:val="none" w:sz="0" w:space="0" w:color="auto"/>
      </w:divBdr>
    </w:div>
    <w:div w:id="1651978417">
      <w:bodyDiv w:val="1"/>
      <w:marLeft w:val="0"/>
      <w:marRight w:val="0"/>
      <w:marTop w:val="0"/>
      <w:marBottom w:val="0"/>
      <w:divBdr>
        <w:top w:val="none" w:sz="0" w:space="0" w:color="auto"/>
        <w:left w:val="none" w:sz="0" w:space="0" w:color="auto"/>
        <w:bottom w:val="none" w:sz="0" w:space="0" w:color="auto"/>
        <w:right w:val="none" w:sz="0" w:space="0" w:color="auto"/>
      </w:divBdr>
    </w:div>
    <w:div w:id="2002467244">
      <w:bodyDiv w:val="1"/>
      <w:marLeft w:val="0"/>
      <w:marRight w:val="0"/>
      <w:marTop w:val="0"/>
      <w:marBottom w:val="0"/>
      <w:divBdr>
        <w:top w:val="none" w:sz="0" w:space="0" w:color="auto"/>
        <w:left w:val="none" w:sz="0" w:space="0" w:color="auto"/>
        <w:bottom w:val="none" w:sz="0" w:space="0" w:color="auto"/>
        <w:right w:val="none" w:sz="0" w:space="0" w:color="auto"/>
      </w:divBdr>
    </w:div>
    <w:div w:id="2065106050">
      <w:bodyDiv w:val="1"/>
      <w:marLeft w:val="0"/>
      <w:marRight w:val="0"/>
      <w:marTop w:val="0"/>
      <w:marBottom w:val="0"/>
      <w:divBdr>
        <w:top w:val="none" w:sz="0" w:space="0" w:color="auto"/>
        <w:left w:val="none" w:sz="0" w:space="0" w:color="auto"/>
        <w:bottom w:val="none" w:sz="0" w:space="0" w:color="auto"/>
        <w:right w:val="none" w:sz="0" w:space="0" w:color="auto"/>
      </w:divBdr>
    </w:div>
    <w:div w:id="211212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https://www.ohchr.org/en/instruments-mechanisms/instruments/basic-principles-role-lawyers" TargetMode="External" /><Relationship Id="rId18" Type="http://schemas.openxmlformats.org/officeDocument/2006/relationships/hyperlink" Target="https://www.sowetan.co.za/news/2026-05-05-what-you-need-to-know-about-the-b-bbee-court-challenge/" TargetMode="External" /><Relationship Id="rId3" Type="http://schemas.openxmlformats.org/officeDocument/2006/relationships/customXml" Target="../customXml/item3.xml" /><Relationship Id="rId21"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yperlink" Target="https://www.ohchr.org/en/instruments-mechanisms/instruments/international-covenant-civil-and-political-rights" TargetMode="External" /><Relationship Id="rId17" Type="http://schemas.openxmlformats.org/officeDocument/2006/relationships/hyperlink" Target="https://www.derebus.org.za/lssa-news-update-may-2019/" TargetMode="External" /><Relationship Id="rId25"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hyperlink" Target="https://www.justice.gov.za/m_statements/2022/20220727-LegalSectorCode.html" TargetMode="External" /><Relationship Id="rId20"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yperlink" Target="https://www.ohchr.org/sites/default/files/documents/hrbodies/ccpr/cfis/gc38-22/draft-gc-38-call-for-comments-en.docx" TargetMode="External" /><Relationship Id="rId24" Type="http://schemas.openxmlformats.org/officeDocument/2006/relationships/fontTable" Target="fontTable.xml" /><Relationship Id="rId5" Type="http://schemas.openxmlformats.org/officeDocument/2006/relationships/numbering" Target="numbering.xml" /><Relationship Id="rId15" Type="http://schemas.openxmlformats.org/officeDocument/2006/relationships/hyperlink" Target="https://www.gov.za/sites/default/files/gcis_document/201409/3802222-9act28of2014legalpracticeacta.pdf" TargetMode="External" /><Relationship Id="rId23" Type="http://schemas.openxmlformats.org/officeDocument/2006/relationships/header" Target="header2.xml" /><Relationship Id="rId10" Type="http://schemas.openxmlformats.org/officeDocument/2006/relationships/endnotes" Target="endnotes.xml" /><Relationship Id="rId19" Type="http://schemas.openxmlformats.org/officeDocument/2006/relationships/hyperlink" Target="https://dailyinvestor.com/south-africa/115044/minister-says-anyone-who-opens-a-debate-about-bee-promotes-white-supremacy/" TargetMode="Externa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https://www.justice.gov.za/constitution/SAConstitution-web-eng.pdf" TargetMode="External" /><Relationship Id="rId22" Type="http://schemas.openxmlformats.org/officeDocument/2006/relationships/footer" Target="footer2.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maytan\United%20Nations\UNOG_DCM-LGS-MTS-EDPU%20-%20PDocs\MACROS\COVERPAGES\CCPR.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5F5E88-8331-474B-8572-90FB223D3AC7}">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360F61AE-4B91-4A52-8B94-90BE2249EC9D}"/>
</file>

<file path=customXml/itemProps3.xml><?xml version="1.0" encoding="utf-8"?>
<ds:datastoreItem xmlns:ds="http://schemas.openxmlformats.org/officeDocument/2006/customXml" ds:itemID="{94A8A192-1541-44FC-9AA4-500B07C9E4B0}">
  <ds:schemaRefs>
    <ds:schemaRef ds:uri="http://schemas.microsoft.com/office/2006/metadata/properties"/>
    <ds:schemaRef ds:uri="http://www.w3.org/2000/xmlns/"/>
    <ds:schemaRef ds:uri="985ec44e-1bab-4c0b-9df0-6ba128686fc9"/>
    <ds:schemaRef ds:uri="http://www.w3.org/2001/XMLSchema-instance"/>
    <ds:schemaRef ds:uri="b248d7e1-e1e1-4a8e-9310-749402edb8a9"/>
    <ds:schemaRef ds:uri="http://schemas.microsoft.com/office/infopath/2007/PartnerControls"/>
    <ds:schemaRef ds:uri="11a6fe0c-d8de-4390-afb3-d9c7c54181f0"/>
  </ds:schemaRefs>
</ds:datastoreItem>
</file>

<file path=customXml/itemProps4.xml><?xml version="1.0" encoding="utf-8"?>
<ds:datastoreItem xmlns:ds="http://schemas.openxmlformats.org/officeDocument/2006/customXml" ds:itemID="{F23C43B0-05DA-476A-A04D-CD91C951527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CCPR.dotm</Template>
  <TotalTime>2</TotalTime>
  <Pages>1</Pages>
  <Words>5040</Words>
  <Characters>28731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CCPR/C/GC/R.38</vt:lpstr>
    </vt:vector>
  </TitlesOfParts>
  <Company>DCM</Company>
  <LinksUpToDate>false</LinksUpToDate>
  <CharactersWithSpaces>33704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CCPR/C/GC/R.38</dc:title>
  <dc:subject>2600862</dc:subject>
  <dc:creator>cg</dc:creator>
  <cp:keywords/>
  <dc:description/>
  <cp:lastModifiedBy>Conrad Nel</cp:lastModifiedBy>
  <cp:revision>5</cp:revision>
  <dcterms:created xsi:type="dcterms:W3CDTF">2026-05-13T05:24:00Z</dcterms:created>
  <dcterms:modified xsi:type="dcterms:W3CDTF">2026-05-13T05:26:00Z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1bcdb0d64c0d422c85ec7e9d7e2a972a836be2fe5c7d6ba63cc8bf66b7bf7de8</vt:lpwstr>
  </property>
  <property fmtid="{D5CDD505-2E9C-101B-9397-08002B2CF9AE}" pid="3" name="ContentTypeId">
    <vt:lpwstr>0x010100F5AB59289BFBAB4F9FD152C776C60BDD</vt:lpwstr>
  </property>
  <property fmtid="{D5CDD505-2E9C-101B-9397-08002B2CF9AE}" pid="4" name="MediaServiceImageTags">
    <vt:lpwstr/>
  </property>
</Properties>
</file>