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54626" w14:textId="77777777" w:rsidR="00605DCD" w:rsidRDefault="00000000">
      <w:pPr>
        <w:spacing w:line="360" w:lineRule="auto"/>
        <w:jc w:val="center"/>
        <w:rPr>
          <w:rFonts w:ascii="Times New Roman" w:eastAsia="Times New Roman" w:hAnsi="Times New Roman" w:cs="Times New Roman"/>
          <w:smallCaps/>
          <w:color w:val="005B7F"/>
          <w:sz w:val="24"/>
          <w:szCs w:val="24"/>
        </w:rPr>
      </w:pPr>
      <w:r>
        <w:rPr>
          <w:rFonts w:ascii="Times New Roman" w:eastAsia="Times New Roman" w:hAnsi="Times New Roman" w:cs="Times New Roman"/>
          <w:smallCaps/>
          <w:color w:val="005B7F"/>
          <w:sz w:val="24"/>
          <w:szCs w:val="24"/>
        </w:rPr>
        <w:t>INDEPENDENT EXPERT SUBMISSION</w:t>
      </w:r>
    </w:p>
    <w:p w14:paraId="3A054627" w14:textId="77777777" w:rsidR="00605DCD" w:rsidRDefault="00605DCD">
      <w:pPr>
        <w:spacing w:line="360" w:lineRule="auto"/>
        <w:jc w:val="center"/>
        <w:rPr>
          <w:rFonts w:ascii="Times New Roman" w:eastAsia="Times New Roman" w:hAnsi="Times New Roman" w:cs="Times New Roman"/>
          <w:smallCaps/>
          <w:color w:val="005B7F"/>
          <w:sz w:val="24"/>
          <w:szCs w:val="24"/>
        </w:rPr>
      </w:pPr>
    </w:p>
    <w:p w14:paraId="3A054628" w14:textId="77777777" w:rsidR="00605DCD"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4A4A4A"/>
          <w:sz w:val="24"/>
          <w:szCs w:val="24"/>
        </w:rPr>
        <w:t>Human Rights Committee (CCPR) - Draft General Comment No. 38</w:t>
      </w:r>
    </w:p>
    <w:p w14:paraId="3A054629" w14:textId="77777777" w:rsidR="00605DCD"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4A4A4A"/>
          <w:sz w:val="24"/>
          <w:szCs w:val="24"/>
        </w:rPr>
        <w:t>Article 22 of the International Covenant on Civil and Political Rights</w:t>
      </w:r>
    </w:p>
    <w:p w14:paraId="3A05462A" w14:textId="77777777" w:rsidR="00605DCD" w:rsidRDefault="00605DCD">
      <w:pPr>
        <w:pBdr>
          <w:bottom w:val="single" w:sz="8" w:space="1" w:color="003366"/>
        </w:pBdr>
        <w:spacing w:line="360" w:lineRule="auto"/>
        <w:jc w:val="center"/>
        <w:rPr>
          <w:rFonts w:ascii="Times New Roman" w:eastAsia="Times New Roman" w:hAnsi="Times New Roman" w:cs="Times New Roman"/>
          <w:sz w:val="24"/>
          <w:szCs w:val="24"/>
        </w:rPr>
      </w:pPr>
    </w:p>
    <w:p w14:paraId="3A05462B" w14:textId="77777777" w:rsidR="00605DCD" w:rsidRDefault="00605DCD">
      <w:pPr>
        <w:spacing w:line="360" w:lineRule="auto"/>
        <w:jc w:val="center"/>
        <w:rPr>
          <w:rFonts w:ascii="Times New Roman" w:eastAsia="Times New Roman" w:hAnsi="Times New Roman" w:cs="Times New Roman"/>
          <w:sz w:val="24"/>
          <w:szCs w:val="24"/>
        </w:rPr>
      </w:pPr>
    </w:p>
    <w:p w14:paraId="3A05462C" w14:textId="77777777" w:rsidR="00605DCD" w:rsidRDefault="00000000">
      <w:pPr>
        <w:spacing w:line="360" w:lineRule="auto"/>
        <w:jc w:val="center"/>
        <w:rPr>
          <w:rFonts w:ascii="Times New Roman" w:eastAsia="Times New Roman" w:hAnsi="Times New Roman" w:cs="Times New Roman"/>
          <w:b/>
          <w:bCs/>
          <w:color w:val="003366"/>
          <w:sz w:val="24"/>
          <w:szCs w:val="24"/>
        </w:rPr>
      </w:pPr>
      <w:r>
        <w:rPr>
          <w:rFonts w:ascii="Times New Roman" w:eastAsia="Times New Roman" w:hAnsi="Times New Roman" w:cs="Times New Roman"/>
          <w:b/>
          <w:bCs/>
          <w:color w:val="003366"/>
          <w:sz w:val="24"/>
          <w:szCs w:val="24"/>
        </w:rPr>
        <w:t>FREEDOM OF ASSOCIATION IN AN AGE OF DEMOCRATIC CLOSURE: STRUCTURAL THREATS, DIGITAL FRONTIERS, AND THE IMPERATIVE OF AN ENABLING NORMATIVE FRAMEWORK</w:t>
      </w:r>
    </w:p>
    <w:p w14:paraId="3A05462D" w14:textId="77777777" w:rsidR="00605DCD" w:rsidRDefault="00605DCD">
      <w:pPr>
        <w:spacing w:line="360" w:lineRule="auto"/>
        <w:jc w:val="center"/>
        <w:rPr>
          <w:rFonts w:ascii="Times New Roman" w:eastAsia="Times New Roman" w:hAnsi="Times New Roman" w:cs="Times New Roman"/>
          <w:b/>
          <w:bCs/>
          <w:color w:val="003366"/>
          <w:sz w:val="24"/>
          <w:szCs w:val="24"/>
        </w:rPr>
      </w:pPr>
    </w:p>
    <w:p w14:paraId="3A05462E" w14:textId="77777777" w:rsidR="00605DCD"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i/>
          <w:iCs/>
          <w:color w:val="4A4A4A"/>
          <w:sz w:val="24"/>
          <w:szCs w:val="24"/>
        </w:rPr>
        <w:t>Comments on Draft General Comment No. 38 - Second Reading</w:t>
      </w:r>
    </w:p>
    <w:p w14:paraId="3A05462F" w14:textId="77777777" w:rsidR="00605DCD" w:rsidRDefault="00605DCD">
      <w:pPr>
        <w:pBdr>
          <w:bottom w:val="single" w:sz="4" w:space="1" w:color="005B7F"/>
        </w:pBdr>
        <w:spacing w:line="360" w:lineRule="auto"/>
        <w:jc w:val="center"/>
        <w:rPr>
          <w:rFonts w:ascii="Times New Roman" w:eastAsia="Times New Roman" w:hAnsi="Times New Roman" w:cs="Times New Roman"/>
          <w:sz w:val="24"/>
          <w:szCs w:val="24"/>
        </w:rPr>
      </w:pPr>
    </w:p>
    <w:p w14:paraId="3A054630" w14:textId="77777777" w:rsidR="00605DCD" w:rsidRDefault="00605DCD">
      <w:pPr>
        <w:spacing w:line="360" w:lineRule="auto"/>
        <w:jc w:val="center"/>
        <w:rPr>
          <w:rFonts w:ascii="Times New Roman" w:eastAsia="Times New Roman" w:hAnsi="Times New Roman" w:cs="Times New Roman"/>
          <w:sz w:val="24"/>
          <w:szCs w:val="24"/>
        </w:rPr>
      </w:pPr>
    </w:p>
    <w:p w14:paraId="3A054631" w14:textId="77777777" w:rsidR="00605DCD"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3366"/>
          <w:sz w:val="24"/>
          <w:szCs w:val="24"/>
          <w:u w:val="single"/>
        </w:rPr>
        <w:t>Zakiyyah Bibi Azraa Mungroo</w:t>
      </w:r>
    </w:p>
    <w:p w14:paraId="3A054632" w14:textId="77777777" w:rsidR="00605DCD" w:rsidRDefault="00000000">
      <w:pPr>
        <w:spacing w:line="360" w:lineRule="auto"/>
        <w:jc w:val="center"/>
        <w:rPr>
          <w:rFonts w:ascii="Times New Roman" w:eastAsia="Times New Roman" w:hAnsi="Times New Roman" w:cs="Times New Roman"/>
          <w:i/>
          <w:iCs/>
          <w:color w:val="3A3A3A"/>
          <w:sz w:val="24"/>
          <w:szCs w:val="24"/>
        </w:rPr>
      </w:pPr>
      <w:r>
        <w:rPr>
          <w:rFonts w:ascii="Times New Roman" w:eastAsia="Times New Roman" w:hAnsi="Times New Roman" w:cs="Times New Roman"/>
          <w:i/>
          <w:iCs/>
          <w:color w:val="4A4A4A"/>
          <w:sz w:val="24"/>
          <w:szCs w:val="24"/>
        </w:rPr>
        <w:t>Gender &amp; Climate Technology Expert, United Nations Climate Technology Centre &amp; Network (CTCN); IPCC Expert Reviewer, SRCITIES &amp; SLCF; Urban Climate Leadership Fellow, Yale University, School of the Environment, Hixon Center for Sustainability</w:t>
      </w:r>
    </w:p>
    <w:p w14:paraId="3A054633" w14:textId="77777777" w:rsidR="00605DCD" w:rsidRDefault="00605DCD">
      <w:pPr>
        <w:spacing w:line="360" w:lineRule="auto"/>
        <w:jc w:val="center"/>
        <w:rPr>
          <w:rFonts w:ascii="Times New Roman" w:eastAsia="Times New Roman" w:hAnsi="Times New Roman" w:cs="Times New Roman"/>
          <w:i/>
          <w:iCs/>
          <w:color w:val="3A3A3A"/>
          <w:sz w:val="24"/>
          <w:szCs w:val="24"/>
        </w:rPr>
      </w:pPr>
    </w:p>
    <w:p w14:paraId="3A054634" w14:textId="77777777" w:rsidR="00605DCD"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3366"/>
          <w:sz w:val="24"/>
          <w:szCs w:val="24"/>
          <w:u w:val="single"/>
        </w:rPr>
        <w:t>Juan Didier Pierre</w:t>
      </w:r>
    </w:p>
    <w:p w14:paraId="3A054635" w14:textId="77777777" w:rsidR="00605DCD" w:rsidRDefault="00000000">
      <w:pPr>
        <w:spacing w:line="360" w:lineRule="auto"/>
        <w:jc w:val="center"/>
        <w:rPr>
          <w:rFonts w:ascii="Times New Roman" w:eastAsia="Times New Roman" w:hAnsi="Times New Roman" w:cs="Times New Roman"/>
          <w:i/>
          <w:iCs/>
          <w:color w:val="4A4A4A"/>
          <w:sz w:val="24"/>
          <w:szCs w:val="24"/>
        </w:rPr>
      </w:pPr>
      <w:r>
        <w:rPr>
          <w:rFonts w:ascii="Times New Roman" w:eastAsia="Times New Roman" w:hAnsi="Times New Roman" w:cs="Times New Roman"/>
          <w:i/>
          <w:iCs/>
          <w:color w:val="4A4A4A"/>
          <w:sz w:val="24"/>
          <w:szCs w:val="24"/>
        </w:rPr>
        <w:t>Expert, UNFCCC Article 6.4 Supervisory Body, Methodological Expert Panel (MEP); IPCC Expert Reviewer, SRCITIES; National Rapporteur, Columbia Law School Sabin Center for Climate Change Law; Executive Training Participant, Columbia Center on Sustainable Investment (CCSI)</w:t>
      </w:r>
    </w:p>
    <w:p w14:paraId="3A054636" w14:textId="77777777" w:rsidR="00605DCD"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3366"/>
          <w:sz w:val="24"/>
          <w:szCs w:val="24"/>
          <w:u w:val="single"/>
        </w:rPr>
        <w:t>Reeshabh Shayan Tupsee</w:t>
      </w:r>
    </w:p>
    <w:p w14:paraId="3A054637" w14:textId="77777777" w:rsidR="00605DCD" w:rsidRDefault="00000000">
      <w:pPr>
        <w:spacing w:line="360" w:lineRule="auto"/>
        <w:jc w:val="center"/>
        <w:rPr>
          <w:rFonts w:ascii="Times New Roman" w:eastAsia="Times New Roman" w:hAnsi="Times New Roman" w:cs="Times New Roman"/>
          <w:i/>
          <w:iCs/>
          <w:color w:val="4A4A4A"/>
          <w:sz w:val="24"/>
          <w:szCs w:val="24"/>
        </w:rPr>
      </w:pPr>
      <w:r>
        <w:rPr>
          <w:rFonts w:ascii="Times New Roman" w:eastAsia="Times New Roman" w:hAnsi="Times New Roman" w:cs="Times New Roman"/>
          <w:i/>
          <w:iCs/>
          <w:color w:val="4A4A4A"/>
          <w:sz w:val="24"/>
          <w:szCs w:val="24"/>
        </w:rPr>
        <w:t>Gender &amp; Climate Technology Expert, United Nations Climate Technology Centre &amp; Network (CTCN); IPCC Expert Reviewer, SRCITIES &amp; SLCF; Urban Climate Leadership Fellow, Yale University, School of the Environment, Hixon Center for Sustainability</w:t>
      </w:r>
    </w:p>
    <w:p w14:paraId="3A054638" w14:textId="77777777" w:rsidR="00605DCD" w:rsidRDefault="00605DCD">
      <w:pPr>
        <w:pBdr>
          <w:bottom w:val="single" w:sz="4" w:space="1" w:color="005B7F"/>
        </w:pBdr>
        <w:spacing w:line="360" w:lineRule="auto"/>
        <w:jc w:val="center"/>
        <w:rPr>
          <w:rFonts w:ascii="Times New Roman" w:eastAsia="Times New Roman" w:hAnsi="Times New Roman" w:cs="Times New Roman"/>
          <w:sz w:val="24"/>
          <w:szCs w:val="24"/>
        </w:rPr>
      </w:pPr>
    </w:p>
    <w:p w14:paraId="3A054639" w14:textId="77777777" w:rsidR="00605DCD" w:rsidRDefault="00605DCD">
      <w:pPr>
        <w:spacing w:line="360" w:lineRule="auto"/>
        <w:jc w:val="center"/>
        <w:rPr>
          <w:rFonts w:ascii="Times New Roman" w:eastAsia="Times New Roman" w:hAnsi="Times New Roman" w:cs="Times New Roman"/>
          <w:sz w:val="24"/>
          <w:szCs w:val="24"/>
        </w:rPr>
      </w:pPr>
    </w:p>
    <w:p w14:paraId="3A05463A" w14:textId="77777777" w:rsidR="00605DCD" w:rsidRDefault="00000000">
      <w:pPr>
        <w:spacing w:line="360" w:lineRule="auto"/>
        <w:jc w:val="center"/>
        <w:rPr>
          <w:rFonts w:ascii="Times New Roman" w:eastAsia="Times New Roman" w:hAnsi="Times New Roman" w:cs="Times New Roman"/>
          <w:color w:val="6B6B6B"/>
          <w:sz w:val="24"/>
          <w:szCs w:val="24"/>
        </w:rPr>
      </w:pPr>
      <w:r>
        <w:rPr>
          <w:rFonts w:ascii="Times New Roman" w:eastAsia="Times New Roman" w:hAnsi="Times New Roman" w:cs="Times New Roman"/>
          <w:i/>
          <w:iCs/>
          <w:color w:val="6B6B6B"/>
          <w:sz w:val="24"/>
          <w:szCs w:val="24"/>
        </w:rPr>
        <w:t xml:space="preserve"> Citation: Mungroo, Z. B. A., Pierre, J. D., and Tupsee, R. S. (2026).</w:t>
      </w:r>
    </w:p>
    <w:p w14:paraId="3A05463B" w14:textId="77777777" w:rsidR="00605DCD" w:rsidRDefault="00605DCD">
      <w:pPr>
        <w:pBdr>
          <w:bottom w:val="single" w:sz="6" w:space="1" w:color="003366"/>
        </w:pBdr>
        <w:spacing w:line="360" w:lineRule="auto"/>
        <w:jc w:val="both"/>
        <w:rPr>
          <w:rFonts w:ascii="Times New Roman" w:eastAsia="Times New Roman" w:hAnsi="Times New Roman" w:cs="Times New Roman"/>
          <w:sz w:val="24"/>
          <w:szCs w:val="24"/>
        </w:rPr>
      </w:pPr>
    </w:p>
    <w:p w14:paraId="3A05463C" w14:textId="77777777" w:rsidR="00605DCD" w:rsidRDefault="00605DCD">
      <w:pPr>
        <w:spacing w:line="360" w:lineRule="auto"/>
        <w:jc w:val="both"/>
        <w:rPr>
          <w:rFonts w:ascii="Times New Roman" w:eastAsia="Times New Roman" w:hAnsi="Times New Roman" w:cs="Times New Roman"/>
          <w:b/>
          <w:bCs/>
          <w:smallCaps/>
          <w:color w:val="003366"/>
          <w:sz w:val="24"/>
          <w:szCs w:val="24"/>
        </w:rPr>
      </w:pPr>
    </w:p>
    <w:p w14:paraId="3A05463D" w14:textId="77777777" w:rsidR="00605DCD" w:rsidRDefault="00605DCD">
      <w:pPr>
        <w:spacing w:line="360" w:lineRule="auto"/>
        <w:jc w:val="both"/>
        <w:rPr>
          <w:rFonts w:ascii="Times New Roman" w:eastAsia="Times New Roman" w:hAnsi="Times New Roman" w:cs="Times New Roman"/>
          <w:b/>
          <w:bCs/>
          <w:smallCaps/>
          <w:color w:val="003366"/>
          <w:sz w:val="24"/>
          <w:szCs w:val="24"/>
        </w:rPr>
      </w:pPr>
    </w:p>
    <w:sdt>
      <w:sdtPr>
        <w:id w:val="427748040"/>
        <w:docPartObj>
          <w:docPartGallery w:val="Table of Contents"/>
          <w:docPartUnique/>
        </w:docPartObj>
      </w:sdtPr>
      <w:sdtContent>
        <w:p w14:paraId="3A05463E" w14:textId="77777777" w:rsidR="00605DCD" w:rsidRDefault="00000000">
          <w:pPr>
            <w:widowControl w:val="0"/>
            <w:tabs>
              <w:tab w:val="right" w:leader="dot" w:pos="12000"/>
            </w:tabs>
            <w:spacing w:line="360" w:lineRule="auto"/>
            <w:jc w:val="both"/>
            <w:rPr>
              <w:rFonts w:ascii="Times New Roman" w:eastAsia="Times New Roman" w:hAnsi="Times New Roman" w:cs="Times New Roman"/>
              <w:b/>
              <w:bCs/>
              <w:color w:val="000000"/>
              <w:sz w:val="24"/>
              <w:szCs w:val="24"/>
            </w:rPr>
          </w:pPr>
          <w:r>
            <w:fldChar w:fldCharType="begin"/>
          </w:r>
          <w:r>
            <w:instrText xml:space="preserve"> TOC \h \u \z \t "Heading 1,1,Heading 2,2,Heading 3,3,Heading 4,4,Heading 5,5,Heading 6,6,"</w:instrText>
          </w:r>
          <w:r>
            <w:fldChar w:fldCharType="separate"/>
          </w:r>
          <w:hyperlink w:anchor="_heading=h.ef48kgo1fb2x">
            <w:r>
              <w:rPr>
                <w:rFonts w:ascii="Times New Roman" w:eastAsia="Times New Roman" w:hAnsi="Times New Roman" w:cs="Times New Roman"/>
                <w:b/>
                <w:bCs/>
                <w:color w:val="000000"/>
                <w:sz w:val="24"/>
                <w:szCs w:val="24"/>
              </w:rPr>
              <w:t>ABSTRACT</w:t>
            </w:r>
            <w:r>
              <w:rPr>
                <w:rFonts w:ascii="Times New Roman" w:eastAsia="Times New Roman" w:hAnsi="Times New Roman" w:cs="Times New Roman"/>
                <w:b/>
                <w:bCs/>
                <w:color w:val="000000"/>
                <w:sz w:val="24"/>
                <w:szCs w:val="24"/>
              </w:rPr>
              <w:tab/>
              <w:t>2</w:t>
            </w:r>
          </w:hyperlink>
        </w:p>
        <w:p w14:paraId="3A05463F" w14:textId="77777777" w:rsidR="00605DCD" w:rsidRDefault="00605DCD">
          <w:pPr>
            <w:widowControl w:val="0"/>
            <w:tabs>
              <w:tab w:val="right" w:leader="dot" w:pos="12000"/>
            </w:tabs>
            <w:spacing w:line="360" w:lineRule="auto"/>
            <w:jc w:val="both"/>
            <w:rPr>
              <w:rFonts w:ascii="Times New Roman" w:eastAsia="Times New Roman" w:hAnsi="Times New Roman" w:cs="Times New Roman"/>
              <w:b/>
              <w:bCs/>
              <w:color w:val="000000"/>
              <w:sz w:val="24"/>
              <w:szCs w:val="24"/>
            </w:rPr>
          </w:pPr>
        </w:p>
        <w:p w14:paraId="3A054640" w14:textId="77777777" w:rsidR="00605DCD" w:rsidRDefault="00000000">
          <w:pPr>
            <w:widowControl w:val="0"/>
            <w:tabs>
              <w:tab w:val="right" w:leader="dot" w:pos="12000"/>
            </w:tabs>
            <w:spacing w:line="360" w:lineRule="auto"/>
            <w:jc w:val="both"/>
            <w:rPr>
              <w:rFonts w:ascii="Times New Roman" w:eastAsia="Times New Roman" w:hAnsi="Times New Roman" w:cs="Times New Roman"/>
              <w:b/>
              <w:bCs/>
              <w:color w:val="000000"/>
              <w:sz w:val="24"/>
              <w:szCs w:val="24"/>
            </w:rPr>
          </w:pPr>
          <w:hyperlink w:anchor="_heading=">
            <w:r>
              <w:rPr>
                <w:rFonts w:ascii="Times New Roman" w:eastAsia="Times New Roman" w:hAnsi="Times New Roman" w:cs="Times New Roman"/>
                <w:b/>
                <w:bCs/>
                <w:color w:val="000000"/>
                <w:sz w:val="24"/>
                <w:szCs w:val="24"/>
              </w:rPr>
              <w:t>I. Introduction and Context</w:t>
            </w:r>
            <w:r>
              <w:rPr>
                <w:rFonts w:ascii="Times New Roman" w:eastAsia="Times New Roman" w:hAnsi="Times New Roman" w:cs="Times New Roman"/>
                <w:b/>
                <w:bCs/>
                <w:color w:val="000000"/>
                <w:sz w:val="24"/>
                <w:szCs w:val="24"/>
              </w:rPr>
              <w:tab/>
              <w:t>2</w:t>
            </w:r>
          </w:hyperlink>
        </w:p>
        <w:p w14:paraId="3A054641" w14:textId="77777777" w:rsidR="00605DCD" w:rsidRDefault="00605DCD">
          <w:pPr>
            <w:widowControl w:val="0"/>
            <w:tabs>
              <w:tab w:val="right" w:leader="dot" w:pos="12000"/>
            </w:tabs>
            <w:spacing w:line="360" w:lineRule="auto"/>
            <w:jc w:val="both"/>
            <w:rPr>
              <w:rFonts w:ascii="Times New Roman" w:eastAsia="Times New Roman" w:hAnsi="Times New Roman" w:cs="Times New Roman"/>
              <w:b/>
              <w:bCs/>
              <w:color w:val="000000"/>
              <w:sz w:val="24"/>
              <w:szCs w:val="24"/>
            </w:rPr>
          </w:pPr>
        </w:p>
        <w:p w14:paraId="3A054642" w14:textId="77777777" w:rsidR="00605DCD" w:rsidRDefault="00000000">
          <w:pPr>
            <w:widowControl w:val="0"/>
            <w:tabs>
              <w:tab w:val="right" w:leader="dot" w:pos="12000"/>
            </w:tabs>
            <w:spacing w:line="360" w:lineRule="auto"/>
            <w:jc w:val="both"/>
            <w:rPr>
              <w:rFonts w:ascii="Times New Roman" w:eastAsia="Times New Roman" w:hAnsi="Times New Roman" w:cs="Times New Roman"/>
              <w:b/>
              <w:bCs/>
              <w:color w:val="000000"/>
              <w:sz w:val="24"/>
              <w:szCs w:val="24"/>
            </w:rPr>
          </w:pPr>
          <w:hyperlink w:anchor="_heading=">
            <w:r>
              <w:rPr>
                <w:rFonts w:ascii="Times New Roman" w:eastAsia="Times New Roman" w:hAnsi="Times New Roman" w:cs="Times New Roman"/>
                <w:b/>
                <w:bCs/>
                <w:color w:val="000000"/>
                <w:sz w:val="24"/>
                <w:szCs w:val="24"/>
              </w:rPr>
              <w:t>II. Paragraph-Specific Comments</w:t>
            </w:r>
            <w:r>
              <w:rPr>
                <w:rFonts w:ascii="Times New Roman" w:eastAsia="Times New Roman" w:hAnsi="Times New Roman" w:cs="Times New Roman"/>
                <w:b/>
                <w:bCs/>
                <w:color w:val="000000"/>
                <w:sz w:val="24"/>
                <w:szCs w:val="24"/>
              </w:rPr>
              <w:tab/>
              <w:t>3</w:t>
            </w:r>
          </w:hyperlink>
        </w:p>
        <w:p w14:paraId="3A054643" w14:textId="77777777" w:rsidR="00605DCD" w:rsidRDefault="00605DCD">
          <w:pPr>
            <w:widowControl w:val="0"/>
            <w:tabs>
              <w:tab w:val="right" w:leader="dot" w:pos="12000"/>
            </w:tabs>
            <w:spacing w:line="360" w:lineRule="auto"/>
            <w:ind w:left="360"/>
            <w:jc w:val="both"/>
            <w:rPr>
              <w:rFonts w:ascii="Times New Roman" w:eastAsia="Times New Roman" w:hAnsi="Times New Roman" w:cs="Times New Roman"/>
              <w:b/>
              <w:bCs/>
              <w:color w:val="000000"/>
              <w:sz w:val="24"/>
              <w:szCs w:val="24"/>
            </w:rPr>
          </w:pPr>
        </w:p>
        <w:p w14:paraId="3A054644" w14:textId="77777777" w:rsidR="00605DCD" w:rsidRDefault="00000000">
          <w:pPr>
            <w:widowControl w:val="0"/>
            <w:tabs>
              <w:tab w:val="right" w:leader="dot" w:pos="12000"/>
            </w:tabs>
            <w:spacing w:line="360" w:lineRule="auto"/>
            <w:ind w:left="360"/>
            <w:jc w:val="both"/>
            <w:rPr>
              <w:rFonts w:ascii="Times New Roman" w:eastAsia="Times New Roman" w:hAnsi="Times New Roman" w:cs="Times New Roman"/>
              <w:color w:val="000000"/>
              <w:sz w:val="24"/>
              <w:szCs w:val="24"/>
            </w:rPr>
          </w:pPr>
          <w:hyperlink w:anchor="_heading=">
            <w:r>
              <w:rPr>
                <w:rFonts w:ascii="Times New Roman" w:eastAsia="Times New Roman" w:hAnsi="Times New Roman" w:cs="Times New Roman"/>
                <w:color w:val="000000"/>
                <w:sz w:val="24"/>
                <w:szCs w:val="24"/>
              </w:rPr>
              <w:t>A. Scope and Definition of 'Association' - Paragraphs on Personal and Material Scope</w:t>
            </w:r>
            <w:r>
              <w:rPr>
                <w:rFonts w:ascii="Times New Roman" w:eastAsia="Times New Roman" w:hAnsi="Times New Roman" w:cs="Times New Roman"/>
                <w:color w:val="000000"/>
                <w:sz w:val="24"/>
                <w:szCs w:val="24"/>
              </w:rPr>
              <w:tab/>
              <w:t>3</w:t>
            </w:r>
          </w:hyperlink>
        </w:p>
        <w:p w14:paraId="3A054645" w14:textId="77777777" w:rsidR="00605DCD" w:rsidRDefault="00000000">
          <w:pPr>
            <w:widowControl w:val="0"/>
            <w:tabs>
              <w:tab w:val="right" w:leader="dot" w:pos="12000"/>
            </w:tabs>
            <w:spacing w:line="360" w:lineRule="auto"/>
            <w:ind w:left="360"/>
            <w:jc w:val="both"/>
            <w:rPr>
              <w:rFonts w:ascii="Times New Roman" w:eastAsia="Times New Roman" w:hAnsi="Times New Roman" w:cs="Times New Roman"/>
              <w:color w:val="000000"/>
              <w:sz w:val="24"/>
              <w:szCs w:val="24"/>
            </w:rPr>
          </w:pPr>
          <w:hyperlink w:anchor="_heading=">
            <w:r>
              <w:rPr>
                <w:rFonts w:ascii="Times New Roman" w:eastAsia="Times New Roman" w:hAnsi="Times New Roman" w:cs="Times New Roman"/>
                <w:color w:val="000000"/>
                <w:sz w:val="24"/>
                <w:szCs w:val="24"/>
              </w:rPr>
              <w:t>B. The Three-Part Limitation Test under Article 22(2) - Paragraphs on Restrictions</w:t>
            </w:r>
            <w:r>
              <w:rPr>
                <w:rFonts w:ascii="Times New Roman" w:eastAsia="Times New Roman" w:hAnsi="Times New Roman" w:cs="Times New Roman"/>
                <w:color w:val="000000"/>
                <w:sz w:val="24"/>
                <w:szCs w:val="24"/>
              </w:rPr>
              <w:tab/>
              <w:t>5</w:t>
            </w:r>
          </w:hyperlink>
        </w:p>
        <w:p w14:paraId="3A054646" w14:textId="77777777" w:rsidR="00605DCD" w:rsidRDefault="00000000">
          <w:pPr>
            <w:widowControl w:val="0"/>
            <w:tabs>
              <w:tab w:val="right" w:leader="dot" w:pos="12000"/>
            </w:tabs>
            <w:spacing w:line="360" w:lineRule="auto"/>
            <w:ind w:left="360"/>
            <w:jc w:val="both"/>
            <w:rPr>
              <w:rFonts w:ascii="Times New Roman" w:eastAsia="Times New Roman" w:hAnsi="Times New Roman" w:cs="Times New Roman"/>
              <w:color w:val="000000"/>
              <w:sz w:val="24"/>
              <w:szCs w:val="24"/>
            </w:rPr>
          </w:pPr>
          <w:hyperlink w:anchor="_heading=">
            <w:r>
              <w:rPr>
                <w:rFonts w:ascii="Times New Roman" w:eastAsia="Times New Roman" w:hAnsi="Times New Roman" w:cs="Times New Roman"/>
                <w:color w:val="000000"/>
                <w:sz w:val="24"/>
                <w:szCs w:val="24"/>
              </w:rPr>
              <w:t>C. The Specific Threat of Anti-NGO and 'Foreign Agent' Legislation</w:t>
            </w:r>
            <w:r>
              <w:rPr>
                <w:rFonts w:ascii="Times New Roman" w:eastAsia="Times New Roman" w:hAnsi="Times New Roman" w:cs="Times New Roman"/>
                <w:color w:val="000000"/>
                <w:sz w:val="24"/>
                <w:szCs w:val="24"/>
              </w:rPr>
              <w:tab/>
              <w:t>6</w:t>
            </w:r>
          </w:hyperlink>
        </w:p>
        <w:p w14:paraId="3A054647" w14:textId="77777777" w:rsidR="00605DCD" w:rsidRDefault="00000000">
          <w:pPr>
            <w:widowControl w:val="0"/>
            <w:tabs>
              <w:tab w:val="right" w:leader="dot" w:pos="12000"/>
            </w:tabs>
            <w:spacing w:line="360" w:lineRule="auto"/>
            <w:ind w:left="360"/>
            <w:jc w:val="both"/>
            <w:rPr>
              <w:rFonts w:ascii="Times New Roman" w:eastAsia="Times New Roman" w:hAnsi="Times New Roman" w:cs="Times New Roman"/>
              <w:color w:val="000000"/>
              <w:sz w:val="24"/>
              <w:szCs w:val="24"/>
            </w:rPr>
          </w:pPr>
          <w:hyperlink w:anchor="_heading=">
            <w:r>
              <w:rPr>
                <w:rFonts w:ascii="Times New Roman" w:eastAsia="Times New Roman" w:hAnsi="Times New Roman" w:cs="Times New Roman"/>
                <w:color w:val="000000"/>
                <w:sz w:val="24"/>
                <w:szCs w:val="24"/>
              </w:rPr>
              <w:t>D. Digital Space and Associations - A Structural Gap in the Draft</w:t>
            </w:r>
            <w:r>
              <w:rPr>
                <w:rFonts w:ascii="Times New Roman" w:eastAsia="Times New Roman" w:hAnsi="Times New Roman" w:cs="Times New Roman"/>
                <w:color w:val="000000"/>
                <w:sz w:val="24"/>
                <w:szCs w:val="24"/>
              </w:rPr>
              <w:tab/>
              <w:t>7</w:t>
            </w:r>
          </w:hyperlink>
        </w:p>
        <w:p w14:paraId="3A054648" w14:textId="77777777" w:rsidR="00605DCD" w:rsidRDefault="00000000">
          <w:pPr>
            <w:widowControl w:val="0"/>
            <w:tabs>
              <w:tab w:val="right" w:leader="dot" w:pos="12000"/>
            </w:tabs>
            <w:spacing w:line="360" w:lineRule="auto"/>
            <w:ind w:left="360"/>
            <w:jc w:val="both"/>
            <w:rPr>
              <w:rFonts w:ascii="Times New Roman" w:eastAsia="Times New Roman" w:hAnsi="Times New Roman" w:cs="Times New Roman"/>
              <w:color w:val="000000"/>
              <w:sz w:val="24"/>
              <w:szCs w:val="24"/>
            </w:rPr>
          </w:pPr>
          <w:hyperlink w:anchor="_heading=">
            <w:r>
              <w:rPr>
                <w:rFonts w:ascii="Times New Roman" w:eastAsia="Times New Roman" w:hAnsi="Times New Roman" w:cs="Times New Roman"/>
                <w:color w:val="000000"/>
                <w:sz w:val="24"/>
                <w:szCs w:val="24"/>
              </w:rPr>
              <w:t>E. Enhanced Protection for Environmental Defenders and Climate Movement Associations</w:t>
            </w:r>
            <w:r>
              <w:rPr>
                <w:rFonts w:ascii="Times New Roman" w:eastAsia="Times New Roman" w:hAnsi="Times New Roman" w:cs="Times New Roman"/>
                <w:color w:val="000000"/>
                <w:sz w:val="24"/>
                <w:szCs w:val="24"/>
              </w:rPr>
              <w:tab/>
              <w:t>8</w:t>
            </w:r>
          </w:hyperlink>
        </w:p>
        <w:p w14:paraId="3A054649" w14:textId="77777777" w:rsidR="00605DCD" w:rsidRDefault="00605DCD">
          <w:pPr>
            <w:widowControl w:val="0"/>
            <w:tabs>
              <w:tab w:val="right" w:leader="dot" w:pos="12000"/>
            </w:tabs>
            <w:spacing w:line="360" w:lineRule="auto"/>
            <w:jc w:val="both"/>
            <w:rPr>
              <w:rFonts w:ascii="Times New Roman" w:eastAsia="Times New Roman" w:hAnsi="Times New Roman" w:cs="Times New Roman"/>
              <w:color w:val="000000"/>
              <w:sz w:val="24"/>
              <w:szCs w:val="24"/>
            </w:rPr>
          </w:pPr>
        </w:p>
        <w:p w14:paraId="3A05464A" w14:textId="77777777" w:rsidR="00605DCD" w:rsidRDefault="00000000">
          <w:pPr>
            <w:widowControl w:val="0"/>
            <w:tabs>
              <w:tab w:val="right" w:leader="dot" w:pos="12000"/>
            </w:tabs>
            <w:spacing w:line="360" w:lineRule="auto"/>
            <w:jc w:val="both"/>
            <w:rPr>
              <w:rFonts w:ascii="Times New Roman" w:eastAsia="Times New Roman" w:hAnsi="Times New Roman" w:cs="Times New Roman"/>
              <w:b/>
              <w:bCs/>
              <w:color w:val="000000"/>
              <w:sz w:val="24"/>
              <w:szCs w:val="24"/>
            </w:rPr>
          </w:pPr>
          <w:hyperlink w:anchor="_heading=">
            <w:r>
              <w:rPr>
                <w:rFonts w:ascii="Times New Roman" w:eastAsia="Times New Roman" w:hAnsi="Times New Roman" w:cs="Times New Roman"/>
                <w:b/>
                <w:bCs/>
                <w:color w:val="000000"/>
                <w:sz w:val="24"/>
                <w:szCs w:val="24"/>
              </w:rPr>
              <w:t>III. Recommendations for the Second Reading</w:t>
            </w:r>
            <w:r>
              <w:rPr>
                <w:rFonts w:ascii="Times New Roman" w:eastAsia="Times New Roman" w:hAnsi="Times New Roman" w:cs="Times New Roman"/>
                <w:b/>
                <w:bCs/>
                <w:color w:val="000000"/>
                <w:sz w:val="24"/>
                <w:szCs w:val="24"/>
              </w:rPr>
              <w:tab/>
              <w:t>9</w:t>
            </w:r>
          </w:hyperlink>
        </w:p>
        <w:p w14:paraId="3A05464B" w14:textId="77777777" w:rsidR="00605DCD" w:rsidRDefault="00605DCD">
          <w:pPr>
            <w:widowControl w:val="0"/>
            <w:tabs>
              <w:tab w:val="right" w:leader="dot" w:pos="12000"/>
            </w:tabs>
            <w:spacing w:line="360" w:lineRule="auto"/>
            <w:jc w:val="both"/>
            <w:rPr>
              <w:rFonts w:ascii="Times New Roman" w:eastAsia="Times New Roman" w:hAnsi="Times New Roman" w:cs="Times New Roman"/>
              <w:b/>
              <w:bCs/>
              <w:color w:val="000000"/>
              <w:sz w:val="24"/>
              <w:szCs w:val="24"/>
            </w:rPr>
          </w:pPr>
        </w:p>
        <w:p w14:paraId="3A05464C" w14:textId="77777777" w:rsidR="00605DCD" w:rsidRDefault="00000000">
          <w:pPr>
            <w:widowControl w:val="0"/>
            <w:tabs>
              <w:tab w:val="right" w:leader="dot" w:pos="12000"/>
            </w:tabs>
            <w:spacing w:line="360" w:lineRule="auto"/>
            <w:jc w:val="both"/>
            <w:rPr>
              <w:rFonts w:ascii="Times New Roman" w:eastAsia="Times New Roman" w:hAnsi="Times New Roman" w:cs="Times New Roman"/>
              <w:b/>
              <w:bCs/>
              <w:color w:val="000000"/>
              <w:sz w:val="24"/>
              <w:szCs w:val="24"/>
            </w:rPr>
          </w:pPr>
          <w:hyperlink w:anchor="_heading=h.63m8g8jzx5jy">
            <w:r>
              <w:rPr>
                <w:rFonts w:ascii="Times New Roman" w:eastAsia="Times New Roman" w:hAnsi="Times New Roman" w:cs="Times New Roman"/>
                <w:b/>
                <w:bCs/>
                <w:color w:val="000000"/>
                <w:sz w:val="24"/>
                <w:szCs w:val="24"/>
              </w:rPr>
              <w:t>REFERENCES</w:t>
            </w:r>
            <w:r>
              <w:rPr>
                <w:rFonts w:ascii="Times New Roman" w:eastAsia="Times New Roman" w:hAnsi="Times New Roman" w:cs="Times New Roman"/>
                <w:b/>
                <w:bCs/>
                <w:color w:val="000000"/>
                <w:sz w:val="24"/>
                <w:szCs w:val="24"/>
              </w:rPr>
              <w:tab/>
              <w:t>10</w:t>
            </w:r>
          </w:hyperlink>
          <w:r>
            <w:fldChar w:fldCharType="end"/>
          </w:r>
        </w:p>
      </w:sdtContent>
    </w:sdt>
    <w:p w14:paraId="3A05464D" w14:textId="77777777" w:rsidR="00605DCD" w:rsidRDefault="00605DCD">
      <w:pPr>
        <w:spacing w:line="360" w:lineRule="auto"/>
        <w:jc w:val="both"/>
        <w:rPr>
          <w:rFonts w:ascii="Times New Roman" w:eastAsia="Times New Roman" w:hAnsi="Times New Roman" w:cs="Times New Roman"/>
          <w:b/>
          <w:bCs/>
          <w:smallCaps/>
          <w:color w:val="003366"/>
          <w:sz w:val="24"/>
          <w:szCs w:val="24"/>
        </w:rPr>
      </w:pPr>
    </w:p>
    <w:p w14:paraId="3A05464E" w14:textId="77777777" w:rsidR="00605DCD" w:rsidRDefault="00605DCD">
      <w:pPr>
        <w:pStyle w:val="Heading1"/>
        <w:spacing w:before="0" w:after="0" w:line="360" w:lineRule="auto"/>
        <w:jc w:val="both"/>
        <w:rPr>
          <w:rFonts w:ascii="Times New Roman" w:eastAsia="Times New Roman" w:hAnsi="Times New Roman" w:cs="Times New Roman"/>
          <w:sz w:val="24"/>
          <w:szCs w:val="24"/>
        </w:rPr>
      </w:pPr>
      <w:bookmarkStart w:id="0" w:name="_heading=h.h09p3bl8cv4v" w:colFirst="0" w:colLast="0"/>
      <w:bookmarkEnd w:id="0"/>
    </w:p>
    <w:p w14:paraId="3A05464F" w14:textId="77777777" w:rsidR="00605DCD" w:rsidRDefault="00605DCD">
      <w:pPr>
        <w:pStyle w:val="Heading1"/>
        <w:spacing w:before="0" w:after="0" w:line="360" w:lineRule="auto"/>
        <w:jc w:val="both"/>
        <w:rPr>
          <w:rFonts w:ascii="Times New Roman" w:eastAsia="Times New Roman" w:hAnsi="Times New Roman" w:cs="Times New Roman"/>
          <w:sz w:val="24"/>
          <w:szCs w:val="24"/>
        </w:rPr>
      </w:pPr>
      <w:bookmarkStart w:id="1" w:name="_heading=h.4hi7zky863z9" w:colFirst="0" w:colLast="0"/>
      <w:bookmarkEnd w:id="1"/>
    </w:p>
    <w:p w14:paraId="3A054650" w14:textId="77777777" w:rsidR="00605DCD" w:rsidRDefault="00605DCD">
      <w:pPr>
        <w:pStyle w:val="Heading1"/>
        <w:spacing w:before="0" w:after="0" w:line="360" w:lineRule="auto"/>
        <w:jc w:val="both"/>
        <w:rPr>
          <w:rFonts w:ascii="Times New Roman" w:eastAsia="Times New Roman" w:hAnsi="Times New Roman" w:cs="Times New Roman"/>
          <w:sz w:val="24"/>
          <w:szCs w:val="24"/>
        </w:rPr>
      </w:pPr>
      <w:bookmarkStart w:id="2" w:name="_heading=h.60xonaju06au" w:colFirst="0" w:colLast="0"/>
      <w:bookmarkEnd w:id="2"/>
    </w:p>
    <w:p w14:paraId="3A054651" w14:textId="77777777" w:rsidR="00605DCD" w:rsidRDefault="00605DCD">
      <w:pPr>
        <w:pStyle w:val="Heading1"/>
        <w:spacing w:before="0" w:after="0" w:line="360" w:lineRule="auto"/>
        <w:jc w:val="both"/>
        <w:rPr>
          <w:rFonts w:ascii="Times New Roman" w:eastAsia="Times New Roman" w:hAnsi="Times New Roman" w:cs="Times New Roman"/>
          <w:sz w:val="24"/>
          <w:szCs w:val="24"/>
        </w:rPr>
      </w:pPr>
      <w:bookmarkStart w:id="3" w:name="_heading=h.5hc8swloij3x" w:colFirst="0" w:colLast="0"/>
      <w:bookmarkEnd w:id="3"/>
    </w:p>
    <w:p w14:paraId="3A054652" w14:textId="77777777" w:rsidR="00605DCD" w:rsidRDefault="00605DCD">
      <w:pPr>
        <w:pStyle w:val="Heading1"/>
        <w:spacing w:before="0" w:after="0" w:line="360" w:lineRule="auto"/>
        <w:jc w:val="both"/>
        <w:rPr>
          <w:rFonts w:ascii="Times New Roman" w:eastAsia="Times New Roman" w:hAnsi="Times New Roman" w:cs="Times New Roman"/>
          <w:sz w:val="24"/>
          <w:szCs w:val="24"/>
        </w:rPr>
      </w:pPr>
      <w:bookmarkStart w:id="4" w:name="_heading=h.k99ps3plbgh9" w:colFirst="0" w:colLast="0"/>
      <w:bookmarkEnd w:id="4"/>
    </w:p>
    <w:p w14:paraId="3A054653" w14:textId="77777777" w:rsidR="00605DCD" w:rsidRDefault="00605DCD">
      <w:pPr>
        <w:pStyle w:val="Heading1"/>
        <w:spacing w:before="0" w:after="0" w:line="360" w:lineRule="auto"/>
        <w:jc w:val="both"/>
        <w:rPr>
          <w:rFonts w:ascii="Times New Roman" w:eastAsia="Times New Roman" w:hAnsi="Times New Roman" w:cs="Times New Roman"/>
          <w:sz w:val="24"/>
          <w:szCs w:val="24"/>
        </w:rPr>
      </w:pPr>
      <w:bookmarkStart w:id="5" w:name="_heading=h.424ybkeh7cws" w:colFirst="0" w:colLast="0"/>
      <w:bookmarkEnd w:id="5"/>
    </w:p>
    <w:p w14:paraId="3A054654" w14:textId="77777777" w:rsidR="00605DCD" w:rsidRDefault="00605DCD">
      <w:pPr>
        <w:pStyle w:val="Heading1"/>
        <w:spacing w:before="0" w:after="0" w:line="360" w:lineRule="auto"/>
        <w:jc w:val="both"/>
        <w:rPr>
          <w:rFonts w:ascii="Times New Roman" w:eastAsia="Times New Roman" w:hAnsi="Times New Roman" w:cs="Times New Roman"/>
          <w:sz w:val="24"/>
          <w:szCs w:val="24"/>
        </w:rPr>
      </w:pPr>
      <w:bookmarkStart w:id="6" w:name="_heading=h.7ljjvk2n3zmy" w:colFirst="0" w:colLast="0"/>
      <w:bookmarkEnd w:id="6"/>
    </w:p>
    <w:p w14:paraId="3A054655" w14:textId="77777777" w:rsidR="00605DCD" w:rsidRDefault="00605DCD">
      <w:pPr>
        <w:pStyle w:val="Heading1"/>
        <w:spacing w:before="0" w:after="0" w:line="360" w:lineRule="auto"/>
        <w:jc w:val="both"/>
        <w:rPr>
          <w:rFonts w:ascii="Times New Roman" w:eastAsia="Times New Roman" w:hAnsi="Times New Roman" w:cs="Times New Roman"/>
          <w:sz w:val="24"/>
          <w:szCs w:val="24"/>
        </w:rPr>
      </w:pPr>
      <w:bookmarkStart w:id="7" w:name="_heading=h.1d2ac5db8e4" w:colFirst="0" w:colLast="0"/>
      <w:bookmarkEnd w:id="7"/>
    </w:p>
    <w:p w14:paraId="3A054656" w14:textId="77777777" w:rsidR="00605DCD" w:rsidRDefault="00605DCD">
      <w:pPr>
        <w:pStyle w:val="Heading1"/>
        <w:spacing w:before="0" w:after="0" w:line="360" w:lineRule="auto"/>
        <w:jc w:val="both"/>
        <w:rPr>
          <w:rFonts w:ascii="Times New Roman" w:eastAsia="Times New Roman" w:hAnsi="Times New Roman" w:cs="Times New Roman"/>
          <w:sz w:val="24"/>
          <w:szCs w:val="24"/>
        </w:rPr>
      </w:pPr>
      <w:bookmarkStart w:id="8" w:name="_heading=h.ybp57peaae6l" w:colFirst="0" w:colLast="0"/>
      <w:bookmarkEnd w:id="8"/>
    </w:p>
    <w:p w14:paraId="3A054657" w14:textId="77777777" w:rsidR="00605DCD" w:rsidRDefault="00605DCD">
      <w:pPr>
        <w:pStyle w:val="Heading1"/>
        <w:spacing w:before="0" w:after="0" w:line="360" w:lineRule="auto"/>
        <w:jc w:val="both"/>
        <w:rPr>
          <w:rFonts w:ascii="Times New Roman" w:eastAsia="Times New Roman" w:hAnsi="Times New Roman" w:cs="Times New Roman"/>
          <w:sz w:val="24"/>
          <w:szCs w:val="24"/>
        </w:rPr>
      </w:pPr>
      <w:bookmarkStart w:id="9" w:name="_heading=h.370xm13gw7u4" w:colFirst="0" w:colLast="0"/>
      <w:bookmarkEnd w:id="9"/>
    </w:p>
    <w:p w14:paraId="3A054658" w14:textId="77777777" w:rsidR="00605DCD" w:rsidRDefault="00605DCD">
      <w:pPr>
        <w:pStyle w:val="Heading1"/>
        <w:spacing w:before="0" w:after="0" w:line="360" w:lineRule="auto"/>
        <w:jc w:val="both"/>
        <w:rPr>
          <w:rFonts w:ascii="Times New Roman" w:eastAsia="Times New Roman" w:hAnsi="Times New Roman" w:cs="Times New Roman"/>
          <w:sz w:val="24"/>
          <w:szCs w:val="24"/>
        </w:rPr>
      </w:pPr>
      <w:bookmarkStart w:id="10" w:name="_heading=h.kitu4su2tle7" w:colFirst="0" w:colLast="0"/>
      <w:bookmarkEnd w:id="10"/>
    </w:p>
    <w:p w14:paraId="3A054659" w14:textId="77777777" w:rsidR="00605DCD" w:rsidRDefault="00605DCD">
      <w:pPr>
        <w:pStyle w:val="Heading1"/>
        <w:spacing w:before="0" w:after="0" w:line="360" w:lineRule="auto"/>
        <w:jc w:val="both"/>
        <w:rPr>
          <w:rFonts w:ascii="Times New Roman" w:eastAsia="Times New Roman" w:hAnsi="Times New Roman" w:cs="Times New Roman"/>
          <w:sz w:val="24"/>
          <w:szCs w:val="24"/>
        </w:rPr>
      </w:pPr>
      <w:bookmarkStart w:id="11" w:name="_heading=h.438lvdicprau" w:colFirst="0" w:colLast="0"/>
      <w:bookmarkEnd w:id="11"/>
    </w:p>
    <w:p w14:paraId="3A05465A" w14:textId="77777777" w:rsidR="00605DCD" w:rsidRDefault="00605DCD">
      <w:pPr>
        <w:pStyle w:val="Heading1"/>
        <w:spacing w:before="0" w:after="0" w:line="360" w:lineRule="auto"/>
        <w:jc w:val="both"/>
        <w:rPr>
          <w:rFonts w:ascii="Times New Roman" w:eastAsia="Times New Roman" w:hAnsi="Times New Roman" w:cs="Times New Roman"/>
          <w:sz w:val="24"/>
          <w:szCs w:val="24"/>
        </w:rPr>
      </w:pPr>
      <w:bookmarkStart w:id="12" w:name="_heading=h.jdl0xrz4io1d" w:colFirst="0" w:colLast="0"/>
      <w:bookmarkEnd w:id="12"/>
    </w:p>
    <w:p w14:paraId="3A05465B" w14:textId="77777777" w:rsidR="00605DCD" w:rsidRDefault="00605DCD">
      <w:pPr>
        <w:pStyle w:val="Heading1"/>
        <w:spacing w:before="0" w:after="0" w:line="360" w:lineRule="auto"/>
        <w:jc w:val="both"/>
        <w:rPr>
          <w:rFonts w:ascii="Times New Roman" w:eastAsia="Times New Roman" w:hAnsi="Times New Roman" w:cs="Times New Roman"/>
          <w:sz w:val="24"/>
          <w:szCs w:val="24"/>
        </w:rPr>
      </w:pPr>
      <w:bookmarkStart w:id="13" w:name="_heading=h.zwiuzutda97" w:colFirst="0" w:colLast="0"/>
      <w:bookmarkEnd w:id="13"/>
    </w:p>
    <w:p w14:paraId="3A05465C" w14:textId="77777777" w:rsidR="00605DCD" w:rsidRDefault="00605DCD">
      <w:pPr>
        <w:pStyle w:val="Heading1"/>
        <w:spacing w:before="0" w:after="0" w:line="360" w:lineRule="auto"/>
        <w:jc w:val="both"/>
        <w:rPr>
          <w:rFonts w:ascii="Times New Roman" w:eastAsia="Times New Roman" w:hAnsi="Times New Roman" w:cs="Times New Roman"/>
          <w:sz w:val="24"/>
          <w:szCs w:val="24"/>
        </w:rPr>
      </w:pPr>
      <w:bookmarkStart w:id="14" w:name="_heading=h.5qgk9rr19vhc" w:colFirst="0" w:colLast="0"/>
      <w:bookmarkEnd w:id="14"/>
    </w:p>
    <w:p w14:paraId="3A05465D" w14:textId="77777777" w:rsidR="00605DCD" w:rsidRDefault="00605DCD">
      <w:pPr>
        <w:pStyle w:val="Heading1"/>
        <w:spacing w:before="0" w:after="0" w:line="360" w:lineRule="auto"/>
        <w:jc w:val="both"/>
        <w:rPr>
          <w:rFonts w:ascii="Times New Roman" w:eastAsia="Times New Roman" w:hAnsi="Times New Roman" w:cs="Times New Roman"/>
          <w:sz w:val="24"/>
          <w:szCs w:val="24"/>
        </w:rPr>
      </w:pPr>
      <w:bookmarkStart w:id="15" w:name="_heading=h.4bdwqvt443ac" w:colFirst="0" w:colLast="0"/>
      <w:bookmarkEnd w:id="15"/>
    </w:p>
    <w:p w14:paraId="3A05465E" w14:textId="77777777" w:rsidR="00605DCD" w:rsidRDefault="00605DCD"/>
    <w:p w14:paraId="3A05465F" w14:textId="77777777" w:rsidR="00605DCD" w:rsidRDefault="00000000">
      <w:pPr>
        <w:pStyle w:val="Heading1"/>
        <w:spacing w:before="0" w:after="0" w:line="360" w:lineRule="auto"/>
        <w:jc w:val="both"/>
        <w:rPr>
          <w:rFonts w:ascii="Times New Roman" w:eastAsia="Times New Roman" w:hAnsi="Times New Roman" w:cs="Times New Roman"/>
          <w:sz w:val="24"/>
          <w:szCs w:val="24"/>
        </w:rPr>
      </w:pPr>
      <w:bookmarkStart w:id="16" w:name="_heading=h.ef48kgo1fb2x" w:colFirst="0" w:colLast="0"/>
      <w:bookmarkEnd w:id="16"/>
      <w:r>
        <w:rPr>
          <w:rFonts w:ascii="Times New Roman" w:eastAsia="Times New Roman" w:hAnsi="Times New Roman" w:cs="Times New Roman"/>
          <w:sz w:val="24"/>
          <w:szCs w:val="24"/>
        </w:rPr>
        <w:lastRenderedPageBreak/>
        <w:t>ABSTRACT</w:t>
      </w:r>
    </w:p>
    <w:p w14:paraId="3A054660" w14:textId="77777777" w:rsidR="00605DCD" w:rsidRDefault="00605DCD">
      <w:pPr>
        <w:spacing w:line="360" w:lineRule="auto"/>
        <w:jc w:val="both"/>
        <w:rPr>
          <w:rFonts w:ascii="Times New Roman" w:eastAsia="Times New Roman" w:hAnsi="Times New Roman" w:cs="Times New Roman"/>
          <w:b/>
          <w:bCs/>
          <w:smallCaps/>
          <w:color w:val="003366"/>
          <w:sz w:val="24"/>
          <w:szCs w:val="24"/>
        </w:rPr>
      </w:pPr>
    </w:p>
    <w:p w14:paraId="3A054661" w14:textId="77777777" w:rsidR="00605DCD" w:rsidRDefault="00000000">
      <w:pPr>
        <w:spacing w:line="360" w:lineRule="auto"/>
        <w:ind w:left="360" w:right="360"/>
        <w:jc w:val="both"/>
        <w:rPr>
          <w:rFonts w:ascii="Times New Roman" w:eastAsia="Times New Roman" w:hAnsi="Times New Roman" w:cs="Times New Roman"/>
          <w:sz w:val="24"/>
          <w:szCs w:val="24"/>
        </w:rPr>
      </w:pPr>
      <w:r>
        <w:rPr>
          <w:rFonts w:ascii="Times New Roman" w:eastAsia="Times New Roman" w:hAnsi="Times New Roman" w:cs="Times New Roman"/>
          <w:i/>
          <w:iCs/>
          <w:color w:val="4A4A4A"/>
          <w:sz w:val="24"/>
          <w:szCs w:val="24"/>
        </w:rPr>
        <w:t>This independent expert submission offers paragraph-specific comments on Draft General Comment No. 38 of the Human Rights Committee on Article 22 of the International Covenant on Civil and Political Rights. The authors argue that Draft GC No. 38 presents a historic opportunity to close the normative gap in the Committee's treatment of civic freedoms, the last of the three core civic rights to receive a General Comment. Drawing on the Committee's own jurisprudence, the reports of the Special Rapporteur on freedom of peaceful assembly and of association, and contemporaneous evidence of the global spread of anti-NGO legislation and digital repression of associations, this submission advances five analytical arguments and six recommendations. It urges the Committee to: affirm that Article 22 protection extends without limitation to informal, unregistered, and digitally constituted associations; establish a strict proportionality standard for restrictions including an explicit reversal of the burden of justification onto the State; address the structural threat posed by so-called 'foreign agent' laws; provide enhanced protection for environmental defenders and climate movement associations; and clarify the State's positive obligation to create and maintain an enabling environment for associations of all kinds.</w:t>
      </w:r>
    </w:p>
    <w:p w14:paraId="3A054662" w14:textId="77777777" w:rsidR="00605DCD" w:rsidRDefault="00605DCD">
      <w:pPr>
        <w:pBdr>
          <w:bottom w:val="single" w:sz="6" w:space="1" w:color="003366"/>
        </w:pBdr>
        <w:spacing w:line="360" w:lineRule="auto"/>
        <w:jc w:val="both"/>
        <w:rPr>
          <w:rFonts w:ascii="Times New Roman" w:eastAsia="Times New Roman" w:hAnsi="Times New Roman" w:cs="Times New Roman"/>
          <w:sz w:val="24"/>
          <w:szCs w:val="24"/>
        </w:rPr>
      </w:pPr>
    </w:p>
    <w:p w14:paraId="3A054663" w14:textId="77777777" w:rsidR="00605DCD" w:rsidRDefault="00605DCD">
      <w:pPr>
        <w:spacing w:line="360" w:lineRule="auto"/>
        <w:jc w:val="both"/>
        <w:rPr>
          <w:rFonts w:ascii="Times New Roman" w:eastAsia="Times New Roman" w:hAnsi="Times New Roman" w:cs="Times New Roman"/>
          <w:sz w:val="24"/>
          <w:szCs w:val="24"/>
        </w:rPr>
      </w:pPr>
    </w:p>
    <w:p w14:paraId="3A054664" w14:textId="77777777" w:rsidR="00605DCD" w:rsidRDefault="00000000">
      <w:pPr>
        <w:pStyle w:val="Heading1"/>
        <w:spacing w:before="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Introduction and Context</w:t>
      </w:r>
    </w:p>
    <w:p w14:paraId="3A054665" w14:textId="77777777" w:rsidR="00605DCD" w:rsidRDefault="00605DCD"/>
    <w:p w14:paraId="3A054666" w14:textId="77777777" w:rsidR="00605DCD" w:rsidRDefault="00000000">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This submission is presented by three independent experts in international human rights, climate governance, and UN treaty processes in response to the Human Rights Committee's call for comments on Draft General Comment No. 38 on Article 22 of the International Covenant on Civil and Political Rights (ICCPR). The Committee completed the first reading of this draft at its 145th session in March 2026; this submission is addressed to the second reading.</w:t>
      </w:r>
    </w:p>
    <w:p w14:paraId="3A054667" w14:textId="77777777" w:rsidR="00605DCD" w:rsidRDefault="00605DCD">
      <w:pPr>
        <w:spacing w:line="360" w:lineRule="auto"/>
        <w:jc w:val="both"/>
        <w:rPr>
          <w:rFonts w:ascii="Times New Roman" w:eastAsia="Times New Roman" w:hAnsi="Times New Roman" w:cs="Times New Roman"/>
          <w:sz w:val="24"/>
          <w:szCs w:val="24"/>
        </w:rPr>
      </w:pPr>
    </w:p>
    <w:p w14:paraId="3A054668" w14:textId="77777777" w:rsidR="00605DCD" w:rsidRDefault="00000000">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The decision of the Committee to develop a General Comment on Article 22 is of exceptional importance. Freedom of association is the structural right that enables the exercise of virtually all other civil and political rights: without the ability to organize collectively</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in trade unions, political parties, advocacy organizations, social movements and digital communities</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the rights to expression, assembly, participation, and remedy remain practically </w:t>
      </w:r>
      <w:r>
        <w:rPr>
          <w:rFonts w:ascii="Times New Roman" w:eastAsia="Times New Roman" w:hAnsi="Times New Roman" w:cs="Times New Roman"/>
          <w:color w:val="000000"/>
          <w:sz w:val="24"/>
          <w:szCs w:val="24"/>
        </w:rPr>
        <w:lastRenderedPageBreak/>
        <w:t>inaccessible for large portions of the population, particularly those facing systemic disadvantage. Yet Article 22 is the only core civic freedom in the ICCPR not previously addressed by a General Comment. General Comments No. 34 (expression), No. 37 (peaceful assembly), and No. 25 (participation in public affairs) have provided authoritative interpretive frameworks for their respective rights. The adoption of GC No. 38 on Article 22 will complete this architecture.</w:t>
      </w:r>
    </w:p>
    <w:p w14:paraId="3A054669" w14:textId="77777777" w:rsidR="00605DCD" w:rsidRDefault="00605DCD">
      <w:pPr>
        <w:spacing w:line="360" w:lineRule="auto"/>
        <w:jc w:val="both"/>
        <w:rPr>
          <w:rFonts w:ascii="Times New Roman" w:eastAsia="Times New Roman" w:hAnsi="Times New Roman" w:cs="Times New Roman"/>
          <w:sz w:val="24"/>
          <w:szCs w:val="24"/>
        </w:rPr>
      </w:pPr>
    </w:p>
    <w:p w14:paraId="3A05466A" w14:textId="77777777" w:rsidR="00605DCD" w:rsidRDefault="00000000">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The drafting of GC No. 38 takes place in a global environment marked by systematic, often legally dressed, curtailment of associational freedoms. As documented by CIVICUS, the ICNL Civic Freedom Monitor, Freedom House, and the Special Rapporteur on freedom of peaceful assembly and of association, States across multiple regions have introduced legislation that imposes burdensome registration requirements, restricts access to foreign funding, mandates stigmatizing 'foreign agent' labels, and deploys counter-terrorism and public order frameworks to dissolve, paralyze, or criminalize associations engaged in human rights and governance work. In September 2024, a joint statement by UN Special Rapporteurs, the OSCE Office for Democratic Institutions and Human Rights, and regional human rights mechanisms called for urgent protection of civic space amid a global wave of such legislation. These are not isolated or regional phenomena</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they constitute a structurally coordinated pattern of civic space closure that the Committee's General Comment must name and address directly.</w:t>
      </w:r>
    </w:p>
    <w:p w14:paraId="3A05466B" w14:textId="77777777" w:rsidR="00605DCD" w:rsidRDefault="00605DCD">
      <w:pPr>
        <w:spacing w:line="360" w:lineRule="auto"/>
        <w:jc w:val="both"/>
        <w:rPr>
          <w:rFonts w:ascii="Times New Roman" w:eastAsia="Times New Roman" w:hAnsi="Times New Roman" w:cs="Times New Roman"/>
          <w:sz w:val="24"/>
          <w:szCs w:val="24"/>
        </w:rPr>
      </w:pPr>
    </w:p>
    <w:p w14:paraId="3A05466C" w14:textId="77777777" w:rsidR="00605DCD"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4.  The authors have organized this submission around the format required by the call: comments are referenced to the relevant paragraphs of the draft. Where the draft does not yet address a matter that warrants inclusion, this submission recommends addition. </w:t>
      </w:r>
    </w:p>
    <w:p w14:paraId="3A05466D" w14:textId="77777777" w:rsidR="00605DCD" w:rsidRDefault="00605DCD">
      <w:pPr>
        <w:spacing w:line="360" w:lineRule="auto"/>
        <w:jc w:val="both"/>
        <w:rPr>
          <w:rFonts w:ascii="Times New Roman" w:eastAsia="Times New Roman" w:hAnsi="Times New Roman" w:cs="Times New Roman"/>
          <w:sz w:val="24"/>
          <w:szCs w:val="24"/>
        </w:rPr>
      </w:pPr>
    </w:p>
    <w:p w14:paraId="3A05466E" w14:textId="77777777" w:rsidR="00605DCD" w:rsidRDefault="00000000">
      <w:pPr>
        <w:pStyle w:val="Heading1"/>
        <w:spacing w:before="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Paragraph-Specific Comments</w:t>
      </w:r>
    </w:p>
    <w:p w14:paraId="3A05466F" w14:textId="77777777" w:rsidR="00605DCD" w:rsidRDefault="00605DCD"/>
    <w:p w14:paraId="3A054670" w14:textId="77777777" w:rsidR="00605DCD" w:rsidRDefault="00000000">
      <w:pPr>
        <w:pStyle w:val="Heading2"/>
        <w:spacing w:before="0" w:after="0" w:line="360" w:lineRule="auto"/>
        <w:jc w:val="both"/>
        <w:rPr>
          <w:rFonts w:ascii="Times New Roman" w:eastAsia="Times New Roman" w:hAnsi="Times New Roman" w:cs="Times New Roman"/>
        </w:rPr>
      </w:pPr>
      <w:r>
        <w:rPr>
          <w:rFonts w:ascii="Times New Roman" w:eastAsia="Times New Roman" w:hAnsi="Times New Roman" w:cs="Times New Roman"/>
        </w:rPr>
        <w:t>A. Scope and Definition of 'Association' - Paragraphs on Personal and Material Scope</w:t>
      </w:r>
    </w:p>
    <w:p w14:paraId="3A054671" w14:textId="77777777" w:rsidR="00605DCD" w:rsidRDefault="00605DCD"/>
    <w:p w14:paraId="3A054672" w14:textId="77777777" w:rsidR="00605DCD" w:rsidRDefault="00000000">
      <w:pPr>
        <w:spacing w:line="360" w:lineRule="auto"/>
        <w:ind w:left="540" w:hanging="540"/>
        <w:jc w:val="both"/>
        <w:rPr>
          <w:rFonts w:ascii="Times New Roman" w:eastAsia="Times New Roman" w:hAnsi="Times New Roman" w:cs="Times New Roman"/>
          <w:b/>
          <w:bCs/>
          <w:color w:val="005B7F"/>
          <w:sz w:val="24"/>
          <w:szCs w:val="24"/>
        </w:rPr>
      </w:pPr>
      <w:r>
        <w:rPr>
          <w:rFonts w:ascii="Times New Roman" w:eastAsia="Times New Roman" w:hAnsi="Times New Roman" w:cs="Times New Roman"/>
          <w:b/>
          <w:bCs/>
          <w:color w:val="005B7F"/>
          <w:sz w:val="24"/>
          <w:szCs w:val="24"/>
        </w:rPr>
        <w:t xml:space="preserve">Para. Definition paragraphs:  </w:t>
      </w:r>
    </w:p>
    <w:p w14:paraId="3A054673" w14:textId="77777777" w:rsidR="00605DCD" w:rsidRDefault="00605DCD">
      <w:pPr>
        <w:spacing w:line="360" w:lineRule="auto"/>
        <w:ind w:left="540" w:hanging="540"/>
        <w:jc w:val="both"/>
        <w:rPr>
          <w:rFonts w:ascii="Times New Roman" w:eastAsia="Times New Roman" w:hAnsi="Times New Roman" w:cs="Times New Roman"/>
          <w:sz w:val="24"/>
          <w:szCs w:val="24"/>
        </w:rPr>
      </w:pPr>
    </w:p>
    <w:p w14:paraId="3A054674" w14:textId="77777777" w:rsidR="00605DCD" w:rsidRDefault="00000000">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draft's treatment of the personal and material scope of the right to freedom of association is foundational and warrants the strongest possible formulation. The Committee's own jurisprudence has established that 'association' encompasses any group of individuals or legal entities brought together to collectively act, express, promote, pursue, or defend a field of </w:t>
      </w:r>
      <w:r>
        <w:rPr>
          <w:rFonts w:ascii="Times New Roman" w:eastAsia="Times New Roman" w:hAnsi="Times New Roman" w:cs="Times New Roman"/>
          <w:color w:val="000000"/>
          <w:sz w:val="24"/>
          <w:szCs w:val="24"/>
        </w:rPr>
        <w:lastRenderedPageBreak/>
        <w:t>common interests (Farah v. Djibouti, CCPR/C/130/D/3593/2019, para. 7.2). This definition is intentionally non-exhaustive and structurally inclusive. The draft should make explicit that this scope encompasses: voluntary groups, clubs, cooperatives, foundations, charities, trade unions, advocacy groups, social movements, informal networks, and digitally constituted associations — whether or not they have legal personality, and whether or not they are registered under domestic law. The Committee should state unambiguously that the acquisition of legal personality</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or the denial thereof</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by domestic authorities does not determine the threshold of Article 22 protection.</w:t>
      </w:r>
    </w:p>
    <w:p w14:paraId="3A054675" w14:textId="77777777" w:rsidR="00605DCD" w:rsidRDefault="00605DCD">
      <w:pPr>
        <w:spacing w:line="360" w:lineRule="auto"/>
        <w:ind w:left="540" w:hanging="540"/>
        <w:jc w:val="both"/>
        <w:rPr>
          <w:rFonts w:ascii="Times New Roman" w:eastAsia="Times New Roman" w:hAnsi="Times New Roman" w:cs="Times New Roman"/>
          <w:sz w:val="24"/>
          <w:szCs w:val="24"/>
        </w:rPr>
      </w:pPr>
    </w:p>
    <w:p w14:paraId="3A054676" w14:textId="77777777" w:rsidR="00605DCD" w:rsidRDefault="00000000">
      <w:pPr>
        <w:spacing w:line="360" w:lineRule="auto"/>
        <w:ind w:left="540" w:hanging="540"/>
        <w:jc w:val="both"/>
        <w:rPr>
          <w:rFonts w:ascii="Times New Roman" w:eastAsia="Times New Roman" w:hAnsi="Times New Roman" w:cs="Times New Roman"/>
          <w:b/>
          <w:bCs/>
          <w:color w:val="005B7F"/>
          <w:sz w:val="24"/>
          <w:szCs w:val="24"/>
        </w:rPr>
      </w:pPr>
      <w:r>
        <w:rPr>
          <w:rFonts w:ascii="Times New Roman" w:eastAsia="Times New Roman" w:hAnsi="Times New Roman" w:cs="Times New Roman"/>
          <w:b/>
          <w:bCs/>
          <w:color w:val="005B7F"/>
          <w:sz w:val="24"/>
          <w:szCs w:val="24"/>
        </w:rPr>
        <w:t>Para. Informal and unregistered associations:</w:t>
      </w:r>
    </w:p>
    <w:p w14:paraId="3A054677" w14:textId="77777777" w:rsidR="00605DCD" w:rsidRDefault="00605DCD">
      <w:pPr>
        <w:spacing w:line="360" w:lineRule="auto"/>
        <w:jc w:val="both"/>
        <w:rPr>
          <w:rFonts w:ascii="Times New Roman" w:eastAsia="Times New Roman" w:hAnsi="Times New Roman" w:cs="Times New Roman"/>
          <w:b/>
          <w:bCs/>
          <w:color w:val="005B7F"/>
          <w:sz w:val="24"/>
          <w:szCs w:val="24"/>
        </w:rPr>
      </w:pPr>
    </w:p>
    <w:p w14:paraId="3A054678" w14:textId="77777777" w:rsidR="00605DCD" w:rsidRDefault="00000000">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critical normative gap in existing State practice concerns the treatment of unregistered and informal associations. In Saidov v. Tajikistan (CCPR/C/122/D/2680/2015, para. 9.9), the Committee found violations arising from restrictions on the formation of a political party, affirming that protection attaches from the moment individuals seek to associate</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not only once they have achieved formal registration. The draft should consolidate this into a general principle: the right to freedom of association protects the act of association itself, prior to and independent of any State recognition or registration process. Any registration system that functions in practice as a prior authorization requirement</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by giving authorities broad discretion to refuse registration, or by making registration a precondition for lawful operation</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engages Article 22 and must satisfy the full three-part test under Article 22(2).</w:t>
      </w:r>
    </w:p>
    <w:p w14:paraId="3A054679" w14:textId="77777777" w:rsidR="00605DCD" w:rsidRDefault="00605DCD">
      <w:pPr>
        <w:spacing w:line="360" w:lineRule="auto"/>
        <w:ind w:left="540" w:hanging="540"/>
        <w:jc w:val="both"/>
        <w:rPr>
          <w:rFonts w:ascii="Times New Roman" w:eastAsia="Times New Roman" w:hAnsi="Times New Roman" w:cs="Times New Roman"/>
          <w:sz w:val="24"/>
          <w:szCs w:val="24"/>
        </w:rPr>
      </w:pPr>
    </w:p>
    <w:p w14:paraId="3A05467A" w14:textId="77777777" w:rsidR="00605DCD" w:rsidRDefault="00000000">
      <w:pPr>
        <w:spacing w:line="360" w:lineRule="auto"/>
        <w:ind w:left="540" w:hanging="540"/>
        <w:jc w:val="both"/>
        <w:rPr>
          <w:rFonts w:ascii="Times New Roman" w:eastAsia="Times New Roman" w:hAnsi="Times New Roman" w:cs="Times New Roman"/>
          <w:b/>
          <w:bCs/>
          <w:color w:val="005B7F"/>
          <w:sz w:val="24"/>
          <w:szCs w:val="24"/>
        </w:rPr>
      </w:pPr>
      <w:r>
        <w:rPr>
          <w:rFonts w:ascii="Times New Roman" w:eastAsia="Times New Roman" w:hAnsi="Times New Roman" w:cs="Times New Roman"/>
          <w:b/>
          <w:bCs/>
          <w:color w:val="005B7F"/>
          <w:sz w:val="24"/>
          <w:szCs w:val="24"/>
        </w:rPr>
        <w:t xml:space="preserve">Para. Positive obligations - enabling environment:  </w:t>
      </w:r>
    </w:p>
    <w:p w14:paraId="3A05467B" w14:textId="77777777" w:rsidR="00605DCD" w:rsidRDefault="00605DCD">
      <w:pPr>
        <w:spacing w:line="360" w:lineRule="auto"/>
        <w:jc w:val="both"/>
        <w:rPr>
          <w:rFonts w:ascii="Times New Roman" w:eastAsia="Times New Roman" w:hAnsi="Times New Roman" w:cs="Times New Roman"/>
          <w:sz w:val="24"/>
          <w:szCs w:val="24"/>
        </w:rPr>
      </w:pPr>
    </w:p>
    <w:p w14:paraId="3A05467C" w14:textId="77777777" w:rsidR="00605DCD"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The draft should clearly articulate the positive dimension of the State's obligation under Article 22. The right is not merely a negative obligation to refrain from interference</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it generates affirmative duties to create and maintain an enabling environment in which associations can form, operate, receive funding, advocate, access justice, and participate in public decision-making without fear of reprisal, stigmatization, or criminalization. This positive dimension is well-established in the reports of the Special Rapporteur on the rights to freedom of peaceful assembly and of association (A/HRC/23/39, para. 23; A/74/349, para. 16) and must be incorporated into the General Comment's interpretive framework.</w:t>
      </w:r>
    </w:p>
    <w:p w14:paraId="3A05467D" w14:textId="77777777" w:rsidR="00605DCD" w:rsidRDefault="00605DCD">
      <w:pPr>
        <w:spacing w:line="360" w:lineRule="auto"/>
        <w:jc w:val="both"/>
        <w:rPr>
          <w:rFonts w:ascii="Times New Roman" w:eastAsia="Times New Roman" w:hAnsi="Times New Roman" w:cs="Times New Roman"/>
          <w:sz w:val="24"/>
          <w:szCs w:val="24"/>
        </w:rPr>
      </w:pPr>
    </w:p>
    <w:p w14:paraId="3A05467E" w14:textId="77777777" w:rsidR="00605DCD" w:rsidRDefault="00000000">
      <w:pPr>
        <w:pStyle w:val="Heading2"/>
        <w:spacing w:before="0" w:after="0" w:line="360" w:lineRule="auto"/>
        <w:jc w:val="both"/>
        <w:rPr>
          <w:rFonts w:ascii="Times New Roman" w:eastAsia="Times New Roman" w:hAnsi="Times New Roman" w:cs="Times New Roman"/>
        </w:rPr>
      </w:pPr>
      <w:r>
        <w:rPr>
          <w:rFonts w:ascii="Times New Roman" w:eastAsia="Times New Roman" w:hAnsi="Times New Roman" w:cs="Times New Roman"/>
        </w:rPr>
        <w:t>B. The Three-Part Limitation Test under Article 22(2) - Paragraphs on Restrictions</w:t>
      </w:r>
    </w:p>
    <w:p w14:paraId="3A05467F" w14:textId="77777777" w:rsidR="00605DCD" w:rsidRDefault="00605DCD"/>
    <w:p w14:paraId="3A054680" w14:textId="77777777" w:rsidR="00605DCD" w:rsidRDefault="00000000">
      <w:pPr>
        <w:spacing w:line="360" w:lineRule="auto"/>
        <w:ind w:left="540" w:hanging="540"/>
        <w:jc w:val="both"/>
        <w:rPr>
          <w:rFonts w:ascii="Times New Roman" w:eastAsia="Times New Roman" w:hAnsi="Times New Roman" w:cs="Times New Roman"/>
          <w:b/>
          <w:bCs/>
          <w:color w:val="005B7F"/>
          <w:sz w:val="24"/>
          <w:szCs w:val="24"/>
        </w:rPr>
      </w:pPr>
      <w:r>
        <w:rPr>
          <w:rFonts w:ascii="Times New Roman" w:eastAsia="Times New Roman" w:hAnsi="Times New Roman" w:cs="Times New Roman"/>
          <w:b/>
          <w:bCs/>
          <w:color w:val="005B7F"/>
          <w:sz w:val="24"/>
          <w:szCs w:val="24"/>
        </w:rPr>
        <w:t>Para. Restriction paragraphs - general framework:</w:t>
      </w:r>
    </w:p>
    <w:p w14:paraId="3A054681" w14:textId="77777777" w:rsidR="00605DCD" w:rsidRDefault="00605DCD">
      <w:pPr>
        <w:spacing w:line="360" w:lineRule="auto"/>
        <w:jc w:val="both"/>
        <w:rPr>
          <w:rFonts w:ascii="Times New Roman" w:eastAsia="Times New Roman" w:hAnsi="Times New Roman" w:cs="Times New Roman"/>
          <w:b/>
          <w:bCs/>
          <w:color w:val="005B7F"/>
          <w:sz w:val="24"/>
          <w:szCs w:val="24"/>
        </w:rPr>
      </w:pPr>
    </w:p>
    <w:p w14:paraId="3A054682" w14:textId="77777777" w:rsidR="00605DCD" w:rsidRDefault="00000000">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Article 22(2) is one of the most precisely drafted limitation clauses in the ICCPR. Restrictions are permissible only if they satisfy three cumulative requirements: (i) prescribed by law; (ii) pursuing one of the exhaustively enumerated legitimate aims (national security, public safety, public order, public health, public morals, or protection of the rights and freedoms of others); and (iii) necessary in a democratic society. Each element must be given strict and independent content in the General Comment. The authors submit the following observations on each.</w:t>
      </w:r>
    </w:p>
    <w:p w14:paraId="3A054683" w14:textId="77777777" w:rsidR="00605DCD" w:rsidRDefault="00605DCD">
      <w:pPr>
        <w:spacing w:line="360" w:lineRule="auto"/>
        <w:ind w:left="540" w:hanging="540"/>
        <w:jc w:val="both"/>
        <w:rPr>
          <w:rFonts w:ascii="Times New Roman" w:eastAsia="Times New Roman" w:hAnsi="Times New Roman" w:cs="Times New Roman"/>
          <w:sz w:val="24"/>
          <w:szCs w:val="24"/>
        </w:rPr>
      </w:pPr>
    </w:p>
    <w:p w14:paraId="3A054684" w14:textId="77777777" w:rsidR="00605DCD" w:rsidRDefault="00000000">
      <w:pPr>
        <w:spacing w:line="360" w:lineRule="auto"/>
        <w:ind w:left="540" w:hanging="540"/>
        <w:jc w:val="both"/>
        <w:rPr>
          <w:rFonts w:ascii="Times New Roman" w:eastAsia="Times New Roman" w:hAnsi="Times New Roman" w:cs="Times New Roman"/>
          <w:b/>
          <w:bCs/>
          <w:color w:val="005B7F"/>
          <w:sz w:val="24"/>
          <w:szCs w:val="24"/>
        </w:rPr>
      </w:pPr>
      <w:r>
        <w:rPr>
          <w:rFonts w:ascii="Times New Roman" w:eastAsia="Times New Roman" w:hAnsi="Times New Roman" w:cs="Times New Roman"/>
          <w:b/>
          <w:bCs/>
          <w:color w:val="005B7F"/>
          <w:sz w:val="24"/>
          <w:szCs w:val="24"/>
        </w:rPr>
        <w:t>Para. 'Prescribed by law':</w:t>
      </w:r>
    </w:p>
    <w:p w14:paraId="3A054685" w14:textId="77777777" w:rsidR="00605DCD" w:rsidRDefault="00605DCD">
      <w:pPr>
        <w:spacing w:line="360" w:lineRule="auto"/>
        <w:jc w:val="both"/>
        <w:rPr>
          <w:rFonts w:ascii="Times New Roman" w:eastAsia="Times New Roman" w:hAnsi="Times New Roman" w:cs="Times New Roman"/>
          <w:b/>
          <w:bCs/>
          <w:color w:val="005B7F"/>
          <w:sz w:val="24"/>
          <w:szCs w:val="24"/>
        </w:rPr>
      </w:pPr>
    </w:p>
    <w:p w14:paraId="3A054686" w14:textId="77777777" w:rsidR="00605DCD" w:rsidRDefault="00000000">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requirement that restrictions be 'prescribed by law' carries a substantive, not merely formal, content. As elaborated by the Siracusa Principles on the Limitation and Derogation Provisions in the ICCPR, a legal provision satisfies this requirement only if it is accessible, formulated with sufficient precision to enable individuals to foresee the legal consequences of their conduct, and not so vague as to vest authorities with unconstrained discretion. The proliferation of legislation employing undefined terms such as 'activities that alter national stability,' 'threats to social and political stability,' or 'activities with political purposes,' as observed in the El Salvador foreign agents law enacted in May 2025, in Georgia's 2024 transparency law, and in Kyrgyzstan's 2024 NGO law</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fails to meet this standard. The General Comment should state that laws imposing restrictions on associations that employ vague or overbroad definitional criteria do not satisfy the 'prescribed by law' requirement, regardless of whether they are formally enacted through parliamentary processes.</w:t>
      </w:r>
    </w:p>
    <w:p w14:paraId="3A054687" w14:textId="77777777" w:rsidR="00605DCD" w:rsidRDefault="00605DCD">
      <w:pPr>
        <w:spacing w:line="360" w:lineRule="auto"/>
        <w:ind w:left="540" w:hanging="540"/>
        <w:jc w:val="both"/>
        <w:rPr>
          <w:rFonts w:ascii="Times New Roman" w:eastAsia="Times New Roman" w:hAnsi="Times New Roman" w:cs="Times New Roman"/>
          <w:sz w:val="24"/>
          <w:szCs w:val="24"/>
        </w:rPr>
      </w:pPr>
    </w:p>
    <w:p w14:paraId="3A054688" w14:textId="77777777" w:rsidR="00605DCD" w:rsidRDefault="00000000">
      <w:pPr>
        <w:spacing w:line="360" w:lineRule="auto"/>
        <w:ind w:left="540" w:hanging="540"/>
        <w:jc w:val="both"/>
        <w:rPr>
          <w:rFonts w:ascii="Times New Roman" w:eastAsia="Times New Roman" w:hAnsi="Times New Roman" w:cs="Times New Roman"/>
          <w:b/>
          <w:bCs/>
          <w:color w:val="005B7F"/>
          <w:sz w:val="24"/>
          <w:szCs w:val="24"/>
        </w:rPr>
      </w:pPr>
      <w:r>
        <w:rPr>
          <w:rFonts w:ascii="Times New Roman" w:eastAsia="Times New Roman" w:hAnsi="Times New Roman" w:cs="Times New Roman"/>
          <w:b/>
          <w:bCs/>
          <w:color w:val="005B7F"/>
          <w:sz w:val="24"/>
          <w:szCs w:val="24"/>
        </w:rPr>
        <w:t>Para. Legitimate aims - exhaustive character:</w:t>
      </w:r>
    </w:p>
    <w:p w14:paraId="3A054689" w14:textId="77777777" w:rsidR="00605DCD" w:rsidRDefault="00605DCD">
      <w:pPr>
        <w:spacing w:line="360" w:lineRule="auto"/>
        <w:ind w:left="540" w:hanging="540"/>
        <w:jc w:val="both"/>
        <w:rPr>
          <w:rFonts w:ascii="Times New Roman" w:eastAsia="Times New Roman" w:hAnsi="Times New Roman" w:cs="Times New Roman"/>
          <w:sz w:val="24"/>
          <w:szCs w:val="24"/>
        </w:rPr>
      </w:pPr>
    </w:p>
    <w:p w14:paraId="3A05468A" w14:textId="77777777" w:rsidR="00605DCD" w:rsidRDefault="00000000">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draft should affirm that the list of permissible aims in Article 22(2) is exhaustive. This is a crucial interpretive point: unlike some other human rights instruments, the ICCPR does not permit a general 'public interest' or 'general welfare' justification for restricting freedom of association. The Committee has previously affirmed in Belyatsky v. Belarus that restrictions must fall within one of the specifically enumerated grounds. The General Comment should restate this as a bright-line rule and should expressly reject the use of counter-terrorism frameworks, foreign-influence narratives, or public morality rationales as catch-all </w:t>
      </w:r>
      <w:r>
        <w:rPr>
          <w:rFonts w:ascii="Times New Roman" w:eastAsia="Times New Roman" w:hAnsi="Times New Roman" w:cs="Times New Roman"/>
          <w:color w:val="000000"/>
          <w:sz w:val="24"/>
          <w:szCs w:val="24"/>
        </w:rPr>
        <w:lastRenderedPageBreak/>
        <w:t>justifications for restrictions that are in substance directed at associations engaging in human rights advocacy, governance monitoring, or opposition political activity.</w:t>
      </w:r>
    </w:p>
    <w:p w14:paraId="3A05468B" w14:textId="77777777" w:rsidR="00605DCD" w:rsidRDefault="00605DCD">
      <w:pPr>
        <w:spacing w:line="360" w:lineRule="auto"/>
        <w:ind w:left="540" w:hanging="540"/>
        <w:jc w:val="both"/>
        <w:rPr>
          <w:rFonts w:ascii="Times New Roman" w:eastAsia="Times New Roman" w:hAnsi="Times New Roman" w:cs="Times New Roman"/>
          <w:sz w:val="24"/>
          <w:szCs w:val="24"/>
        </w:rPr>
      </w:pPr>
    </w:p>
    <w:p w14:paraId="3A05468C" w14:textId="77777777" w:rsidR="00605DCD" w:rsidRDefault="00000000">
      <w:pPr>
        <w:spacing w:line="360" w:lineRule="auto"/>
        <w:ind w:left="540" w:hanging="540"/>
        <w:jc w:val="both"/>
        <w:rPr>
          <w:rFonts w:ascii="Times New Roman" w:eastAsia="Times New Roman" w:hAnsi="Times New Roman" w:cs="Times New Roman"/>
          <w:b/>
          <w:bCs/>
          <w:color w:val="005B7F"/>
          <w:sz w:val="24"/>
          <w:szCs w:val="24"/>
        </w:rPr>
      </w:pPr>
      <w:r>
        <w:rPr>
          <w:rFonts w:ascii="Times New Roman" w:eastAsia="Times New Roman" w:hAnsi="Times New Roman" w:cs="Times New Roman"/>
          <w:b/>
          <w:bCs/>
          <w:color w:val="005B7F"/>
          <w:sz w:val="24"/>
          <w:szCs w:val="24"/>
        </w:rPr>
        <w:t>Para. 'Necessary in a democratic society' - proportionality and burden of justification:</w:t>
      </w:r>
    </w:p>
    <w:p w14:paraId="3A05468D" w14:textId="77777777" w:rsidR="00605DCD" w:rsidRDefault="00605DCD">
      <w:pPr>
        <w:spacing w:line="360" w:lineRule="auto"/>
        <w:ind w:left="540" w:hanging="540"/>
        <w:jc w:val="both"/>
        <w:rPr>
          <w:rFonts w:ascii="Times New Roman" w:eastAsia="Times New Roman" w:hAnsi="Times New Roman" w:cs="Times New Roman"/>
          <w:sz w:val="24"/>
          <w:szCs w:val="24"/>
        </w:rPr>
      </w:pPr>
    </w:p>
    <w:p w14:paraId="3A05468E" w14:textId="77777777" w:rsidR="00605DCD"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The requirement of necessity in a democratic society embeds a proportionality principle: restrictions must respond to a pressing social need, be rationally connected to the legitimate aim, and be the least intrusive means available to achieve that aim. Dissolution of an association</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the most severe restriction</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can only be justified as an ultimate sanction when lesser measures have been considered and found inadequate, and when the necessity has been established in relation to a real, not merely speculative, threat (Vladimir Katsora and others v. Belarus, CCPR/C/100/D/1838/2005, para. 8.2). The draft should be explicit that the burden of establishing necessity lies on the State imposing the restriction. This reversal of the burden of proof is not merely procedural</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it reflects the structural asymmetry between the State and associations, particularly those engaging in human rights or political advocacy. Where a State dissolves an association, bans its formation, or systematically denies its registration, the presumption runs in favour of the right-holder, and the State must affirmatively demonstrate the necessity of its measure.</w:t>
      </w:r>
    </w:p>
    <w:p w14:paraId="3A05468F" w14:textId="77777777" w:rsidR="00605DCD" w:rsidRDefault="00605DCD">
      <w:pPr>
        <w:spacing w:line="360" w:lineRule="auto"/>
        <w:jc w:val="both"/>
        <w:rPr>
          <w:rFonts w:ascii="Times New Roman" w:eastAsia="Times New Roman" w:hAnsi="Times New Roman" w:cs="Times New Roman"/>
          <w:sz w:val="24"/>
          <w:szCs w:val="24"/>
        </w:rPr>
      </w:pPr>
    </w:p>
    <w:p w14:paraId="3A054690" w14:textId="77777777" w:rsidR="00605DCD" w:rsidRDefault="00000000">
      <w:pPr>
        <w:pStyle w:val="Heading2"/>
        <w:spacing w:before="0" w:after="0" w:line="360" w:lineRule="auto"/>
        <w:jc w:val="both"/>
        <w:rPr>
          <w:rFonts w:ascii="Times New Roman" w:eastAsia="Times New Roman" w:hAnsi="Times New Roman" w:cs="Times New Roman"/>
        </w:rPr>
      </w:pPr>
      <w:r>
        <w:rPr>
          <w:rFonts w:ascii="Times New Roman" w:eastAsia="Times New Roman" w:hAnsi="Times New Roman" w:cs="Times New Roman"/>
        </w:rPr>
        <w:t>C. The Specific Threat of Anti-NGO and 'Foreign Agent' Legislation</w:t>
      </w:r>
    </w:p>
    <w:p w14:paraId="3A054691" w14:textId="77777777" w:rsidR="00605DCD" w:rsidRDefault="00605DCD"/>
    <w:p w14:paraId="3A054692" w14:textId="77777777" w:rsidR="00605DCD" w:rsidRDefault="00000000">
      <w:pPr>
        <w:spacing w:line="360" w:lineRule="auto"/>
        <w:ind w:left="540" w:hanging="540"/>
        <w:jc w:val="both"/>
        <w:rPr>
          <w:rFonts w:ascii="Times New Roman" w:eastAsia="Times New Roman" w:hAnsi="Times New Roman" w:cs="Times New Roman"/>
          <w:b/>
          <w:bCs/>
          <w:color w:val="005B7F"/>
          <w:sz w:val="24"/>
          <w:szCs w:val="24"/>
        </w:rPr>
      </w:pPr>
      <w:r>
        <w:rPr>
          <w:rFonts w:ascii="Times New Roman" w:eastAsia="Times New Roman" w:hAnsi="Times New Roman" w:cs="Times New Roman"/>
          <w:b/>
          <w:bCs/>
          <w:color w:val="005B7F"/>
          <w:sz w:val="24"/>
          <w:szCs w:val="24"/>
        </w:rPr>
        <w:t xml:space="preserve">Para. Foreign agent and transparency law paragraphs: </w:t>
      </w:r>
    </w:p>
    <w:p w14:paraId="3A054693" w14:textId="77777777" w:rsidR="00605DCD" w:rsidRDefault="00605DCD">
      <w:pPr>
        <w:spacing w:line="360" w:lineRule="auto"/>
        <w:jc w:val="both"/>
        <w:rPr>
          <w:rFonts w:ascii="Times New Roman" w:eastAsia="Times New Roman" w:hAnsi="Times New Roman" w:cs="Times New Roman"/>
          <w:b/>
          <w:bCs/>
          <w:color w:val="005B7F"/>
          <w:sz w:val="24"/>
          <w:szCs w:val="24"/>
        </w:rPr>
      </w:pPr>
    </w:p>
    <w:p w14:paraId="3A054694" w14:textId="77777777" w:rsidR="00605DCD" w:rsidRDefault="00000000">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Committee should dedicate specific paragraphs of Draft GC No. 38 to what CIVICUS has documented as a global trend in 'foreign agent' legislation</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laws that require associations receiving foreign funding to register as 'foreign agents,' 'foreign representatives,' or organizations 'pursuing the interests of a foreign power.' As of 2025, such laws have been enacted or proposed in Georgia (2024), Kyrgyzstan (2024), Hungary, El Salvador (2025), Bosnia and Herzegovina (suspended by the Constitutional Court in May 2025 as mirroring Russian legislation violating freedom of association), and numerous other jurisdictions. These laws systematically violate Article 22 on multiple grounds. They impose stigmatizing designations that produce chilling effects on associational activity independently of any formal legal sanction. They restrict access to funding</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a right that the Special Rapporteur on freedom of association has identified as a logical extension of Article 22's protection. They treat foreign </w:t>
      </w:r>
      <w:r>
        <w:rPr>
          <w:rFonts w:ascii="Times New Roman" w:eastAsia="Times New Roman" w:hAnsi="Times New Roman" w:cs="Times New Roman"/>
          <w:color w:val="000000"/>
          <w:sz w:val="24"/>
          <w:szCs w:val="24"/>
        </w:rPr>
        <w:lastRenderedPageBreak/>
        <w:t>funding as inherently suspect in the absence of evidence that any specific association is serving a foreign government's political agenda, which is neither a legitimate aim within Article 22(2) nor a proportionate response to legitimate transparency concerns.</w:t>
      </w:r>
    </w:p>
    <w:p w14:paraId="3A054695" w14:textId="77777777" w:rsidR="00605DCD" w:rsidRDefault="00605DCD">
      <w:pPr>
        <w:spacing w:line="360" w:lineRule="auto"/>
        <w:ind w:left="540" w:hanging="540"/>
        <w:jc w:val="both"/>
        <w:rPr>
          <w:rFonts w:ascii="Times New Roman" w:eastAsia="Times New Roman" w:hAnsi="Times New Roman" w:cs="Times New Roman"/>
          <w:sz w:val="24"/>
          <w:szCs w:val="24"/>
        </w:rPr>
      </w:pPr>
    </w:p>
    <w:p w14:paraId="3A054696" w14:textId="77777777" w:rsidR="00605DCD" w:rsidRDefault="00000000">
      <w:pPr>
        <w:spacing w:line="360" w:lineRule="auto"/>
        <w:ind w:left="540" w:hanging="540"/>
        <w:jc w:val="both"/>
        <w:rPr>
          <w:rFonts w:ascii="Times New Roman" w:eastAsia="Times New Roman" w:hAnsi="Times New Roman" w:cs="Times New Roman"/>
          <w:b/>
          <w:bCs/>
          <w:color w:val="005B7F"/>
          <w:sz w:val="24"/>
          <w:szCs w:val="24"/>
        </w:rPr>
      </w:pPr>
      <w:r>
        <w:rPr>
          <w:rFonts w:ascii="Times New Roman" w:eastAsia="Times New Roman" w:hAnsi="Times New Roman" w:cs="Times New Roman"/>
          <w:b/>
          <w:bCs/>
          <w:color w:val="005B7F"/>
          <w:sz w:val="24"/>
          <w:szCs w:val="24"/>
        </w:rPr>
        <w:t xml:space="preserve">Para. Access to resources: </w:t>
      </w:r>
    </w:p>
    <w:p w14:paraId="3A054697" w14:textId="77777777" w:rsidR="00605DCD" w:rsidRDefault="00605DCD">
      <w:pPr>
        <w:spacing w:line="360" w:lineRule="auto"/>
        <w:ind w:left="540" w:hanging="540"/>
        <w:jc w:val="both"/>
        <w:rPr>
          <w:rFonts w:ascii="Times New Roman" w:eastAsia="Times New Roman" w:hAnsi="Times New Roman" w:cs="Times New Roman"/>
          <w:sz w:val="24"/>
          <w:szCs w:val="24"/>
        </w:rPr>
      </w:pPr>
    </w:p>
    <w:p w14:paraId="3A054698" w14:textId="77777777" w:rsidR="00605DCD"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The draft should affirm that the right to freedom of association includes the right of associations to seek, receive, and use resources</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from domestic and foreign sources</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to carry out their lawful activities. This is not a peripheral or derivative protection; it is the operational precondition for the exercise of the right itself. Associations that cannot access funding cannot sustain themselves. The General Comment should state that restrictions on access to foreign funding are subject to the full three-part test under Article 22(2), and that the mere fact of receiving foreign funding does not constitute a legitimate ground for enhanced regulatory scrutiny, mandatory stigmatizing labels, or dissolution, in the absence of evidence of actual harm to a specifically enumerated legitimate aim.</w:t>
      </w:r>
    </w:p>
    <w:p w14:paraId="3A054699" w14:textId="77777777" w:rsidR="00605DCD" w:rsidRDefault="00605DCD">
      <w:pPr>
        <w:spacing w:line="360" w:lineRule="auto"/>
        <w:jc w:val="both"/>
        <w:rPr>
          <w:rFonts w:ascii="Times New Roman" w:eastAsia="Times New Roman" w:hAnsi="Times New Roman" w:cs="Times New Roman"/>
          <w:sz w:val="24"/>
          <w:szCs w:val="24"/>
        </w:rPr>
      </w:pPr>
    </w:p>
    <w:p w14:paraId="3A05469A" w14:textId="77777777" w:rsidR="00605DCD" w:rsidRDefault="00000000">
      <w:pPr>
        <w:pStyle w:val="Heading2"/>
        <w:spacing w:before="0" w:after="0" w:line="360" w:lineRule="auto"/>
        <w:jc w:val="both"/>
        <w:rPr>
          <w:rFonts w:ascii="Times New Roman" w:eastAsia="Times New Roman" w:hAnsi="Times New Roman" w:cs="Times New Roman"/>
        </w:rPr>
      </w:pPr>
      <w:r>
        <w:rPr>
          <w:rFonts w:ascii="Times New Roman" w:eastAsia="Times New Roman" w:hAnsi="Times New Roman" w:cs="Times New Roman"/>
        </w:rPr>
        <w:t>D. Digital Space and Associations - A Structural Gap in the Draft</w:t>
      </w:r>
    </w:p>
    <w:p w14:paraId="3A05469B" w14:textId="77777777" w:rsidR="00605DCD" w:rsidRDefault="00605DCD"/>
    <w:p w14:paraId="3A05469C" w14:textId="77777777" w:rsidR="00605DCD" w:rsidRDefault="00000000">
      <w:pPr>
        <w:spacing w:line="360" w:lineRule="auto"/>
        <w:ind w:left="540" w:hanging="540"/>
        <w:jc w:val="both"/>
        <w:rPr>
          <w:rFonts w:ascii="Times New Roman" w:eastAsia="Times New Roman" w:hAnsi="Times New Roman" w:cs="Times New Roman"/>
          <w:b/>
          <w:bCs/>
          <w:color w:val="005B7F"/>
          <w:sz w:val="24"/>
          <w:szCs w:val="24"/>
        </w:rPr>
      </w:pPr>
      <w:r>
        <w:rPr>
          <w:rFonts w:ascii="Times New Roman" w:eastAsia="Times New Roman" w:hAnsi="Times New Roman" w:cs="Times New Roman"/>
          <w:b/>
          <w:bCs/>
          <w:color w:val="005B7F"/>
          <w:sz w:val="24"/>
          <w:szCs w:val="24"/>
        </w:rPr>
        <w:t xml:space="preserve">Para. Digital associations and online exercise of the right: </w:t>
      </w:r>
    </w:p>
    <w:p w14:paraId="3A05469D" w14:textId="77777777" w:rsidR="00605DCD" w:rsidRDefault="00605DCD">
      <w:pPr>
        <w:spacing w:line="360" w:lineRule="auto"/>
        <w:jc w:val="both"/>
        <w:rPr>
          <w:rFonts w:ascii="Times New Roman" w:eastAsia="Times New Roman" w:hAnsi="Times New Roman" w:cs="Times New Roman"/>
          <w:b/>
          <w:bCs/>
          <w:color w:val="005B7F"/>
          <w:sz w:val="24"/>
          <w:szCs w:val="24"/>
        </w:rPr>
      </w:pPr>
    </w:p>
    <w:p w14:paraId="3A05469E" w14:textId="77777777" w:rsidR="00605DCD" w:rsidRDefault="00000000">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authors recommend that Draft GC No. 38 devote substantive paragraphs to the exercise of freedom of association in digital spaces. Digital technologies are not merely facilitative tools for associations that exist primarily in the physical world</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they have generated genuinely new forms of association, including online networks, open-source communities, social movement coalitions, and distributed advocacy organizations that may have no physical presence, no formal legal structure, and no single territorial jurisdiction. The 2023 Joint Declaration on Freedom of Peaceful Assembly and of Association by UN and regional Special Rapporteurs recognized that 'digital technologies are integral to the exercise of the rights to freedom of peaceful assembly, of association and of expression,' and affirmed that 'the exercise of these rights in the online and offline worlds are complementary and mutually reinforcing.'</w:t>
      </w:r>
    </w:p>
    <w:p w14:paraId="3A05469F" w14:textId="77777777" w:rsidR="00605DCD" w:rsidRDefault="00605DCD">
      <w:pPr>
        <w:spacing w:line="360" w:lineRule="auto"/>
        <w:ind w:left="540" w:hanging="540"/>
        <w:jc w:val="both"/>
        <w:rPr>
          <w:rFonts w:ascii="Times New Roman" w:eastAsia="Times New Roman" w:hAnsi="Times New Roman" w:cs="Times New Roman"/>
          <w:sz w:val="24"/>
          <w:szCs w:val="24"/>
        </w:rPr>
      </w:pPr>
    </w:p>
    <w:p w14:paraId="3A0546A0" w14:textId="77777777" w:rsidR="00605DCD" w:rsidRDefault="00000000">
      <w:pPr>
        <w:spacing w:line="360" w:lineRule="auto"/>
        <w:ind w:left="540" w:hanging="540"/>
        <w:jc w:val="both"/>
        <w:rPr>
          <w:rFonts w:ascii="Times New Roman" w:eastAsia="Times New Roman" w:hAnsi="Times New Roman" w:cs="Times New Roman"/>
          <w:b/>
          <w:bCs/>
          <w:color w:val="005B7F"/>
          <w:sz w:val="24"/>
          <w:szCs w:val="24"/>
        </w:rPr>
      </w:pPr>
      <w:r>
        <w:rPr>
          <w:rFonts w:ascii="Times New Roman" w:eastAsia="Times New Roman" w:hAnsi="Times New Roman" w:cs="Times New Roman"/>
          <w:b/>
          <w:bCs/>
          <w:color w:val="005B7F"/>
          <w:sz w:val="24"/>
          <w:szCs w:val="24"/>
        </w:rPr>
        <w:t xml:space="preserve">Para. Digital surveillance and chilling effects on associations:  </w:t>
      </w:r>
    </w:p>
    <w:p w14:paraId="3A0546A1" w14:textId="77777777" w:rsidR="00605DCD" w:rsidRDefault="00605DCD">
      <w:pPr>
        <w:spacing w:line="360" w:lineRule="auto"/>
        <w:jc w:val="both"/>
        <w:rPr>
          <w:rFonts w:ascii="Times New Roman" w:eastAsia="Times New Roman" w:hAnsi="Times New Roman" w:cs="Times New Roman"/>
          <w:sz w:val="24"/>
          <w:szCs w:val="24"/>
        </w:rPr>
      </w:pPr>
    </w:p>
    <w:p w14:paraId="3A0546A2" w14:textId="77777777" w:rsidR="00605DCD"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The use of surveillance technologies to monitor, infiltrate, or expose associations and their members constitutes an interference with the right to freedom of association that the draft must address. The documented use of tools such as Pegasus spyware by governments to surveil activists, NGO representatives, and human rights defenders</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as documented in Mexico and elsewhere demonstrates that mass surveillance of civil society constitutes a structural restriction on the freedom of association independently of any direct legal prohibition. The chilling effect of surveillance on associational activity is as constitutionally significant as formal dissolution or registration denial. The General Comment should establish that State surveillance of associations that is not judicially authorized, that is not necessary and proportionate, and that is conducted outside a clear legal framework violates Article 22.</w:t>
      </w:r>
    </w:p>
    <w:p w14:paraId="3A0546A3" w14:textId="77777777" w:rsidR="00605DCD" w:rsidRDefault="00605DCD">
      <w:pPr>
        <w:spacing w:line="360" w:lineRule="auto"/>
        <w:jc w:val="both"/>
        <w:rPr>
          <w:rFonts w:ascii="Times New Roman" w:eastAsia="Times New Roman" w:hAnsi="Times New Roman" w:cs="Times New Roman"/>
          <w:sz w:val="24"/>
          <w:szCs w:val="24"/>
        </w:rPr>
      </w:pPr>
    </w:p>
    <w:p w14:paraId="3A0546A4" w14:textId="77777777" w:rsidR="00605DCD" w:rsidRDefault="00000000">
      <w:pPr>
        <w:pStyle w:val="Heading2"/>
        <w:spacing w:before="0" w:after="0" w:line="360" w:lineRule="auto"/>
        <w:jc w:val="both"/>
        <w:rPr>
          <w:rFonts w:ascii="Times New Roman" w:eastAsia="Times New Roman" w:hAnsi="Times New Roman" w:cs="Times New Roman"/>
        </w:rPr>
      </w:pPr>
      <w:r>
        <w:rPr>
          <w:rFonts w:ascii="Times New Roman" w:eastAsia="Times New Roman" w:hAnsi="Times New Roman" w:cs="Times New Roman"/>
        </w:rPr>
        <w:t>E. Enhanced Protection for Environmental Defenders and Climate Movement Associations</w:t>
      </w:r>
    </w:p>
    <w:p w14:paraId="3A0546A5" w14:textId="77777777" w:rsidR="00605DCD" w:rsidRDefault="00605DCD"/>
    <w:p w14:paraId="3A0546A6" w14:textId="77777777" w:rsidR="00605DCD" w:rsidRDefault="00000000">
      <w:pPr>
        <w:spacing w:line="360" w:lineRule="auto"/>
        <w:ind w:left="540" w:hanging="540"/>
        <w:jc w:val="both"/>
        <w:rPr>
          <w:rFonts w:ascii="Times New Roman" w:eastAsia="Times New Roman" w:hAnsi="Times New Roman" w:cs="Times New Roman"/>
          <w:b/>
          <w:bCs/>
          <w:color w:val="005B7F"/>
          <w:sz w:val="24"/>
          <w:szCs w:val="24"/>
        </w:rPr>
      </w:pPr>
      <w:r>
        <w:rPr>
          <w:rFonts w:ascii="Times New Roman" w:eastAsia="Times New Roman" w:hAnsi="Times New Roman" w:cs="Times New Roman"/>
          <w:b/>
          <w:bCs/>
          <w:color w:val="005B7F"/>
          <w:sz w:val="24"/>
          <w:szCs w:val="24"/>
        </w:rPr>
        <w:t>Para. Environmental and climate movement associations:</w:t>
      </w:r>
    </w:p>
    <w:p w14:paraId="3A0546A7" w14:textId="77777777" w:rsidR="00605DCD" w:rsidRDefault="00605DCD">
      <w:pPr>
        <w:spacing w:line="360" w:lineRule="auto"/>
        <w:jc w:val="both"/>
        <w:rPr>
          <w:rFonts w:ascii="Times New Roman" w:eastAsia="Times New Roman" w:hAnsi="Times New Roman" w:cs="Times New Roman"/>
          <w:b/>
          <w:bCs/>
          <w:color w:val="005B7F"/>
          <w:sz w:val="24"/>
          <w:szCs w:val="24"/>
        </w:rPr>
      </w:pPr>
    </w:p>
    <w:p w14:paraId="3A0546A8" w14:textId="77777777" w:rsidR="00605DCD" w:rsidRDefault="00000000">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authors urge the Committee to include specific treatment of environmental defenders and climate movement associations in Draft GC No. 38. Environmental and climate defenders face a distinctive and intensifying pattern of threats: the criminalization of environmental protest through eco-terrorism designations; the use of Strategic Lawsuits Against Public Participation (SLAPPs) to silence and financially exhaust associations; physical persecution; arbitrary arrests; and the weaponization of public order and counter-terrorism frameworks against associations that are engaged in manifestly lawful advocacy on matters of urgent public interest. These patterns have been documented by ECNL, the Special Rapporteur on environmental defenders, and multiple UN human rights treaty bodies across numerous national contexts.</w:t>
      </w:r>
    </w:p>
    <w:p w14:paraId="3A0546A9" w14:textId="77777777" w:rsidR="00605DCD" w:rsidRDefault="00605DCD">
      <w:pPr>
        <w:spacing w:line="360" w:lineRule="auto"/>
        <w:ind w:left="540" w:hanging="540"/>
        <w:jc w:val="both"/>
        <w:rPr>
          <w:rFonts w:ascii="Times New Roman" w:eastAsia="Times New Roman" w:hAnsi="Times New Roman" w:cs="Times New Roman"/>
          <w:sz w:val="24"/>
          <w:szCs w:val="24"/>
        </w:rPr>
      </w:pPr>
    </w:p>
    <w:p w14:paraId="3A0546AA" w14:textId="77777777" w:rsidR="00605DCD" w:rsidRDefault="00000000">
      <w:pPr>
        <w:spacing w:line="360" w:lineRule="auto"/>
        <w:ind w:left="540" w:hanging="540"/>
        <w:jc w:val="both"/>
        <w:rPr>
          <w:rFonts w:ascii="Times New Roman" w:eastAsia="Times New Roman" w:hAnsi="Times New Roman" w:cs="Times New Roman"/>
          <w:b/>
          <w:bCs/>
          <w:color w:val="005B7F"/>
          <w:sz w:val="24"/>
          <w:szCs w:val="24"/>
        </w:rPr>
      </w:pPr>
      <w:r>
        <w:rPr>
          <w:rFonts w:ascii="Times New Roman" w:eastAsia="Times New Roman" w:hAnsi="Times New Roman" w:cs="Times New Roman"/>
          <w:b/>
          <w:bCs/>
          <w:color w:val="005B7F"/>
          <w:sz w:val="24"/>
          <w:szCs w:val="24"/>
        </w:rPr>
        <w:t>Para. Intersectionality with other ICCPR rights:</w:t>
      </w:r>
    </w:p>
    <w:p w14:paraId="3A0546AB" w14:textId="77777777" w:rsidR="00605DCD" w:rsidRDefault="00605DCD">
      <w:pPr>
        <w:spacing w:line="360" w:lineRule="auto"/>
        <w:ind w:left="540" w:hanging="540"/>
        <w:jc w:val="both"/>
        <w:rPr>
          <w:rFonts w:ascii="Times New Roman" w:eastAsia="Times New Roman" w:hAnsi="Times New Roman" w:cs="Times New Roman"/>
          <w:sz w:val="24"/>
          <w:szCs w:val="24"/>
        </w:rPr>
      </w:pPr>
    </w:p>
    <w:p w14:paraId="3A0546AC" w14:textId="77777777" w:rsidR="00605DCD"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The Committee should affirm that associations of environmental and climate defenders warrant enhanced protection under Article 22 on two grounds. First, their activity directly exercises rights protected elsewhere in the ICCPR</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freedom of expression, participation in public affairs, and the right to life to the extent that climate change constitutes a foreseeable threat to life (as the Human Rights Committee itself recognized in Teitiota v. New Zealand, </w:t>
      </w:r>
      <w:r>
        <w:rPr>
          <w:rFonts w:ascii="Times New Roman" w:eastAsia="Times New Roman" w:hAnsi="Times New Roman" w:cs="Times New Roman"/>
          <w:color w:val="000000"/>
          <w:sz w:val="24"/>
          <w:szCs w:val="24"/>
        </w:rPr>
        <w:lastRenderedPageBreak/>
        <w:t>CCPR/C/127/D/2728/2016). The restriction of these associations therefore engages multiple ICCPR obligations simultaneously. Second, the public interest character of their work</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monitoring environmental violations, advocating for climate-responsive policy, representing communities facing ecological harm</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means that their associations serve precisely the functions that a democratic society depends upon, and therefore fall squarely within the highest level of Article 22 protection.</w:t>
      </w:r>
    </w:p>
    <w:p w14:paraId="3A0546AD" w14:textId="77777777" w:rsidR="00605DCD" w:rsidRDefault="00605DCD">
      <w:pPr>
        <w:spacing w:line="360" w:lineRule="auto"/>
        <w:jc w:val="both"/>
        <w:rPr>
          <w:rFonts w:ascii="Times New Roman" w:eastAsia="Times New Roman" w:hAnsi="Times New Roman" w:cs="Times New Roman"/>
          <w:sz w:val="24"/>
          <w:szCs w:val="24"/>
        </w:rPr>
      </w:pPr>
    </w:p>
    <w:p w14:paraId="3A0546AE" w14:textId="77777777" w:rsidR="00605DCD" w:rsidRDefault="00000000">
      <w:pPr>
        <w:pStyle w:val="Heading1"/>
        <w:spacing w:before="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Recommendations for the Second Reading</w:t>
      </w:r>
    </w:p>
    <w:p w14:paraId="3A0546AF" w14:textId="77777777" w:rsidR="00605DCD" w:rsidRDefault="00605DCD"/>
    <w:p w14:paraId="3A0546B0" w14:textId="77777777" w:rsidR="00605DCD" w:rsidRDefault="00000000">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3366"/>
          <w:sz w:val="24"/>
          <w:szCs w:val="24"/>
        </w:rPr>
        <w:t xml:space="preserve">Recommendation 1: </w:t>
      </w:r>
      <w:r>
        <w:rPr>
          <w:rFonts w:ascii="Times New Roman" w:eastAsia="Times New Roman" w:hAnsi="Times New Roman" w:cs="Times New Roman"/>
          <w:b/>
          <w:bCs/>
          <w:i/>
          <w:iCs/>
          <w:color w:val="005B7F"/>
          <w:sz w:val="24"/>
          <w:szCs w:val="24"/>
        </w:rPr>
        <w:t xml:space="preserve">Scope of protected associations - </w:t>
      </w:r>
      <w:r>
        <w:rPr>
          <w:rFonts w:ascii="Times New Roman" w:eastAsia="Times New Roman" w:hAnsi="Times New Roman" w:cs="Times New Roman"/>
          <w:color w:val="000000"/>
          <w:sz w:val="24"/>
          <w:szCs w:val="24"/>
        </w:rPr>
        <w:t>The draft should state, in explicit terms, that Article 22 protection extends to all associations regardless of legal personality, registration status, formal structure, or mode of operation</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including informal networks, social movements, and digitally constituted associations. The acquisition of legal personality is a consequence, not a precondition, of the right.</w:t>
      </w:r>
    </w:p>
    <w:p w14:paraId="3A0546B1" w14:textId="77777777" w:rsidR="00605DCD" w:rsidRDefault="00605DCD">
      <w:pPr>
        <w:spacing w:line="360" w:lineRule="auto"/>
        <w:jc w:val="both"/>
        <w:rPr>
          <w:rFonts w:ascii="Times New Roman" w:eastAsia="Times New Roman" w:hAnsi="Times New Roman" w:cs="Times New Roman"/>
          <w:sz w:val="24"/>
          <w:szCs w:val="24"/>
        </w:rPr>
      </w:pPr>
    </w:p>
    <w:p w14:paraId="3A0546B2" w14:textId="77777777" w:rsidR="00605DCD" w:rsidRDefault="00000000">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3366"/>
          <w:sz w:val="24"/>
          <w:szCs w:val="24"/>
        </w:rPr>
        <w:t xml:space="preserve">Recommendation 2: </w:t>
      </w:r>
      <w:r>
        <w:rPr>
          <w:rFonts w:ascii="Times New Roman" w:eastAsia="Times New Roman" w:hAnsi="Times New Roman" w:cs="Times New Roman"/>
          <w:b/>
          <w:bCs/>
          <w:i/>
          <w:iCs/>
          <w:color w:val="005B7F"/>
          <w:sz w:val="24"/>
          <w:szCs w:val="24"/>
        </w:rPr>
        <w:t xml:space="preserve">Positive obligation - enabling environment - </w:t>
      </w:r>
      <w:r>
        <w:rPr>
          <w:rFonts w:ascii="Times New Roman" w:eastAsia="Times New Roman" w:hAnsi="Times New Roman" w:cs="Times New Roman"/>
          <w:color w:val="000000"/>
          <w:sz w:val="24"/>
          <w:szCs w:val="24"/>
        </w:rPr>
        <w:t>The draft should include a dedicated section on the State's positive obligation to create, maintain, and protect an enabling environment for the exercise of freedom of association. This should encompass legal and administrative frameworks, access to funding, access to justice, protection from reprisals, and inclusion of associations in public decision-making processes.</w:t>
      </w:r>
    </w:p>
    <w:p w14:paraId="3A0546B3" w14:textId="77777777" w:rsidR="00605DCD" w:rsidRDefault="00605DCD">
      <w:pPr>
        <w:spacing w:line="360" w:lineRule="auto"/>
        <w:jc w:val="both"/>
        <w:rPr>
          <w:rFonts w:ascii="Times New Roman" w:eastAsia="Times New Roman" w:hAnsi="Times New Roman" w:cs="Times New Roman"/>
          <w:sz w:val="24"/>
          <w:szCs w:val="24"/>
        </w:rPr>
      </w:pPr>
    </w:p>
    <w:p w14:paraId="3A0546B4" w14:textId="77777777" w:rsidR="00605DCD"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3366"/>
          <w:sz w:val="24"/>
          <w:szCs w:val="24"/>
        </w:rPr>
        <w:t xml:space="preserve">Recommendation 3: </w:t>
      </w:r>
      <w:r>
        <w:rPr>
          <w:rFonts w:ascii="Times New Roman" w:eastAsia="Times New Roman" w:hAnsi="Times New Roman" w:cs="Times New Roman"/>
          <w:b/>
          <w:bCs/>
          <w:i/>
          <w:iCs/>
          <w:color w:val="005B7F"/>
          <w:sz w:val="24"/>
          <w:szCs w:val="24"/>
        </w:rPr>
        <w:t xml:space="preserve">Burden of justification - </w:t>
      </w:r>
      <w:r>
        <w:rPr>
          <w:rFonts w:ascii="Times New Roman" w:eastAsia="Times New Roman" w:hAnsi="Times New Roman" w:cs="Times New Roman"/>
          <w:color w:val="000000"/>
          <w:sz w:val="24"/>
          <w:szCs w:val="24"/>
        </w:rPr>
        <w:t>The draft should explicitly place the burden of establishing the necessity and proportionality of any restriction on the State. The presumption must run in favour of the right. For the most severe restrictions</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dissolution, prohibition of formation, criminal prosecution of membership</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the State must demonstrate real, not merely speculative, necessity by reference to evidence rather than legislative purpose.</w:t>
      </w:r>
    </w:p>
    <w:p w14:paraId="3A0546B5" w14:textId="77777777" w:rsidR="00605DCD" w:rsidRDefault="00605DCD">
      <w:pPr>
        <w:spacing w:line="360" w:lineRule="auto"/>
        <w:jc w:val="both"/>
        <w:rPr>
          <w:rFonts w:ascii="Times New Roman" w:eastAsia="Times New Roman" w:hAnsi="Times New Roman" w:cs="Times New Roman"/>
          <w:b/>
          <w:bCs/>
          <w:color w:val="003366"/>
          <w:sz w:val="24"/>
          <w:szCs w:val="24"/>
        </w:rPr>
      </w:pPr>
    </w:p>
    <w:p w14:paraId="3A0546B6" w14:textId="77777777" w:rsidR="00605DCD"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3366"/>
          <w:sz w:val="24"/>
          <w:szCs w:val="24"/>
        </w:rPr>
        <w:t xml:space="preserve">Recommendation 4: </w:t>
      </w:r>
      <w:r>
        <w:rPr>
          <w:rFonts w:ascii="Times New Roman" w:eastAsia="Times New Roman" w:hAnsi="Times New Roman" w:cs="Times New Roman"/>
          <w:b/>
          <w:bCs/>
          <w:i/>
          <w:iCs/>
          <w:color w:val="005B7F"/>
          <w:sz w:val="24"/>
          <w:szCs w:val="24"/>
        </w:rPr>
        <w:t xml:space="preserve">Anti-NGO and foreign agent laws - </w:t>
      </w:r>
      <w:r>
        <w:rPr>
          <w:rFonts w:ascii="Times New Roman" w:eastAsia="Times New Roman" w:hAnsi="Times New Roman" w:cs="Times New Roman"/>
          <w:color w:val="000000"/>
          <w:sz w:val="24"/>
          <w:szCs w:val="24"/>
        </w:rPr>
        <w:t>The draft should include specific paragraphs analyzing 'foreign agent'-type legislation, finding that mandatory stigmatizing designations imposed on associations receiving foreign funding, in the absence of evidence of specific harm to a legitimately enumerated aim, fail to satisfy the three-part test under Article 22(2). Access to foreign funding is a protected component of the right to freedom of association.</w:t>
      </w:r>
    </w:p>
    <w:p w14:paraId="3A0546B7" w14:textId="77777777" w:rsidR="00605DCD" w:rsidRDefault="00605DCD">
      <w:pPr>
        <w:spacing w:line="360" w:lineRule="auto"/>
        <w:jc w:val="both"/>
        <w:rPr>
          <w:rFonts w:ascii="Times New Roman" w:eastAsia="Times New Roman" w:hAnsi="Times New Roman" w:cs="Times New Roman"/>
          <w:b/>
          <w:bCs/>
          <w:color w:val="003366"/>
          <w:sz w:val="24"/>
          <w:szCs w:val="24"/>
        </w:rPr>
      </w:pPr>
    </w:p>
    <w:p w14:paraId="3A0546B8" w14:textId="77777777" w:rsidR="00605DCD"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3366"/>
          <w:sz w:val="24"/>
          <w:szCs w:val="24"/>
        </w:rPr>
        <w:lastRenderedPageBreak/>
        <w:t xml:space="preserve">Recommendation 5: </w:t>
      </w:r>
      <w:r>
        <w:rPr>
          <w:rFonts w:ascii="Times New Roman" w:eastAsia="Times New Roman" w:hAnsi="Times New Roman" w:cs="Times New Roman"/>
          <w:b/>
          <w:bCs/>
          <w:i/>
          <w:iCs/>
          <w:color w:val="005B7F"/>
          <w:sz w:val="24"/>
          <w:szCs w:val="24"/>
        </w:rPr>
        <w:t xml:space="preserve">Digital associations and surveillance - </w:t>
      </w:r>
      <w:r>
        <w:rPr>
          <w:rFonts w:ascii="Times New Roman" w:eastAsia="Times New Roman" w:hAnsi="Times New Roman" w:cs="Times New Roman"/>
          <w:color w:val="000000"/>
          <w:sz w:val="24"/>
          <w:szCs w:val="24"/>
        </w:rPr>
        <w:t>The draft should affirm that freedom of association applies without restriction to associations constituted in or operating through digital spaces, and that State surveillance of associations</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absent judicial authorization, legal basis, and proportionality</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constitutes an interference with Article 22 giving rise to State responsibility.</w:t>
      </w:r>
    </w:p>
    <w:p w14:paraId="3A0546B9" w14:textId="77777777" w:rsidR="00605DCD" w:rsidRDefault="00605DCD">
      <w:pPr>
        <w:spacing w:line="360" w:lineRule="auto"/>
        <w:jc w:val="both"/>
        <w:rPr>
          <w:rFonts w:ascii="Times New Roman" w:eastAsia="Times New Roman" w:hAnsi="Times New Roman" w:cs="Times New Roman"/>
          <w:b/>
          <w:bCs/>
          <w:color w:val="003366"/>
          <w:sz w:val="24"/>
          <w:szCs w:val="24"/>
        </w:rPr>
      </w:pPr>
    </w:p>
    <w:p w14:paraId="3A0546BA" w14:textId="77777777" w:rsidR="00605DCD"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3366"/>
          <w:sz w:val="24"/>
          <w:szCs w:val="24"/>
        </w:rPr>
        <w:t xml:space="preserve">Recommendation 6: </w:t>
      </w:r>
      <w:r>
        <w:rPr>
          <w:rFonts w:ascii="Times New Roman" w:eastAsia="Times New Roman" w:hAnsi="Times New Roman" w:cs="Times New Roman"/>
          <w:b/>
          <w:bCs/>
          <w:i/>
          <w:iCs/>
          <w:color w:val="005B7F"/>
          <w:sz w:val="24"/>
          <w:szCs w:val="24"/>
        </w:rPr>
        <w:t xml:space="preserve">Environmental defenders - </w:t>
      </w:r>
      <w:r>
        <w:rPr>
          <w:rFonts w:ascii="Times New Roman" w:eastAsia="Times New Roman" w:hAnsi="Times New Roman" w:cs="Times New Roman"/>
          <w:color w:val="000000"/>
          <w:sz w:val="24"/>
          <w:szCs w:val="24"/>
        </w:rPr>
        <w:t>The draft should include enhanced protection for environmental and climate movement associations, recognizing the distinctive pattern of threats they face and the public interest character of their work. SLAPPs, eco-terrorism designations, and the application of counter-terrorism frameworks to environmental associations should be identified as paradigm cases of unjustifiable restrictions on freedom of association.</w:t>
      </w:r>
    </w:p>
    <w:p w14:paraId="3A0546BB" w14:textId="77777777" w:rsidR="00605DCD" w:rsidRDefault="00605DCD">
      <w:pPr>
        <w:pBdr>
          <w:bottom w:val="single" w:sz="6" w:space="1" w:color="003366"/>
        </w:pBdr>
        <w:spacing w:line="360" w:lineRule="auto"/>
        <w:jc w:val="both"/>
        <w:rPr>
          <w:rFonts w:ascii="Times New Roman" w:eastAsia="Times New Roman" w:hAnsi="Times New Roman" w:cs="Times New Roman"/>
          <w:sz w:val="24"/>
          <w:szCs w:val="24"/>
        </w:rPr>
      </w:pPr>
    </w:p>
    <w:p w14:paraId="3A0546BC" w14:textId="77777777" w:rsidR="00605DCD" w:rsidRDefault="00605DCD">
      <w:pPr>
        <w:spacing w:line="360" w:lineRule="auto"/>
        <w:jc w:val="both"/>
        <w:rPr>
          <w:rFonts w:ascii="Times New Roman" w:eastAsia="Times New Roman" w:hAnsi="Times New Roman" w:cs="Times New Roman"/>
          <w:sz w:val="24"/>
          <w:szCs w:val="24"/>
        </w:rPr>
      </w:pPr>
    </w:p>
    <w:p w14:paraId="3A0546BD" w14:textId="77777777" w:rsidR="00605DCD" w:rsidRDefault="00000000">
      <w:pPr>
        <w:pStyle w:val="Heading1"/>
        <w:spacing w:before="0" w:after="0" w:line="360" w:lineRule="auto"/>
        <w:jc w:val="both"/>
        <w:rPr>
          <w:rFonts w:ascii="Times New Roman" w:eastAsia="Times New Roman" w:hAnsi="Times New Roman" w:cs="Times New Roman"/>
          <w:sz w:val="24"/>
          <w:szCs w:val="24"/>
        </w:rPr>
      </w:pPr>
      <w:bookmarkStart w:id="17" w:name="_heading=h.63m8g8jzx5jy" w:colFirst="0" w:colLast="0"/>
      <w:bookmarkEnd w:id="17"/>
      <w:r>
        <w:rPr>
          <w:rFonts w:ascii="Times New Roman" w:eastAsia="Times New Roman" w:hAnsi="Times New Roman" w:cs="Times New Roman"/>
          <w:sz w:val="24"/>
          <w:szCs w:val="24"/>
        </w:rPr>
        <w:t>REFERENCES</w:t>
      </w:r>
    </w:p>
    <w:p w14:paraId="3A0546BE" w14:textId="77777777" w:rsidR="00605DCD" w:rsidRDefault="00605DCD"/>
    <w:p w14:paraId="3A0546BF" w14:textId="77777777" w:rsidR="00605DCD" w:rsidRDefault="00000000">
      <w:pPr>
        <w:spacing w:line="360" w:lineRule="auto"/>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b/>
          <w:bCs/>
          <w:color w:val="005B7F"/>
          <w:sz w:val="24"/>
          <w:szCs w:val="24"/>
        </w:rPr>
        <w:t xml:space="preserve">[1]  </w:t>
      </w:r>
      <w:r>
        <w:rPr>
          <w:rFonts w:ascii="Times New Roman" w:eastAsia="Times New Roman" w:hAnsi="Times New Roman" w:cs="Times New Roman"/>
          <w:color w:val="4A4A4A"/>
          <w:sz w:val="24"/>
          <w:szCs w:val="24"/>
        </w:rPr>
        <w:t>International Covenant on Civil and Political Rights, Art. 22. Opened for signature 16 December 1966, 999 UNTS 171 (entered into force 23 March 1976).</w:t>
      </w:r>
    </w:p>
    <w:p w14:paraId="3A0546C0" w14:textId="77777777" w:rsidR="00605DCD" w:rsidRDefault="00000000">
      <w:pPr>
        <w:spacing w:line="360" w:lineRule="auto"/>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b/>
          <w:bCs/>
          <w:color w:val="005B7F"/>
          <w:sz w:val="24"/>
          <w:szCs w:val="24"/>
        </w:rPr>
        <w:t xml:space="preserve">[2]  </w:t>
      </w:r>
      <w:r>
        <w:rPr>
          <w:rFonts w:ascii="Times New Roman" w:eastAsia="Times New Roman" w:hAnsi="Times New Roman" w:cs="Times New Roman"/>
          <w:color w:val="4A4A4A"/>
          <w:sz w:val="24"/>
          <w:szCs w:val="24"/>
        </w:rPr>
        <w:t>UN Human Rights Committee. Farah v. Djibouti. CCPR/C/130/D/3593/2019. Views of 4 November 2020.</w:t>
      </w:r>
    </w:p>
    <w:p w14:paraId="3A0546C1" w14:textId="77777777" w:rsidR="00605DCD" w:rsidRDefault="00000000">
      <w:pPr>
        <w:spacing w:line="360" w:lineRule="auto"/>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b/>
          <w:bCs/>
          <w:color w:val="005B7F"/>
          <w:sz w:val="24"/>
          <w:szCs w:val="24"/>
        </w:rPr>
        <w:t xml:space="preserve">[3]  </w:t>
      </w:r>
      <w:r>
        <w:rPr>
          <w:rFonts w:ascii="Times New Roman" w:eastAsia="Times New Roman" w:hAnsi="Times New Roman" w:cs="Times New Roman"/>
          <w:color w:val="4A4A4A"/>
          <w:sz w:val="24"/>
          <w:szCs w:val="24"/>
        </w:rPr>
        <w:t>UN Human Rights Committee. Saidov v. Tajikistan. CCPR/C/122/D/2680/2015. Views adopted 2018.</w:t>
      </w:r>
    </w:p>
    <w:p w14:paraId="3A0546C2" w14:textId="77777777" w:rsidR="00605DCD" w:rsidRDefault="00000000">
      <w:pPr>
        <w:spacing w:line="360" w:lineRule="auto"/>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b/>
          <w:bCs/>
          <w:color w:val="005B7F"/>
          <w:sz w:val="24"/>
          <w:szCs w:val="24"/>
        </w:rPr>
        <w:t xml:space="preserve">[4]  </w:t>
      </w:r>
      <w:r>
        <w:rPr>
          <w:rFonts w:ascii="Times New Roman" w:eastAsia="Times New Roman" w:hAnsi="Times New Roman" w:cs="Times New Roman"/>
          <w:color w:val="4A4A4A"/>
          <w:sz w:val="24"/>
          <w:szCs w:val="24"/>
        </w:rPr>
        <w:t>UN Human Rights Committee. Belyatsky and others v. Belarus. CCPR/C/90/D/1296/2004. Views of 24 July 2007.</w:t>
      </w:r>
    </w:p>
    <w:p w14:paraId="3A0546C3" w14:textId="77777777" w:rsidR="00605DCD" w:rsidRDefault="00000000">
      <w:pPr>
        <w:spacing w:line="360" w:lineRule="auto"/>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b/>
          <w:bCs/>
          <w:color w:val="005B7F"/>
          <w:sz w:val="24"/>
          <w:szCs w:val="24"/>
        </w:rPr>
        <w:t xml:space="preserve">[5]  </w:t>
      </w:r>
      <w:r>
        <w:rPr>
          <w:rFonts w:ascii="Times New Roman" w:eastAsia="Times New Roman" w:hAnsi="Times New Roman" w:cs="Times New Roman"/>
          <w:color w:val="4A4A4A"/>
          <w:sz w:val="24"/>
          <w:szCs w:val="24"/>
        </w:rPr>
        <w:t>UN Human Rights Committee. Vladimir Katsora and others v. Belarus. CCPR/C/100/D/1838/2005. Views of 31 October 2010.</w:t>
      </w:r>
    </w:p>
    <w:p w14:paraId="3A0546C4" w14:textId="77777777" w:rsidR="00605DCD" w:rsidRDefault="00000000">
      <w:pPr>
        <w:spacing w:line="360" w:lineRule="auto"/>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b/>
          <w:bCs/>
          <w:color w:val="005B7F"/>
          <w:sz w:val="24"/>
          <w:szCs w:val="24"/>
        </w:rPr>
        <w:t xml:space="preserve">[6]  </w:t>
      </w:r>
      <w:r>
        <w:rPr>
          <w:rFonts w:ascii="Times New Roman" w:eastAsia="Times New Roman" w:hAnsi="Times New Roman" w:cs="Times New Roman"/>
          <w:color w:val="4A4A4A"/>
          <w:sz w:val="24"/>
          <w:szCs w:val="24"/>
        </w:rPr>
        <w:t>UN Human Rights Committee. Teitiota v. New Zealand. CCPR/C/127/D/2728/2016. Views of 23 September 2020.</w:t>
      </w:r>
    </w:p>
    <w:p w14:paraId="3A0546C5" w14:textId="77777777" w:rsidR="00605DCD" w:rsidRDefault="00000000">
      <w:pPr>
        <w:spacing w:line="360" w:lineRule="auto"/>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b/>
          <w:bCs/>
          <w:color w:val="005B7F"/>
          <w:sz w:val="24"/>
          <w:szCs w:val="24"/>
        </w:rPr>
        <w:t xml:space="preserve">[7]  </w:t>
      </w:r>
      <w:r>
        <w:rPr>
          <w:rFonts w:ascii="Times New Roman" w:eastAsia="Times New Roman" w:hAnsi="Times New Roman" w:cs="Times New Roman"/>
          <w:color w:val="4A4A4A"/>
          <w:sz w:val="24"/>
          <w:szCs w:val="24"/>
        </w:rPr>
        <w:t>UN Human Rights Committee. General Comment No. 34 on Article 19 (Freedoms of opinion and expression). CCPR/C/GC/34. 12 September 2011.</w:t>
      </w:r>
    </w:p>
    <w:p w14:paraId="3A0546C6" w14:textId="77777777" w:rsidR="00605DCD" w:rsidRDefault="00000000">
      <w:pPr>
        <w:spacing w:line="360" w:lineRule="auto"/>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b/>
          <w:bCs/>
          <w:color w:val="005B7F"/>
          <w:sz w:val="24"/>
          <w:szCs w:val="24"/>
        </w:rPr>
        <w:t xml:space="preserve">[8]  </w:t>
      </w:r>
      <w:r>
        <w:rPr>
          <w:rFonts w:ascii="Times New Roman" w:eastAsia="Times New Roman" w:hAnsi="Times New Roman" w:cs="Times New Roman"/>
          <w:color w:val="4A4A4A"/>
          <w:sz w:val="24"/>
          <w:szCs w:val="24"/>
        </w:rPr>
        <w:t>UN Human Rights Committee. General Comment No. 37 on Article 21 (Right of peaceful assembly). CCPR/C/GC/37. 17 September 2020.</w:t>
      </w:r>
    </w:p>
    <w:p w14:paraId="3A0546C7" w14:textId="77777777" w:rsidR="00605DCD" w:rsidRDefault="00000000">
      <w:pPr>
        <w:spacing w:line="360" w:lineRule="auto"/>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b/>
          <w:bCs/>
          <w:color w:val="005B7F"/>
          <w:sz w:val="24"/>
          <w:szCs w:val="24"/>
        </w:rPr>
        <w:t xml:space="preserve">[9]  </w:t>
      </w:r>
      <w:r>
        <w:rPr>
          <w:rFonts w:ascii="Times New Roman" w:eastAsia="Times New Roman" w:hAnsi="Times New Roman" w:cs="Times New Roman"/>
          <w:color w:val="4A4A4A"/>
          <w:sz w:val="24"/>
          <w:szCs w:val="24"/>
        </w:rPr>
        <w:t>Siracusa Principles on the Limitation and Derogation Provisions in the ICCPR. UN Doc. E/CN.4/1985/4, Annex. 1985.</w:t>
      </w:r>
    </w:p>
    <w:p w14:paraId="3A0546C8" w14:textId="77777777" w:rsidR="00605DCD" w:rsidRDefault="00000000">
      <w:pPr>
        <w:spacing w:line="360" w:lineRule="auto"/>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b/>
          <w:bCs/>
          <w:color w:val="005B7F"/>
          <w:sz w:val="24"/>
          <w:szCs w:val="24"/>
        </w:rPr>
        <w:lastRenderedPageBreak/>
        <w:t xml:space="preserve">[10]  </w:t>
      </w:r>
      <w:r>
        <w:rPr>
          <w:rFonts w:ascii="Times New Roman" w:eastAsia="Times New Roman" w:hAnsi="Times New Roman" w:cs="Times New Roman"/>
          <w:color w:val="4A4A4A"/>
          <w:sz w:val="24"/>
          <w:szCs w:val="24"/>
        </w:rPr>
        <w:t>Special Rapporteur on the rights to freedom of peaceful assembly and of association (Maina Kiai). Report. A/HRC/23/39. 24 April 2013.</w:t>
      </w:r>
    </w:p>
    <w:p w14:paraId="3A0546C9" w14:textId="77777777" w:rsidR="00605DCD" w:rsidRDefault="00000000">
      <w:pPr>
        <w:spacing w:line="360" w:lineRule="auto"/>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b/>
          <w:bCs/>
          <w:color w:val="005B7F"/>
          <w:sz w:val="24"/>
          <w:szCs w:val="24"/>
        </w:rPr>
        <w:t xml:space="preserve">[11]  </w:t>
      </w:r>
      <w:r>
        <w:rPr>
          <w:rFonts w:ascii="Times New Roman" w:eastAsia="Times New Roman" w:hAnsi="Times New Roman" w:cs="Times New Roman"/>
          <w:color w:val="4A4A4A"/>
          <w:sz w:val="24"/>
          <w:szCs w:val="24"/>
        </w:rPr>
        <w:t>Special Rapporteur on the rights to freedom of peaceful assembly and of association. Report on civil society funding. A/74/349. 11 September 2019.</w:t>
      </w:r>
    </w:p>
    <w:p w14:paraId="3A0546CA" w14:textId="77777777" w:rsidR="00605DCD" w:rsidRDefault="00000000">
      <w:pPr>
        <w:spacing w:line="360" w:lineRule="auto"/>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b/>
          <w:bCs/>
          <w:color w:val="005B7F"/>
          <w:sz w:val="24"/>
          <w:szCs w:val="24"/>
        </w:rPr>
        <w:t xml:space="preserve">[12]  </w:t>
      </w:r>
      <w:r>
        <w:rPr>
          <w:rFonts w:ascii="Times New Roman" w:eastAsia="Times New Roman" w:hAnsi="Times New Roman" w:cs="Times New Roman"/>
          <w:color w:val="4A4A4A"/>
          <w:sz w:val="24"/>
          <w:szCs w:val="24"/>
        </w:rPr>
        <w:t>Special Rapporteur on the rights to freedom of peaceful assembly and of association (Gina Romero). Joint statement on urgent protection of civic space amid global uptick in foreign agent laws. OHCHR. September 2024.</w:t>
      </w:r>
    </w:p>
    <w:p w14:paraId="3A0546CB" w14:textId="77777777" w:rsidR="00605DCD" w:rsidRDefault="00000000">
      <w:pPr>
        <w:spacing w:line="360" w:lineRule="auto"/>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b/>
          <w:bCs/>
          <w:color w:val="005B7F"/>
          <w:sz w:val="24"/>
          <w:szCs w:val="24"/>
        </w:rPr>
        <w:t xml:space="preserve">[13]  </w:t>
      </w:r>
      <w:r>
        <w:rPr>
          <w:rFonts w:ascii="Times New Roman" w:eastAsia="Times New Roman" w:hAnsi="Times New Roman" w:cs="Times New Roman"/>
          <w:color w:val="4A4A4A"/>
          <w:sz w:val="24"/>
          <w:szCs w:val="24"/>
        </w:rPr>
        <w:t>Joint Declaration on Freedom of Peaceful Assembly and of Association in Digital Technologies. UN and regional Special Rapporteurs. OHCHR. 15 September 2023.</w:t>
      </w:r>
    </w:p>
    <w:p w14:paraId="3A0546CC" w14:textId="77777777" w:rsidR="00605DCD" w:rsidRDefault="00000000">
      <w:pPr>
        <w:spacing w:line="360" w:lineRule="auto"/>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b/>
          <w:bCs/>
          <w:color w:val="005B7F"/>
          <w:sz w:val="24"/>
          <w:szCs w:val="24"/>
        </w:rPr>
        <w:t xml:space="preserve">[14]  </w:t>
      </w:r>
      <w:r>
        <w:rPr>
          <w:rFonts w:ascii="Times New Roman" w:eastAsia="Times New Roman" w:hAnsi="Times New Roman" w:cs="Times New Roman"/>
          <w:color w:val="4A4A4A"/>
          <w:sz w:val="24"/>
          <w:szCs w:val="24"/>
        </w:rPr>
        <w:t>INCLO. Written Submission for Draft General Comment No. 38. December 2025. (OHCHR published submission, INCLO-NCLO.)</w:t>
      </w:r>
    </w:p>
    <w:p w14:paraId="3A0546CD" w14:textId="77777777" w:rsidR="00605DCD" w:rsidRDefault="00000000">
      <w:pPr>
        <w:spacing w:line="360" w:lineRule="auto"/>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b/>
          <w:bCs/>
          <w:color w:val="005B7F"/>
          <w:sz w:val="24"/>
          <w:szCs w:val="24"/>
        </w:rPr>
        <w:t xml:space="preserve">[15]  </w:t>
      </w:r>
      <w:r>
        <w:rPr>
          <w:rFonts w:ascii="Times New Roman" w:eastAsia="Times New Roman" w:hAnsi="Times New Roman" w:cs="Times New Roman"/>
          <w:color w:val="4A4A4A"/>
          <w:sz w:val="24"/>
          <w:szCs w:val="24"/>
        </w:rPr>
        <w:t>ECNL &amp; ICNL. Relevant Sources of Law on Article 22 ICCPR. 2023.</w:t>
      </w:r>
    </w:p>
    <w:p w14:paraId="3A0546CE" w14:textId="77777777" w:rsidR="00605DCD" w:rsidRDefault="00000000">
      <w:pPr>
        <w:spacing w:line="360" w:lineRule="auto"/>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b/>
          <w:bCs/>
          <w:color w:val="005B7F"/>
          <w:sz w:val="24"/>
          <w:szCs w:val="24"/>
        </w:rPr>
        <w:t xml:space="preserve">[16]  </w:t>
      </w:r>
      <w:r>
        <w:rPr>
          <w:rFonts w:ascii="Times New Roman" w:eastAsia="Times New Roman" w:hAnsi="Times New Roman" w:cs="Times New Roman"/>
          <w:color w:val="4A4A4A"/>
          <w:sz w:val="24"/>
          <w:szCs w:val="24"/>
        </w:rPr>
        <w:t>CIVICUS. Foreign Agents Laws Go Global — 2024–2025. CIVICUS Publications. 2025.</w:t>
      </w:r>
    </w:p>
    <w:p w14:paraId="3A0546CF" w14:textId="77777777" w:rsidR="00605DCD" w:rsidRDefault="00000000">
      <w:pPr>
        <w:spacing w:line="360" w:lineRule="auto"/>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b/>
          <w:bCs/>
          <w:color w:val="005B7F"/>
          <w:sz w:val="24"/>
          <w:szCs w:val="24"/>
        </w:rPr>
        <w:t xml:space="preserve">[17]  </w:t>
      </w:r>
      <w:r>
        <w:rPr>
          <w:rFonts w:ascii="Times New Roman" w:eastAsia="Times New Roman" w:hAnsi="Times New Roman" w:cs="Times New Roman"/>
          <w:color w:val="4A4A4A"/>
          <w:sz w:val="24"/>
          <w:szCs w:val="24"/>
        </w:rPr>
        <w:t>Freedom House. Foundations of Freedom: Civic Space. October 2025.</w:t>
      </w:r>
    </w:p>
    <w:p w14:paraId="3A0546D0" w14:textId="77777777" w:rsidR="00605DCD" w:rsidRDefault="00000000">
      <w:pPr>
        <w:spacing w:line="360" w:lineRule="auto"/>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b/>
          <w:bCs/>
          <w:color w:val="005B7F"/>
          <w:sz w:val="24"/>
          <w:szCs w:val="24"/>
        </w:rPr>
        <w:t xml:space="preserve">[18]  </w:t>
      </w:r>
      <w:r>
        <w:rPr>
          <w:rFonts w:ascii="Times New Roman" w:eastAsia="Times New Roman" w:hAnsi="Times New Roman" w:cs="Times New Roman"/>
          <w:color w:val="4A4A4A"/>
          <w:sz w:val="24"/>
          <w:szCs w:val="24"/>
        </w:rPr>
        <w:t>ICNL. Civic Freedom Monitor: El Salvador. Updated May 2025.</w:t>
      </w:r>
    </w:p>
    <w:p w14:paraId="3A0546D1" w14:textId="77777777" w:rsidR="00605DCD" w:rsidRDefault="00000000">
      <w:pPr>
        <w:spacing w:line="360" w:lineRule="auto"/>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b/>
          <w:bCs/>
          <w:color w:val="005B7F"/>
          <w:sz w:val="24"/>
          <w:szCs w:val="24"/>
        </w:rPr>
        <w:t xml:space="preserve">[19]  </w:t>
      </w:r>
      <w:r>
        <w:rPr>
          <w:rFonts w:ascii="Times New Roman" w:eastAsia="Times New Roman" w:hAnsi="Times New Roman" w:cs="Times New Roman"/>
          <w:color w:val="4A4A4A"/>
          <w:sz w:val="24"/>
          <w:szCs w:val="24"/>
        </w:rPr>
        <w:t>ICNL. Civic Freedom Monitor: Kyrgyz Republic. Updated March 2026.</w:t>
      </w:r>
    </w:p>
    <w:p w14:paraId="3A0546D2" w14:textId="77777777" w:rsidR="00605DCD" w:rsidRDefault="00000000">
      <w:pPr>
        <w:spacing w:line="360" w:lineRule="auto"/>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b/>
          <w:bCs/>
          <w:color w:val="005B7F"/>
          <w:sz w:val="24"/>
          <w:szCs w:val="24"/>
        </w:rPr>
        <w:t xml:space="preserve">[20]  </w:t>
      </w:r>
      <w:r>
        <w:rPr>
          <w:rFonts w:ascii="Times New Roman" w:eastAsia="Times New Roman" w:hAnsi="Times New Roman" w:cs="Times New Roman"/>
          <w:color w:val="4A4A4A"/>
          <w:sz w:val="24"/>
          <w:szCs w:val="24"/>
        </w:rPr>
        <w:t>New York City Bar Association. Statement of Concern on El Salvador Foreign Agents Law. July 2025.</w:t>
      </w:r>
    </w:p>
    <w:p w14:paraId="3A0546D3" w14:textId="77777777" w:rsidR="00605DCD" w:rsidRDefault="00000000">
      <w:pPr>
        <w:spacing w:line="360" w:lineRule="auto"/>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b/>
          <w:bCs/>
          <w:color w:val="005B7F"/>
          <w:sz w:val="24"/>
          <w:szCs w:val="24"/>
        </w:rPr>
        <w:t xml:space="preserve">[21]  </w:t>
      </w:r>
      <w:r>
        <w:rPr>
          <w:rFonts w:ascii="Times New Roman" w:eastAsia="Times New Roman" w:hAnsi="Times New Roman" w:cs="Times New Roman"/>
          <w:color w:val="4A4A4A"/>
          <w:sz w:val="24"/>
          <w:szCs w:val="24"/>
        </w:rPr>
        <w:t>ECNL. International Standards Protecting Climate Defenders. Updated 2024.</w:t>
      </w:r>
    </w:p>
    <w:p w14:paraId="3A0546D4" w14:textId="77777777" w:rsidR="00605DCD" w:rsidRDefault="00000000">
      <w:pPr>
        <w:spacing w:line="360" w:lineRule="auto"/>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b/>
          <w:bCs/>
          <w:color w:val="005B7F"/>
          <w:sz w:val="24"/>
          <w:szCs w:val="24"/>
        </w:rPr>
        <w:t xml:space="preserve">[22]  </w:t>
      </w:r>
      <w:r>
        <w:rPr>
          <w:rFonts w:ascii="Times New Roman" w:eastAsia="Times New Roman" w:hAnsi="Times New Roman" w:cs="Times New Roman"/>
          <w:color w:val="4A4A4A"/>
          <w:sz w:val="24"/>
          <w:szCs w:val="24"/>
        </w:rPr>
        <w:t>European Parliament, Policy Department. Protecting Civil Society Space: Strengthening Freedom of Association, Assembly and Expression. IPOL_STU(2020)659660. 2020.</w:t>
      </w:r>
    </w:p>
    <w:p w14:paraId="3A0546D5" w14:textId="77777777" w:rsidR="00605DCD" w:rsidRDefault="00000000">
      <w:pPr>
        <w:spacing w:line="360" w:lineRule="auto"/>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b/>
          <w:bCs/>
          <w:color w:val="005B7F"/>
          <w:sz w:val="24"/>
          <w:szCs w:val="24"/>
        </w:rPr>
        <w:t xml:space="preserve">[23]  </w:t>
      </w:r>
      <w:r>
        <w:rPr>
          <w:rFonts w:ascii="Times New Roman" w:eastAsia="Times New Roman" w:hAnsi="Times New Roman" w:cs="Times New Roman"/>
          <w:color w:val="4A4A4A"/>
          <w:sz w:val="24"/>
          <w:szCs w:val="24"/>
        </w:rPr>
        <w:t>UN Human Rights Committee. Call for Input — Draft General Comment No. 38 on Article 22 ICCPR. OHCHR. July 2025 / April 2026.</w:t>
      </w:r>
    </w:p>
    <w:p w14:paraId="3A0546D6" w14:textId="77777777" w:rsidR="00605DCD" w:rsidRDefault="00605DCD">
      <w:pPr>
        <w:pBdr>
          <w:bottom w:val="single" w:sz="4" w:space="1" w:color="005B7F"/>
        </w:pBdr>
        <w:spacing w:line="360" w:lineRule="auto"/>
        <w:jc w:val="both"/>
        <w:rPr>
          <w:rFonts w:ascii="Times New Roman" w:eastAsia="Times New Roman" w:hAnsi="Times New Roman" w:cs="Times New Roman"/>
          <w:sz w:val="24"/>
          <w:szCs w:val="24"/>
        </w:rPr>
      </w:pPr>
    </w:p>
    <w:p w14:paraId="3A0546D7" w14:textId="77777777" w:rsidR="00605DCD" w:rsidRDefault="00605DCD">
      <w:pPr>
        <w:spacing w:line="360" w:lineRule="auto"/>
        <w:jc w:val="center"/>
        <w:rPr>
          <w:rFonts w:ascii="Times New Roman" w:eastAsia="Times New Roman" w:hAnsi="Times New Roman" w:cs="Times New Roman"/>
          <w:i/>
          <w:iCs/>
          <w:color w:val="6B6B6B"/>
          <w:sz w:val="24"/>
          <w:szCs w:val="24"/>
        </w:rPr>
      </w:pPr>
    </w:p>
    <w:p w14:paraId="3A0546D8" w14:textId="77777777" w:rsidR="00605DCD" w:rsidRDefault="00605DCD">
      <w:pPr>
        <w:spacing w:line="360" w:lineRule="auto"/>
        <w:jc w:val="center"/>
        <w:rPr>
          <w:rFonts w:ascii="Times New Roman" w:eastAsia="Times New Roman" w:hAnsi="Times New Roman" w:cs="Times New Roman"/>
          <w:i/>
          <w:iCs/>
          <w:color w:val="6B6B6B"/>
          <w:sz w:val="24"/>
          <w:szCs w:val="24"/>
        </w:rPr>
      </w:pPr>
    </w:p>
    <w:p w14:paraId="3A0546D9" w14:textId="77777777" w:rsidR="00605DCD" w:rsidRDefault="00605DCD">
      <w:pPr>
        <w:spacing w:line="360" w:lineRule="auto"/>
        <w:jc w:val="center"/>
        <w:rPr>
          <w:rFonts w:ascii="Times New Roman" w:eastAsia="Times New Roman" w:hAnsi="Times New Roman" w:cs="Times New Roman"/>
          <w:i/>
          <w:iCs/>
          <w:color w:val="6B6B6B"/>
          <w:sz w:val="24"/>
          <w:szCs w:val="24"/>
        </w:rPr>
      </w:pPr>
    </w:p>
    <w:p w14:paraId="3A0546DA" w14:textId="77777777" w:rsidR="00605DCD" w:rsidRDefault="00605DCD">
      <w:pPr>
        <w:spacing w:line="360" w:lineRule="auto"/>
        <w:jc w:val="center"/>
        <w:rPr>
          <w:rFonts w:ascii="Times New Roman" w:eastAsia="Times New Roman" w:hAnsi="Times New Roman" w:cs="Times New Roman"/>
          <w:i/>
          <w:iCs/>
          <w:color w:val="6B6B6B"/>
          <w:sz w:val="24"/>
          <w:szCs w:val="24"/>
        </w:rPr>
      </w:pPr>
    </w:p>
    <w:p w14:paraId="3A0546DB" w14:textId="77777777" w:rsidR="00605DCD" w:rsidRDefault="00605DCD">
      <w:pPr>
        <w:spacing w:line="360" w:lineRule="auto"/>
        <w:jc w:val="center"/>
        <w:rPr>
          <w:rFonts w:ascii="Times New Roman" w:eastAsia="Times New Roman" w:hAnsi="Times New Roman" w:cs="Times New Roman"/>
          <w:i/>
          <w:iCs/>
          <w:color w:val="6B6B6B"/>
          <w:sz w:val="24"/>
          <w:szCs w:val="24"/>
        </w:rPr>
      </w:pPr>
    </w:p>
    <w:p w14:paraId="3A0546DC" w14:textId="77777777" w:rsidR="00605DCD" w:rsidRDefault="00000000">
      <w:pPr>
        <w:spacing w:line="360" w:lineRule="auto"/>
        <w:jc w:val="center"/>
        <w:rPr>
          <w:rFonts w:ascii="Times New Roman" w:eastAsia="Times New Roman" w:hAnsi="Times New Roman" w:cs="Times New Roman"/>
          <w:i/>
          <w:iCs/>
          <w:color w:val="6B6B6B"/>
          <w:sz w:val="24"/>
          <w:szCs w:val="24"/>
        </w:rPr>
      </w:pPr>
      <w:r>
        <w:rPr>
          <w:rFonts w:ascii="Times New Roman" w:eastAsia="Times New Roman" w:hAnsi="Times New Roman" w:cs="Times New Roman"/>
          <w:i/>
          <w:iCs/>
          <w:color w:val="6B6B6B"/>
          <w:sz w:val="24"/>
          <w:szCs w:val="24"/>
        </w:rPr>
        <w:t>This submission may be cited in the thematic study and subsequent reports. The authors consent to attribution.</w:t>
      </w:r>
    </w:p>
    <w:p w14:paraId="3A0546DD" w14:textId="77777777" w:rsidR="00605DCD" w:rsidRDefault="00605DCD">
      <w:pPr>
        <w:spacing w:line="360" w:lineRule="auto"/>
        <w:jc w:val="center"/>
        <w:rPr>
          <w:rFonts w:ascii="Times New Roman" w:eastAsia="Times New Roman" w:hAnsi="Times New Roman" w:cs="Times New Roman"/>
          <w:i/>
          <w:iCs/>
          <w:color w:val="6B6B6B"/>
          <w:sz w:val="24"/>
          <w:szCs w:val="24"/>
        </w:rPr>
      </w:pPr>
    </w:p>
    <w:p w14:paraId="3A0546DE" w14:textId="77777777" w:rsidR="00605DCD" w:rsidRDefault="00000000">
      <w:pPr>
        <w:spacing w:line="360" w:lineRule="auto"/>
        <w:jc w:val="center"/>
        <w:rPr>
          <w:rFonts w:ascii="Times New Roman" w:eastAsia="Times New Roman" w:hAnsi="Times New Roman" w:cs="Times New Roman"/>
          <w:i/>
          <w:iCs/>
          <w:color w:val="6B6B6B"/>
          <w:sz w:val="24"/>
          <w:szCs w:val="24"/>
        </w:rPr>
      </w:pPr>
      <w:r>
        <w:rPr>
          <w:rFonts w:ascii="Times New Roman" w:eastAsia="Times New Roman" w:hAnsi="Times New Roman" w:cs="Times New Roman"/>
          <w:i/>
          <w:iCs/>
          <w:color w:val="6B6B6B"/>
          <w:sz w:val="24"/>
          <w:szCs w:val="24"/>
        </w:rPr>
        <w:t xml:space="preserve"> Citation: Mungroo, Z. B. A., Pierre, J. D., and Tupsee, R. S. (2026).</w:t>
      </w:r>
    </w:p>
    <w:p w14:paraId="3A0546DF" w14:textId="77777777" w:rsidR="00605DCD" w:rsidRDefault="00605DCD">
      <w:pPr>
        <w:spacing w:line="360" w:lineRule="auto"/>
        <w:jc w:val="center"/>
        <w:rPr>
          <w:rFonts w:ascii="Times New Roman" w:eastAsia="Times New Roman" w:hAnsi="Times New Roman" w:cs="Times New Roman"/>
          <w:i/>
          <w:iCs/>
          <w:color w:val="6B6B6B"/>
          <w:sz w:val="24"/>
          <w:szCs w:val="24"/>
        </w:rPr>
      </w:pPr>
    </w:p>
    <w:p w14:paraId="3A0546E0" w14:textId="77777777" w:rsidR="00605DCD" w:rsidRDefault="00000000">
      <w:pPr>
        <w:spacing w:line="360" w:lineRule="auto"/>
        <w:jc w:val="center"/>
        <w:rPr>
          <w:rFonts w:ascii="Times New Roman" w:eastAsia="Times New Roman" w:hAnsi="Times New Roman" w:cs="Times New Roman"/>
          <w:i/>
          <w:iCs/>
          <w:color w:val="6B6B6B"/>
          <w:sz w:val="24"/>
          <w:szCs w:val="24"/>
        </w:rPr>
      </w:pPr>
      <w:r>
        <w:rPr>
          <w:rFonts w:ascii="Times New Roman" w:eastAsia="Times New Roman" w:hAnsi="Times New Roman" w:cs="Times New Roman"/>
          <w:i/>
          <w:iCs/>
          <w:color w:val="767676"/>
          <w:sz w:val="24"/>
          <w:szCs w:val="24"/>
        </w:rPr>
        <w:t>Submitted to: cherry.balmaceda@un.org  (cc: ohchr-ccpr@un.org)</w:t>
      </w:r>
    </w:p>
    <w:p w14:paraId="3A0546E1" w14:textId="77777777" w:rsidR="00605DCD" w:rsidRDefault="00605DCD">
      <w:pPr>
        <w:spacing w:line="360" w:lineRule="auto"/>
        <w:jc w:val="center"/>
        <w:rPr>
          <w:rFonts w:ascii="Times New Roman" w:eastAsia="Times New Roman" w:hAnsi="Times New Roman" w:cs="Times New Roman"/>
          <w:i/>
          <w:iCs/>
          <w:color w:val="6B6B6B"/>
          <w:sz w:val="24"/>
          <w:szCs w:val="24"/>
        </w:rPr>
      </w:pPr>
    </w:p>
    <w:p w14:paraId="3A0546E2" w14:textId="77777777" w:rsidR="00605DCD" w:rsidRDefault="00000000">
      <w:pPr>
        <w:spacing w:line="36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color w:val="6B6B6B"/>
          <w:sz w:val="24"/>
          <w:szCs w:val="24"/>
        </w:rPr>
        <w:t>This submission is submitted for public posting.</w:t>
      </w:r>
    </w:p>
    <w:p w14:paraId="3A0546E3" w14:textId="77777777" w:rsidR="00605DCD" w:rsidRDefault="00605DCD">
      <w:pPr>
        <w:spacing w:line="360" w:lineRule="auto"/>
        <w:jc w:val="both"/>
        <w:rPr>
          <w:rFonts w:ascii="Times New Roman" w:eastAsia="Times New Roman" w:hAnsi="Times New Roman" w:cs="Times New Roman"/>
          <w:sz w:val="24"/>
          <w:szCs w:val="24"/>
        </w:rPr>
      </w:pPr>
    </w:p>
    <w:p w14:paraId="3A0546E4" w14:textId="77777777" w:rsidR="00605DCD" w:rsidRDefault="00605DCD">
      <w:pPr>
        <w:spacing w:line="360" w:lineRule="auto"/>
        <w:jc w:val="both"/>
        <w:rPr>
          <w:rFonts w:ascii="Times New Roman" w:eastAsia="Times New Roman" w:hAnsi="Times New Roman" w:cs="Times New Roman"/>
          <w:sz w:val="24"/>
          <w:szCs w:val="24"/>
        </w:rPr>
      </w:pPr>
    </w:p>
    <w:sectPr w:rsidR="00605DCD">
      <w:footerReference w:type="default" r:id="rId10"/>
      <w:footerReference w:type="first" r:id="rId11"/>
      <w:pgSz w:w="11906" w:h="16838"/>
      <w:pgMar w:top="1440" w:right="1440" w:bottom="1440" w:left="1440" w:header="708" w:footer="708"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0E41C" w14:textId="77777777" w:rsidR="00D22BBD" w:rsidRDefault="00D22BBD">
      <w:r>
        <w:separator/>
      </w:r>
    </w:p>
  </w:endnote>
  <w:endnote w:type="continuationSeparator" w:id="0">
    <w:p w14:paraId="0C5A9F89" w14:textId="77777777" w:rsidR="00D22BBD" w:rsidRDefault="00D22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7E5EC6DF-3262-4B1D-BA2F-C5D58374B0C7}"/>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2" w:fontKey="{EF922F05-A127-4FBA-8BF7-2582AA238276}"/>
  </w:font>
  <w:font w:name="Cambria">
    <w:panose1 w:val="02040503050406030204"/>
    <w:charset w:val="00"/>
    <w:family w:val="roman"/>
    <w:pitch w:val="variable"/>
    <w:sig w:usb0="E00006FF" w:usb1="420024FF" w:usb2="02000000" w:usb3="00000000" w:csb0="0000019F" w:csb1="00000000"/>
    <w:embedRegular r:id="rId3" w:fontKey="{6B2C9A45-99FC-4DBF-937C-35B5CB48BA6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546E5" w14:textId="77777777" w:rsidR="00605DCD" w:rsidRDefault="00000000">
    <w:pPr>
      <w:pBdr>
        <w:top w:val="single" w:sz="4" w:space="1" w:color="003366"/>
      </w:pBdr>
      <w:spacing w:before="80"/>
      <w:jc w:val="center"/>
      <w:rPr>
        <w:rFonts w:ascii="Times New Roman" w:eastAsia="Times New Roman" w:hAnsi="Times New Roman" w:cs="Times New Roman"/>
        <w:color w:val="767676"/>
        <w:sz w:val="18"/>
        <w:szCs w:val="18"/>
      </w:rPr>
    </w:pPr>
    <w:r>
      <w:rPr>
        <w:rFonts w:ascii="Times New Roman" w:eastAsia="Times New Roman" w:hAnsi="Times New Roman" w:cs="Times New Roman"/>
        <w:color w:val="767676"/>
        <w:sz w:val="18"/>
        <w:szCs w:val="18"/>
      </w:rPr>
      <w:t>Mungroo, Pierre &amp; Tupsee  |  Independent Expert Submission | 2026</w:t>
    </w:r>
  </w:p>
  <w:p w14:paraId="3A0546E6" w14:textId="611CFC09" w:rsidR="00605DCD" w:rsidRDefault="00000000">
    <w:pPr>
      <w:pBdr>
        <w:top w:val="single" w:sz="4" w:space="1" w:color="003366"/>
      </w:pBdr>
      <w:spacing w:before="80"/>
      <w:jc w:val="right"/>
      <w:rPr>
        <w:rFonts w:ascii="Times New Roman" w:eastAsia="Times New Roman" w:hAnsi="Times New Roman" w:cs="Times New Roman"/>
        <w:color w:val="767676"/>
        <w:sz w:val="18"/>
        <w:szCs w:val="18"/>
      </w:rPr>
    </w:pPr>
    <w:r>
      <w:rPr>
        <w:rFonts w:ascii="Times New Roman" w:eastAsia="Times New Roman" w:hAnsi="Times New Roman" w:cs="Times New Roman"/>
        <w:color w:val="767676"/>
        <w:sz w:val="18"/>
        <w:szCs w:val="18"/>
      </w:rPr>
      <w:fldChar w:fldCharType="begin"/>
    </w:r>
    <w:r>
      <w:rPr>
        <w:rFonts w:ascii="Times New Roman" w:eastAsia="Times New Roman" w:hAnsi="Times New Roman" w:cs="Times New Roman"/>
        <w:color w:val="767676"/>
        <w:sz w:val="18"/>
        <w:szCs w:val="18"/>
      </w:rPr>
      <w:instrText>PAGE</w:instrText>
    </w:r>
    <w:r>
      <w:rPr>
        <w:rFonts w:ascii="Times New Roman" w:eastAsia="Times New Roman" w:hAnsi="Times New Roman" w:cs="Times New Roman"/>
        <w:color w:val="767676"/>
        <w:sz w:val="18"/>
        <w:szCs w:val="18"/>
      </w:rPr>
      <w:fldChar w:fldCharType="separate"/>
    </w:r>
    <w:r w:rsidR="005061CB">
      <w:rPr>
        <w:rFonts w:ascii="Times New Roman" w:eastAsia="Times New Roman" w:hAnsi="Times New Roman" w:cs="Times New Roman"/>
        <w:noProof/>
        <w:color w:val="767676"/>
        <w:sz w:val="18"/>
        <w:szCs w:val="18"/>
      </w:rPr>
      <w:t>1</w:t>
    </w:r>
    <w:r>
      <w:rPr>
        <w:rFonts w:ascii="Times New Roman" w:eastAsia="Times New Roman" w:hAnsi="Times New Roman" w:cs="Times New Roman"/>
        <w:color w:val="767676"/>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546E7" w14:textId="77777777" w:rsidR="00605DCD" w:rsidRDefault="00605DC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CFF43" w14:textId="77777777" w:rsidR="00D22BBD" w:rsidRDefault="00D22BBD">
      <w:r>
        <w:separator/>
      </w:r>
    </w:p>
  </w:footnote>
  <w:footnote w:type="continuationSeparator" w:id="0">
    <w:p w14:paraId="77B5DE68" w14:textId="77777777" w:rsidR="00D22BBD" w:rsidRDefault="00D22B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DCD"/>
    <w:rsid w:val="005061CB"/>
    <w:rsid w:val="00605DCD"/>
    <w:rsid w:val="009B65FC"/>
    <w:rsid w:val="00D22BBD"/>
  </w:rsids>
  <m:mathPr>
    <m:mathFont m:val="Cambria Math"/>
    <m:brkBin m:val="before"/>
    <m:brkBinSub m:val="--"/>
    <m:smallFrac m:val="0"/>
    <m:dispDef/>
    <m:lMargin m:val="0"/>
    <m:rMargin m:val="0"/>
    <m:defJc m:val="centerGroup"/>
    <m:wrapIndent m:val="1440"/>
    <m:intLim m:val="subSup"/>
    <m:naryLim m:val="undOvr"/>
  </m:mathPr>
  <w:themeFontLang w:val="en-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54626"/>
  <w15:docId w15:val="{F92F074D-612A-42E3-B182-479F1A3CB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CH"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360" w:after="120"/>
      <w:outlineLvl w:val="0"/>
    </w:pPr>
    <w:rPr>
      <w:b/>
      <w:bCs/>
      <w:color w:val="003366"/>
      <w:sz w:val="28"/>
      <w:szCs w:val="28"/>
    </w:rPr>
  </w:style>
  <w:style w:type="paragraph" w:styleId="Heading2">
    <w:name w:val="heading 2"/>
    <w:basedOn w:val="Normal"/>
    <w:next w:val="Normal"/>
    <w:uiPriority w:val="9"/>
    <w:unhideWhenUsed/>
    <w:qFormat/>
    <w:pPr>
      <w:pBdr>
        <w:top w:val="nil"/>
        <w:left w:val="nil"/>
        <w:bottom w:val="nil"/>
        <w:right w:val="nil"/>
        <w:between w:val="nil"/>
      </w:pBdr>
      <w:spacing w:before="240" w:after="80"/>
      <w:outlineLvl w:val="1"/>
    </w:pPr>
    <w:rPr>
      <w:b/>
      <w:bCs/>
      <w:color w:val="005B7F"/>
      <w:sz w:val="24"/>
      <w:szCs w:val="24"/>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semiHidden/>
    <w:unhideWhenUsed/>
    <w:rsid w:val="005061CB"/>
    <w:pPr>
      <w:tabs>
        <w:tab w:val="center" w:pos="4513"/>
        <w:tab w:val="right" w:pos="9026"/>
      </w:tabs>
    </w:pPr>
  </w:style>
  <w:style w:type="character" w:customStyle="1" w:styleId="HeaderChar">
    <w:name w:val="Header Char"/>
    <w:basedOn w:val="DefaultParagraphFont"/>
    <w:link w:val="Header"/>
    <w:uiPriority w:val="99"/>
    <w:semiHidden/>
    <w:rsid w:val="005061CB"/>
  </w:style>
  <w:style w:type="paragraph" w:styleId="Footer">
    <w:name w:val="footer"/>
    <w:basedOn w:val="Normal"/>
    <w:link w:val="FooterChar"/>
    <w:uiPriority w:val="99"/>
    <w:semiHidden/>
    <w:unhideWhenUsed/>
    <w:rsid w:val="005061CB"/>
    <w:pPr>
      <w:tabs>
        <w:tab w:val="center" w:pos="4513"/>
        <w:tab w:val="right" w:pos="9026"/>
      </w:tabs>
    </w:pPr>
  </w:style>
  <w:style w:type="character" w:customStyle="1" w:styleId="FooterChar">
    <w:name w:val="Footer Char"/>
    <w:basedOn w:val="DefaultParagraphFont"/>
    <w:link w:val="Footer"/>
    <w:uiPriority w:val="99"/>
    <w:semiHidden/>
    <w:rsid w:val="005061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ttxby8/3bor6S9M7NGhkii4wnA==">CgMxLjAyDmguaDA5cDNibDhjdjR2Mg5oLjRoaTd6a3k4NjN6OTIOaC42MHhvbmFqdTA2YXUyDmguNWhjOHN3bG9pajN4Mg5oLms5OXBzM3BsYmdoOTIOaC40MjR5YmtlaDdjd3MyDmguN2xqanZrMm4zem15Mg1oLjFkMmFjNWRiOGU0Mg5oLnlicDU3cGVhYWU2bDIOaC4zNzB4bTEzZ3c3dTQyDmgua2l0dTRzdTJ0bGU3Mg5oLjQzOGx2ZGljcHJhdTIOaC5qZGwweHJ6NGlvMWQyDWguendpdXp1dGRhOTcyDmguNXFnazlycjE5dmhjMg5oLjRiZHdxdnQ0NDNhYzIOaC5lZjQ4a2dvMWZiMngyDmguNjNtOGc4anp4NWp5OAByITFPeVduSVoyemJVdFNTUkNaVE5mVnluM1Z5eW8xc0NMXw==</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245D5AB-2D2D-4A62-9795-2AD620334DA5}">
  <ds:schemaRefs>
    <ds:schemaRef ds:uri="http://schemas.microsoft.com/office/2006/metadata/properties"/>
    <ds:schemaRef ds:uri="http://schemas.microsoft.com/office/infopath/2007/PartnerControls"/>
    <ds:schemaRef ds:uri="985ec44e-1bab-4c0b-9df0-6ba128686fc9"/>
    <ds:schemaRef ds:uri="11a6fe0c-d8de-4390-afb3-d9c7c54181f0"/>
    <ds:schemaRef ds:uri="b248d7e1-e1e1-4a8e-9310-749402edb8a9"/>
  </ds:schemaRefs>
</ds:datastoreItem>
</file>

<file path=customXml/itemProps3.xml><?xml version="1.0" encoding="utf-8"?>
<ds:datastoreItem xmlns:ds="http://schemas.openxmlformats.org/officeDocument/2006/customXml" ds:itemID="{DF4593BD-A2F4-42C6-B3FE-B58ABB0AB560}">
  <ds:schemaRefs>
    <ds:schemaRef ds:uri="http://schemas.microsoft.com/sharepoint/v3/contenttype/forms"/>
  </ds:schemaRefs>
</ds:datastoreItem>
</file>

<file path=customXml/itemProps4.xml><?xml version="1.0" encoding="utf-8"?>
<ds:datastoreItem xmlns:ds="http://schemas.openxmlformats.org/officeDocument/2006/customXml" ds:itemID="{3E1FD913-A8B3-4A67-8FF3-725DC2EC3D38}"/>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3760</Words>
  <Characters>21438</Characters>
  <Application>Microsoft Office Word</Application>
  <DocSecurity>0</DocSecurity>
  <Lines>178</Lines>
  <Paragraphs>50</Paragraphs>
  <ScaleCrop>false</ScaleCrop>
  <Company/>
  <LinksUpToDate>false</LinksUpToDate>
  <CharactersWithSpaces>25148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Cherry Balmaceda</cp:lastModifiedBy>
  <cp:revision>2</cp:revision>
  <dcterms:created xsi:type="dcterms:W3CDTF">2026-05-27T08:08:00Z</dcterms:created>
  <dcterms:modified xsi:type="dcterms:W3CDTF">2026-05-27T08:08:00Z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