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4208C" w14:textId="1DED5980" w:rsidR="00A82614" w:rsidRPr="00A82614" w:rsidRDefault="00A82614" w:rsidP="00A82614">
      <w:pPr>
        <w:jc w:val="center"/>
        <w:rPr>
          <w:rFonts w:ascii="Garamond" w:hAnsi="Garamond"/>
          <w:sz w:val="28"/>
          <w:szCs w:val="28"/>
          <w:lang w:val="en-US"/>
        </w:rPr>
      </w:pPr>
      <w:r w:rsidRPr="00A82614">
        <w:rPr>
          <w:rFonts w:ascii="Garamond" w:hAnsi="Garamond"/>
          <w:sz w:val="28"/>
          <w:szCs w:val="28"/>
          <w:lang w:val="en-US"/>
        </w:rPr>
        <w:t>Submission to the Human Rights Committee on the Draft General Comment No. 38 (Article 22 ICCPR)</w:t>
      </w:r>
    </w:p>
    <w:p w14:paraId="131C4A52" w14:textId="77777777" w:rsidR="00A82614" w:rsidRPr="00A82614" w:rsidRDefault="00A82614" w:rsidP="00A82614">
      <w:pPr>
        <w:jc w:val="both"/>
        <w:rPr>
          <w:rFonts w:ascii="Garamond" w:hAnsi="Garamond"/>
          <w:sz w:val="26"/>
          <w:szCs w:val="26"/>
          <w:lang w:val="en-US"/>
        </w:rPr>
      </w:pPr>
    </w:p>
    <w:p w14:paraId="43600791" w14:textId="462ACD6A" w:rsidR="00A82614" w:rsidRPr="00A82614" w:rsidRDefault="00A82614" w:rsidP="00A82614">
      <w:pPr>
        <w:jc w:val="center"/>
        <w:rPr>
          <w:rFonts w:ascii="Garamond" w:hAnsi="Garamond"/>
          <w:sz w:val="26"/>
          <w:szCs w:val="26"/>
          <w:lang w:val="en-US"/>
        </w:rPr>
      </w:pPr>
      <w:r w:rsidRPr="00A82614">
        <w:rPr>
          <w:rFonts w:ascii="Garamond" w:hAnsi="Garamond"/>
          <w:sz w:val="26"/>
          <w:szCs w:val="26"/>
          <w:lang w:val="en-US"/>
        </w:rPr>
        <w:t>María Manuela Sanchez Gomez</w:t>
      </w:r>
    </w:p>
    <w:p w14:paraId="32564B32" w14:textId="77777777" w:rsidR="00A82614" w:rsidRPr="00A82614" w:rsidRDefault="00A82614" w:rsidP="00A82614">
      <w:pPr>
        <w:jc w:val="center"/>
        <w:rPr>
          <w:rFonts w:ascii="Garamond" w:hAnsi="Garamond"/>
          <w:lang w:val="en-US"/>
        </w:rPr>
      </w:pPr>
      <w:r w:rsidRPr="00A82614">
        <w:rPr>
          <w:rFonts w:ascii="Garamond" w:hAnsi="Garamond"/>
          <w:lang w:val="en-US"/>
        </w:rPr>
        <w:t xml:space="preserve">PhD International Law </w:t>
      </w:r>
    </w:p>
    <w:p w14:paraId="5C74C85B" w14:textId="3631DF75" w:rsidR="00A82614" w:rsidRPr="00A82614" w:rsidRDefault="00A82614" w:rsidP="00A82614">
      <w:pPr>
        <w:jc w:val="center"/>
        <w:rPr>
          <w:rFonts w:ascii="Garamond" w:hAnsi="Garamond"/>
          <w:lang w:val="en-US"/>
        </w:rPr>
      </w:pPr>
      <w:r w:rsidRPr="00A82614">
        <w:rPr>
          <w:rFonts w:ascii="Garamond" w:hAnsi="Garamond"/>
          <w:lang w:val="en-US"/>
        </w:rPr>
        <w:t>Member of the Research Group on Justice and Law at Carlos III University of Madrid.</w:t>
      </w:r>
    </w:p>
    <w:p w14:paraId="7C8AE375" w14:textId="77777777" w:rsidR="00A82614" w:rsidRPr="00A82614" w:rsidRDefault="00A82614" w:rsidP="00A82614">
      <w:pPr>
        <w:jc w:val="both"/>
        <w:rPr>
          <w:rFonts w:ascii="Garamond" w:hAnsi="Garamond"/>
          <w:sz w:val="26"/>
          <w:szCs w:val="26"/>
          <w:lang w:val="en-US"/>
        </w:rPr>
      </w:pPr>
    </w:p>
    <w:p w14:paraId="6D6F291D" w14:textId="5C892D8D" w:rsidR="00A82614" w:rsidRPr="00A82614" w:rsidRDefault="00A82614" w:rsidP="00A82614">
      <w:pPr>
        <w:jc w:val="right"/>
        <w:rPr>
          <w:rFonts w:ascii="Garamond" w:hAnsi="Garamond"/>
          <w:sz w:val="26"/>
          <w:szCs w:val="26"/>
          <w:lang w:val="en-US"/>
        </w:rPr>
      </w:pPr>
      <w:r w:rsidRPr="00A82614">
        <w:rPr>
          <w:rFonts w:ascii="Garamond" w:hAnsi="Garamond"/>
          <w:sz w:val="26"/>
          <w:szCs w:val="26"/>
          <w:lang w:val="en-US"/>
        </w:rPr>
        <w:t>April 2026</w:t>
      </w:r>
    </w:p>
    <w:p w14:paraId="7B217598"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 xml:space="preserve">The Draft General Comment No. 38 represents a substantial and timely contribution to the interpretation of the right to freedom of association under Article 22 of the ICCPR. Its recognition of digital dimensions, its articulation of the interdependence of rights, and its alignment with international </w:t>
      </w:r>
      <w:proofErr w:type="spellStart"/>
      <w:r w:rsidRPr="00A82614">
        <w:rPr>
          <w:rFonts w:ascii="Garamond" w:hAnsi="Garamond"/>
          <w:sz w:val="26"/>
          <w:szCs w:val="26"/>
          <w:lang w:val="en-US"/>
        </w:rPr>
        <w:t>labour</w:t>
      </w:r>
      <w:proofErr w:type="spellEnd"/>
      <w:r w:rsidRPr="00A82614">
        <w:rPr>
          <w:rFonts w:ascii="Garamond" w:hAnsi="Garamond"/>
          <w:sz w:val="26"/>
          <w:szCs w:val="26"/>
          <w:lang w:val="en-US"/>
        </w:rPr>
        <w:t xml:space="preserve"> standards are commendable.</w:t>
      </w:r>
    </w:p>
    <w:p w14:paraId="4DA94726" w14:textId="41C0D663"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In a constructive spirit, and with the aim of further strengthening the protection of this right in contemporary contexts, the following observations and proposals are submitted.</w:t>
      </w:r>
    </w:p>
    <w:p w14:paraId="1CCA0208" w14:textId="77777777" w:rsidR="00A82614" w:rsidRPr="00A82614" w:rsidRDefault="00A82614" w:rsidP="00A82614">
      <w:pPr>
        <w:jc w:val="both"/>
        <w:rPr>
          <w:rFonts w:ascii="Garamond" w:hAnsi="Garamond"/>
          <w:sz w:val="26"/>
          <w:szCs w:val="26"/>
          <w:lang w:val="en-US"/>
        </w:rPr>
      </w:pPr>
    </w:p>
    <w:p w14:paraId="1629935D" w14:textId="2DBD61AF" w:rsidR="00A82614" w:rsidRPr="00A82614" w:rsidRDefault="00A82614" w:rsidP="00A82614">
      <w:pPr>
        <w:ind w:firstLine="708"/>
        <w:jc w:val="both"/>
        <w:rPr>
          <w:rFonts w:ascii="Garamond" w:hAnsi="Garamond"/>
          <w:i/>
          <w:iCs/>
          <w:sz w:val="26"/>
          <w:szCs w:val="26"/>
          <w:lang w:val="en-US"/>
        </w:rPr>
      </w:pPr>
      <w:r w:rsidRPr="00A82614">
        <w:rPr>
          <w:rFonts w:ascii="Garamond" w:hAnsi="Garamond"/>
          <w:i/>
          <w:iCs/>
          <w:sz w:val="26"/>
          <w:szCs w:val="26"/>
          <w:lang w:val="en-US"/>
        </w:rPr>
        <w:t>Strengthening the concept of an enabling environment</w:t>
      </w:r>
    </w:p>
    <w:p w14:paraId="3168ACBD" w14:textId="74E99D98"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 xml:space="preserve">The Draft General Comment rightly emphasizes the obligation of States to ensure an enabling </w:t>
      </w:r>
      <w:proofErr w:type="spellStart"/>
      <w:proofErr w:type="gramStart"/>
      <w:r w:rsidRPr="00A82614">
        <w:rPr>
          <w:rFonts w:ascii="Garamond" w:hAnsi="Garamond"/>
          <w:sz w:val="26"/>
          <w:szCs w:val="26"/>
          <w:lang w:val="en-US"/>
        </w:rPr>
        <w:t>environmentfor</w:t>
      </w:r>
      <w:proofErr w:type="spellEnd"/>
      <w:proofErr w:type="gramEnd"/>
      <w:r w:rsidRPr="00A82614">
        <w:rPr>
          <w:rFonts w:ascii="Garamond" w:hAnsi="Garamond"/>
          <w:sz w:val="26"/>
          <w:szCs w:val="26"/>
          <w:lang w:val="en-US"/>
        </w:rPr>
        <w:t xml:space="preserve"> associations. However, the concept would benefit from greater normative precision. Without clear criteria, States may claim compliance based on formal legal frameworks while substantive barriers persist</w:t>
      </w:r>
      <w:r w:rsidRPr="00A82614">
        <w:rPr>
          <w:rFonts w:ascii="Garamond" w:hAnsi="Garamond"/>
          <w:sz w:val="26"/>
          <w:szCs w:val="26"/>
          <w:lang w:val="en-US"/>
        </w:rPr>
        <w:t>-</w:t>
      </w:r>
      <w:r w:rsidRPr="00A82614">
        <w:rPr>
          <w:rFonts w:ascii="Garamond" w:hAnsi="Garamond"/>
          <w:sz w:val="26"/>
          <w:szCs w:val="26"/>
          <w:lang w:val="en-US"/>
        </w:rPr>
        <w:t>particularly for marginalized groups.</w:t>
      </w:r>
    </w:p>
    <w:p w14:paraId="17B7AAD3"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An enabling environment must be understood not only as the absence of repression but as the presence of affirmative conditions that allow associations to operate freely, safely, and effectively.</w:t>
      </w:r>
    </w:p>
    <w:p w14:paraId="1E752BFD"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 xml:space="preserve">The Committee could consider </w:t>
      </w:r>
      <w:proofErr w:type="gramStart"/>
      <w:r w:rsidRPr="00A82614">
        <w:rPr>
          <w:rFonts w:ascii="Garamond" w:hAnsi="Garamond"/>
          <w:sz w:val="26"/>
          <w:szCs w:val="26"/>
          <w:lang w:val="en-US"/>
        </w:rPr>
        <w:t>elaborating</w:t>
      </w:r>
      <w:proofErr w:type="gramEnd"/>
      <w:r w:rsidRPr="00A82614">
        <w:rPr>
          <w:rFonts w:ascii="Garamond" w:hAnsi="Garamond"/>
          <w:sz w:val="26"/>
          <w:szCs w:val="26"/>
          <w:lang w:val="en-US"/>
        </w:rPr>
        <w:t xml:space="preserve"> the enabling environment by:</w:t>
      </w:r>
    </w:p>
    <w:p w14:paraId="10253C64" w14:textId="77777777" w:rsidR="00A82614" w:rsidRPr="00A82614" w:rsidRDefault="00A82614" w:rsidP="00A82614">
      <w:pPr>
        <w:numPr>
          <w:ilvl w:val="0"/>
          <w:numId w:val="2"/>
        </w:numPr>
        <w:jc w:val="both"/>
        <w:rPr>
          <w:rFonts w:ascii="Garamond" w:hAnsi="Garamond"/>
          <w:sz w:val="26"/>
          <w:szCs w:val="26"/>
          <w:lang w:val="en-US"/>
        </w:rPr>
      </w:pPr>
      <w:r w:rsidRPr="00A82614">
        <w:rPr>
          <w:rFonts w:ascii="Garamond" w:hAnsi="Garamond"/>
          <w:sz w:val="26"/>
          <w:szCs w:val="26"/>
          <w:lang w:val="en-US"/>
        </w:rPr>
        <w:t>Identifying minimum indicators of accessibility, including digital connectivity, financial access, and geographic reach.</w:t>
      </w:r>
    </w:p>
    <w:p w14:paraId="7F8A73A2" w14:textId="77777777" w:rsidR="00A82614" w:rsidRPr="00A82614" w:rsidRDefault="00A82614" w:rsidP="00A82614">
      <w:pPr>
        <w:numPr>
          <w:ilvl w:val="0"/>
          <w:numId w:val="2"/>
        </w:numPr>
        <w:jc w:val="both"/>
        <w:rPr>
          <w:rFonts w:ascii="Garamond" w:hAnsi="Garamond"/>
          <w:sz w:val="26"/>
          <w:szCs w:val="26"/>
          <w:lang w:val="en-US"/>
        </w:rPr>
      </w:pPr>
      <w:r w:rsidRPr="00A82614">
        <w:rPr>
          <w:rFonts w:ascii="Garamond" w:hAnsi="Garamond"/>
          <w:sz w:val="26"/>
          <w:szCs w:val="26"/>
          <w:lang w:val="en-US"/>
        </w:rPr>
        <w:t>Recommending that States assess whether the environment is enabling in contexts of structural inequality, including gender, disability, rurality, and minority status.</w:t>
      </w:r>
    </w:p>
    <w:p w14:paraId="7D830D9A" w14:textId="77777777" w:rsidR="00A82614" w:rsidRPr="00A82614" w:rsidRDefault="00A82614" w:rsidP="00A82614">
      <w:pPr>
        <w:numPr>
          <w:ilvl w:val="0"/>
          <w:numId w:val="2"/>
        </w:numPr>
        <w:jc w:val="both"/>
        <w:rPr>
          <w:rFonts w:ascii="Garamond" w:hAnsi="Garamond"/>
          <w:sz w:val="26"/>
          <w:szCs w:val="26"/>
          <w:lang w:val="en-US"/>
        </w:rPr>
      </w:pPr>
      <w:r w:rsidRPr="00A82614">
        <w:rPr>
          <w:rFonts w:ascii="Garamond" w:hAnsi="Garamond"/>
          <w:sz w:val="26"/>
          <w:szCs w:val="26"/>
          <w:lang w:val="en-US"/>
        </w:rPr>
        <w:t>Encouraging the establishment of independent monitoring mechanisms to evaluate the practical enjoyment of the right to freedom of association.</w:t>
      </w:r>
    </w:p>
    <w:p w14:paraId="3CC0517F" w14:textId="77777777" w:rsidR="00A82614" w:rsidRPr="00A82614" w:rsidRDefault="00A82614" w:rsidP="00A82614">
      <w:pPr>
        <w:ind w:left="720"/>
        <w:jc w:val="both"/>
        <w:rPr>
          <w:rFonts w:ascii="Garamond" w:hAnsi="Garamond"/>
          <w:sz w:val="26"/>
          <w:szCs w:val="26"/>
          <w:lang w:val="en-US"/>
        </w:rPr>
      </w:pPr>
    </w:p>
    <w:p w14:paraId="27ADC19C" w14:textId="121E2134" w:rsidR="00A82614" w:rsidRPr="00A82614" w:rsidRDefault="00A82614" w:rsidP="00A82614">
      <w:pPr>
        <w:ind w:firstLine="360"/>
        <w:jc w:val="both"/>
        <w:rPr>
          <w:rFonts w:ascii="Garamond" w:hAnsi="Garamond"/>
          <w:i/>
          <w:iCs/>
          <w:sz w:val="26"/>
          <w:szCs w:val="26"/>
          <w:lang w:val="en-US"/>
        </w:rPr>
      </w:pPr>
      <w:r w:rsidRPr="00A82614">
        <w:rPr>
          <w:rFonts w:ascii="Garamond" w:hAnsi="Garamond"/>
          <w:i/>
          <w:iCs/>
          <w:sz w:val="26"/>
          <w:szCs w:val="26"/>
          <w:lang w:val="en-US"/>
        </w:rPr>
        <w:t>Due diligence obligations of digital platforms</w:t>
      </w:r>
    </w:p>
    <w:p w14:paraId="44C0DA6B"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The Draft General Comment acknowledges that freedom of association applies both offline and online. Given the centrality of digital platforms to contemporary associational life, the text could further clarify the responsibilities of States in relation to private technology companies.</w:t>
      </w:r>
    </w:p>
    <w:p w14:paraId="35881802" w14:textId="5370D06C"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Associations increasingly rely on social media and digital communication tools for outreach, mobilization, and internal governance. Disinformation circulating on these platforms can disproportionately harm smaller or resource</w:t>
      </w:r>
      <w:r w:rsidRPr="00A82614">
        <w:rPr>
          <w:rFonts w:ascii="Garamond" w:hAnsi="Garamond"/>
          <w:sz w:val="26"/>
          <w:szCs w:val="26"/>
          <w:lang w:val="en-US"/>
        </w:rPr>
        <w:noBreakHyphen/>
        <w:t>constrained organizations. Moreover, content moderation decisions</w:t>
      </w:r>
      <w:r w:rsidRPr="00A82614">
        <w:rPr>
          <w:rFonts w:ascii="Garamond" w:hAnsi="Garamond"/>
          <w:sz w:val="26"/>
          <w:szCs w:val="26"/>
          <w:lang w:val="en-US"/>
        </w:rPr>
        <w:t>-</w:t>
      </w:r>
      <w:r w:rsidRPr="00A82614">
        <w:rPr>
          <w:rFonts w:ascii="Garamond" w:hAnsi="Garamond"/>
          <w:sz w:val="26"/>
          <w:szCs w:val="26"/>
          <w:lang w:val="en-US"/>
        </w:rPr>
        <w:t>such as account suspensions or algorithmic downranking</w:t>
      </w:r>
      <w:r w:rsidRPr="00A82614">
        <w:rPr>
          <w:rFonts w:ascii="Garamond" w:hAnsi="Garamond"/>
          <w:sz w:val="26"/>
          <w:szCs w:val="26"/>
          <w:lang w:val="en-US"/>
        </w:rPr>
        <w:t>-</w:t>
      </w:r>
      <w:r w:rsidRPr="00A82614">
        <w:rPr>
          <w:rFonts w:ascii="Garamond" w:hAnsi="Garamond"/>
          <w:sz w:val="26"/>
          <w:szCs w:val="26"/>
          <w:lang w:val="en-US"/>
        </w:rPr>
        <w:t>can amount to a de facto dissolution without procedural safeguards.</w:t>
      </w:r>
    </w:p>
    <w:p w14:paraId="4ADB60F6"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The Committee may wish to note that:</w:t>
      </w:r>
    </w:p>
    <w:p w14:paraId="5D239C13" w14:textId="77777777" w:rsidR="00A82614" w:rsidRPr="00A82614" w:rsidRDefault="00A82614" w:rsidP="00A82614">
      <w:pPr>
        <w:numPr>
          <w:ilvl w:val="0"/>
          <w:numId w:val="3"/>
        </w:numPr>
        <w:jc w:val="both"/>
        <w:rPr>
          <w:rFonts w:ascii="Garamond" w:hAnsi="Garamond"/>
          <w:sz w:val="26"/>
          <w:szCs w:val="26"/>
          <w:lang w:val="en-US"/>
        </w:rPr>
      </w:pPr>
      <w:r w:rsidRPr="00A82614">
        <w:rPr>
          <w:rFonts w:ascii="Garamond" w:hAnsi="Garamond"/>
          <w:sz w:val="26"/>
          <w:szCs w:val="26"/>
          <w:lang w:val="en-US"/>
        </w:rPr>
        <w:t>States should ensure that digital platforms adopt clear, transparent, and proportionate policies to address disinformation that materially interferes with the exercise of freedom of association.</w:t>
      </w:r>
    </w:p>
    <w:p w14:paraId="3A277585" w14:textId="77777777" w:rsidR="00A82614" w:rsidRPr="00A82614" w:rsidRDefault="00A82614" w:rsidP="00A82614">
      <w:pPr>
        <w:numPr>
          <w:ilvl w:val="0"/>
          <w:numId w:val="3"/>
        </w:numPr>
        <w:jc w:val="both"/>
        <w:rPr>
          <w:rFonts w:ascii="Garamond" w:hAnsi="Garamond"/>
          <w:sz w:val="26"/>
          <w:szCs w:val="26"/>
          <w:lang w:val="en-US"/>
        </w:rPr>
      </w:pPr>
      <w:r w:rsidRPr="00A82614">
        <w:rPr>
          <w:rFonts w:ascii="Garamond" w:hAnsi="Garamond"/>
          <w:sz w:val="26"/>
          <w:szCs w:val="26"/>
          <w:lang w:val="en-US"/>
        </w:rPr>
        <w:t>Such measures must remain consistent with international standards on freedom of expression, avoiding overbroad or arbitrary restrictions.</w:t>
      </w:r>
    </w:p>
    <w:p w14:paraId="16D44962" w14:textId="77777777" w:rsidR="00A82614" w:rsidRPr="00A82614" w:rsidRDefault="00A82614" w:rsidP="00A82614">
      <w:pPr>
        <w:numPr>
          <w:ilvl w:val="0"/>
          <w:numId w:val="3"/>
        </w:numPr>
        <w:jc w:val="both"/>
        <w:rPr>
          <w:rFonts w:ascii="Garamond" w:hAnsi="Garamond"/>
          <w:sz w:val="26"/>
          <w:szCs w:val="26"/>
          <w:lang w:val="en-US"/>
        </w:rPr>
      </w:pPr>
      <w:r w:rsidRPr="00A82614">
        <w:rPr>
          <w:rFonts w:ascii="Garamond" w:hAnsi="Garamond"/>
          <w:sz w:val="26"/>
          <w:szCs w:val="26"/>
          <w:lang w:val="en-US"/>
        </w:rPr>
        <w:t>States should encourage platforms to implement notification, appeal, and remedy mechanisms when moderation decisions affect associations.</w:t>
      </w:r>
    </w:p>
    <w:p w14:paraId="690FF4D0" w14:textId="77777777" w:rsidR="00A82614" w:rsidRPr="00A82614" w:rsidRDefault="00A82614" w:rsidP="00A82614">
      <w:pPr>
        <w:numPr>
          <w:ilvl w:val="0"/>
          <w:numId w:val="3"/>
        </w:numPr>
        <w:jc w:val="both"/>
        <w:rPr>
          <w:rFonts w:ascii="Garamond" w:hAnsi="Garamond"/>
          <w:sz w:val="26"/>
          <w:szCs w:val="26"/>
          <w:lang w:val="en-US"/>
        </w:rPr>
      </w:pPr>
      <w:r w:rsidRPr="00A82614">
        <w:rPr>
          <w:rFonts w:ascii="Garamond" w:hAnsi="Garamond"/>
          <w:sz w:val="26"/>
          <w:szCs w:val="26"/>
          <w:lang w:val="en-US"/>
        </w:rPr>
        <w:t>States should take steps to ensure that algorithmic systems do not result in indirect discrimination against associations representing marginalized groups.</w:t>
      </w:r>
    </w:p>
    <w:p w14:paraId="4E4D2640" w14:textId="77777777" w:rsidR="00A82614" w:rsidRPr="00A82614" w:rsidRDefault="00A82614" w:rsidP="00A82614">
      <w:pPr>
        <w:ind w:left="720"/>
        <w:jc w:val="both"/>
        <w:rPr>
          <w:rFonts w:ascii="Garamond" w:hAnsi="Garamond"/>
          <w:sz w:val="26"/>
          <w:szCs w:val="26"/>
          <w:lang w:val="en-US"/>
        </w:rPr>
      </w:pPr>
    </w:p>
    <w:p w14:paraId="75BAE57B" w14:textId="77777777" w:rsidR="00A82614" w:rsidRPr="00A82614" w:rsidRDefault="00A82614" w:rsidP="00A82614">
      <w:pPr>
        <w:ind w:firstLine="360"/>
        <w:jc w:val="both"/>
        <w:rPr>
          <w:rFonts w:ascii="Garamond" w:hAnsi="Garamond"/>
          <w:i/>
          <w:iCs/>
          <w:sz w:val="26"/>
          <w:szCs w:val="26"/>
          <w:lang w:val="en-US"/>
        </w:rPr>
      </w:pPr>
      <w:r w:rsidRPr="00A82614">
        <w:rPr>
          <w:rFonts w:ascii="Garamond" w:hAnsi="Garamond"/>
          <w:i/>
          <w:iCs/>
          <w:sz w:val="26"/>
          <w:szCs w:val="26"/>
          <w:lang w:val="en-US"/>
        </w:rPr>
        <w:t>Disinformation as an indirect restriction on freedom of association</w:t>
      </w:r>
    </w:p>
    <w:p w14:paraId="1E02A1FC"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While the Draft General Comment acknowledges modern forms of interference-such as digital surveillance and internet shutdowns-it could more explicitly address disinformation campaigns as a mechanism that undermines the effective enjoyment of the right to freedom of association.</w:t>
      </w:r>
    </w:p>
    <w:p w14:paraId="660D1597" w14:textId="77777777"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t>In many jurisdictions, associations-particularly human rights defenders, environmental groups, trade unions, and minority political movements-are targeted by coordinated disinformation portraying them as foreign agents, enemies of the State, or threats to national values. Such narratives generate social hostility, deter membership, and delegitimize their activities. These effects constitute a restriction in practice, even in the absence of formal legal measures.</w:t>
      </w:r>
    </w:p>
    <w:p w14:paraId="05C716C2" w14:textId="77777777" w:rsidR="00A82614" w:rsidRDefault="00A82614" w:rsidP="00A82614">
      <w:pPr>
        <w:jc w:val="both"/>
        <w:rPr>
          <w:rFonts w:ascii="Garamond" w:hAnsi="Garamond"/>
          <w:sz w:val="26"/>
          <w:szCs w:val="26"/>
          <w:lang w:val="en-US"/>
        </w:rPr>
      </w:pPr>
    </w:p>
    <w:p w14:paraId="1F0221EA" w14:textId="15A56958" w:rsidR="00A82614" w:rsidRPr="00A82614" w:rsidRDefault="00A82614" w:rsidP="00A82614">
      <w:pPr>
        <w:jc w:val="both"/>
        <w:rPr>
          <w:rFonts w:ascii="Garamond" w:hAnsi="Garamond"/>
          <w:sz w:val="26"/>
          <w:szCs w:val="26"/>
          <w:lang w:val="en-US"/>
        </w:rPr>
      </w:pPr>
      <w:r w:rsidRPr="00A82614">
        <w:rPr>
          <w:rFonts w:ascii="Garamond" w:hAnsi="Garamond"/>
          <w:sz w:val="26"/>
          <w:szCs w:val="26"/>
          <w:lang w:val="en-US"/>
        </w:rPr>
        <w:lastRenderedPageBreak/>
        <w:t>The Committee may wish to include language clarifying that:</w:t>
      </w:r>
    </w:p>
    <w:p w14:paraId="2FDBE29A" w14:textId="77777777" w:rsidR="00A82614" w:rsidRPr="00A82614" w:rsidRDefault="00A82614" w:rsidP="00A82614">
      <w:pPr>
        <w:numPr>
          <w:ilvl w:val="0"/>
          <w:numId w:val="1"/>
        </w:numPr>
        <w:jc w:val="both"/>
        <w:rPr>
          <w:rFonts w:ascii="Garamond" w:hAnsi="Garamond"/>
          <w:sz w:val="26"/>
          <w:szCs w:val="26"/>
          <w:lang w:val="en-US"/>
        </w:rPr>
      </w:pPr>
      <w:r w:rsidRPr="00A82614">
        <w:rPr>
          <w:rFonts w:ascii="Garamond" w:hAnsi="Garamond"/>
          <w:sz w:val="26"/>
          <w:szCs w:val="26"/>
          <w:lang w:val="en-US"/>
        </w:rPr>
        <w:t>The State’s obligation to respect and protect freedom of association includes a duty to refrain from promoting, endorsing, or tolerating disinformation campaigns aimed at delegitimizing associations.</w:t>
      </w:r>
    </w:p>
    <w:p w14:paraId="21910A8F" w14:textId="77777777" w:rsidR="00A82614" w:rsidRPr="00A82614" w:rsidRDefault="00A82614" w:rsidP="00A82614">
      <w:pPr>
        <w:numPr>
          <w:ilvl w:val="0"/>
          <w:numId w:val="1"/>
        </w:numPr>
        <w:jc w:val="both"/>
        <w:rPr>
          <w:rFonts w:ascii="Garamond" w:hAnsi="Garamond"/>
          <w:sz w:val="26"/>
          <w:szCs w:val="26"/>
          <w:lang w:val="en-US"/>
        </w:rPr>
      </w:pPr>
      <w:r w:rsidRPr="00A82614">
        <w:rPr>
          <w:rFonts w:ascii="Garamond" w:hAnsi="Garamond"/>
          <w:sz w:val="26"/>
          <w:szCs w:val="26"/>
          <w:lang w:val="en-US"/>
        </w:rPr>
        <w:t>Disinformation that has the effect of discouraging membership or participation should be considered a form of indirect interference subject to the requirements of legality, legitimacy, necessity, and proportionality under Article 22(2).</w:t>
      </w:r>
    </w:p>
    <w:p w14:paraId="544ED6E8" w14:textId="77777777" w:rsidR="00A82614" w:rsidRPr="00A82614" w:rsidRDefault="00A82614" w:rsidP="00A82614">
      <w:pPr>
        <w:numPr>
          <w:ilvl w:val="0"/>
          <w:numId w:val="1"/>
        </w:numPr>
        <w:jc w:val="both"/>
        <w:rPr>
          <w:rFonts w:ascii="Garamond" w:hAnsi="Garamond"/>
          <w:sz w:val="26"/>
          <w:szCs w:val="26"/>
          <w:lang w:val="en-US"/>
        </w:rPr>
      </w:pPr>
      <w:r w:rsidRPr="00A82614">
        <w:rPr>
          <w:rFonts w:ascii="Garamond" w:hAnsi="Garamond"/>
          <w:sz w:val="26"/>
          <w:szCs w:val="26"/>
          <w:lang w:val="en-US"/>
        </w:rPr>
        <w:t>States should take reasonable steps to protect associations from coordinated disinformation by non</w:t>
      </w:r>
      <w:r w:rsidRPr="00A82614">
        <w:rPr>
          <w:rFonts w:ascii="Garamond" w:hAnsi="Garamond"/>
          <w:sz w:val="26"/>
          <w:szCs w:val="26"/>
          <w:lang w:val="en-US"/>
        </w:rPr>
        <w:noBreakHyphen/>
        <w:t>State actors, consistent with their positive obligations.</w:t>
      </w:r>
    </w:p>
    <w:p w14:paraId="701D8E7A" w14:textId="77777777" w:rsidR="00A82614" w:rsidRPr="00A82614" w:rsidRDefault="00A82614" w:rsidP="00A82614">
      <w:pPr>
        <w:jc w:val="both"/>
        <w:rPr>
          <w:rFonts w:ascii="Garamond" w:hAnsi="Garamond"/>
          <w:sz w:val="26"/>
          <w:szCs w:val="26"/>
          <w:lang w:val="en-US"/>
        </w:rPr>
      </w:pPr>
    </w:p>
    <w:sectPr w:rsidR="00A82614" w:rsidRPr="00A826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F0C30"/>
    <w:multiLevelType w:val="multilevel"/>
    <w:tmpl w:val="5D26F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682305"/>
    <w:multiLevelType w:val="multilevel"/>
    <w:tmpl w:val="6E42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021B7D"/>
    <w:multiLevelType w:val="multilevel"/>
    <w:tmpl w:val="6A92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60956">
    <w:abstractNumId w:val="0"/>
  </w:num>
  <w:num w:numId="2" w16cid:durableId="973414071">
    <w:abstractNumId w:val="1"/>
  </w:num>
  <w:num w:numId="3" w16cid:durableId="17565085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614"/>
    <w:rsid w:val="00A82614"/>
    <w:rsid w:val="00C743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C9A6"/>
  <w15:chartTrackingRefBased/>
  <w15:docId w15:val="{43DD80EE-5C5A-4EE2-9ED0-2ECEFEC54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82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2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26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26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26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26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26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26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26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26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26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26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26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26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26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26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26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2614"/>
    <w:rPr>
      <w:rFonts w:eastAsiaTheme="majorEastAsia" w:cstheme="majorBidi"/>
      <w:color w:val="272727" w:themeColor="text1" w:themeTint="D8"/>
    </w:rPr>
  </w:style>
  <w:style w:type="paragraph" w:styleId="Ttulo">
    <w:name w:val="Title"/>
    <w:basedOn w:val="Normal"/>
    <w:next w:val="Normal"/>
    <w:link w:val="TtuloCar"/>
    <w:uiPriority w:val="10"/>
    <w:qFormat/>
    <w:rsid w:val="00A82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26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26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26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2614"/>
    <w:pPr>
      <w:spacing w:before="160"/>
      <w:jc w:val="center"/>
    </w:pPr>
    <w:rPr>
      <w:i/>
      <w:iCs/>
      <w:color w:val="404040" w:themeColor="text1" w:themeTint="BF"/>
    </w:rPr>
  </w:style>
  <w:style w:type="character" w:customStyle="1" w:styleId="CitaCar">
    <w:name w:val="Cita Car"/>
    <w:basedOn w:val="Fuentedeprrafopredeter"/>
    <w:link w:val="Cita"/>
    <w:uiPriority w:val="29"/>
    <w:rsid w:val="00A82614"/>
    <w:rPr>
      <w:i/>
      <w:iCs/>
      <w:color w:val="404040" w:themeColor="text1" w:themeTint="BF"/>
    </w:rPr>
  </w:style>
  <w:style w:type="paragraph" w:styleId="Prrafodelista">
    <w:name w:val="List Paragraph"/>
    <w:basedOn w:val="Normal"/>
    <w:uiPriority w:val="34"/>
    <w:qFormat/>
    <w:rsid w:val="00A82614"/>
    <w:pPr>
      <w:ind w:left="720"/>
      <w:contextualSpacing/>
    </w:pPr>
  </w:style>
  <w:style w:type="character" w:styleId="nfasisintenso">
    <w:name w:val="Intense Emphasis"/>
    <w:basedOn w:val="Fuentedeprrafopredeter"/>
    <w:uiPriority w:val="21"/>
    <w:qFormat/>
    <w:rsid w:val="00A82614"/>
    <w:rPr>
      <w:i/>
      <w:iCs/>
      <w:color w:val="0F4761" w:themeColor="accent1" w:themeShade="BF"/>
    </w:rPr>
  </w:style>
  <w:style w:type="paragraph" w:styleId="Citadestacada">
    <w:name w:val="Intense Quote"/>
    <w:basedOn w:val="Normal"/>
    <w:next w:val="Normal"/>
    <w:link w:val="CitadestacadaCar"/>
    <w:uiPriority w:val="30"/>
    <w:qFormat/>
    <w:rsid w:val="00A82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2614"/>
    <w:rPr>
      <w:i/>
      <w:iCs/>
      <w:color w:val="0F4761" w:themeColor="accent1" w:themeShade="BF"/>
    </w:rPr>
  </w:style>
  <w:style w:type="character" w:styleId="Referenciaintensa">
    <w:name w:val="Intense Reference"/>
    <w:basedOn w:val="Fuentedeprrafopredeter"/>
    <w:uiPriority w:val="32"/>
    <w:qFormat/>
    <w:rsid w:val="00A826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5F5CC315-C435-46E0-AA13-E04C41870DD2}"/>
</file>

<file path=customXml/itemProps2.xml><?xml version="1.0" encoding="utf-8"?>
<ds:datastoreItem xmlns:ds="http://schemas.openxmlformats.org/officeDocument/2006/customXml" ds:itemID="{EB1027E6-086C-4670-BF31-993BA17E39E5}"/>
</file>

<file path=customXml/itemProps3.xml><?xml version="1.0" encoding="utf-8"?>
<ds:datastoreItem xmlns:ds="http://schemas.openxmlformats.org/officeDocument/2006/customXml" ds:itemID="{DC2F889F-A6DA-46ED-B31D-A21B85D5641F}"/>
</file>

<file path=docProps/app.xml><?xml version="1.0" encoding="utf-8"?>
<Properties xmlns="http://schemas.openxmlformats.org/officeDocument/2006/extended-properties" xmlns:vt="http://schemas.openxmlformats.org/officeDocument/2006/docPropsVTypes">
  <Template>Normal.dotm</Template>
  <TotalTime>5</TotalTime>
  <Pages>3</Pages>
  <Words>729</Words>
  <Characters>4010</Characters>
  <Application>Microsoft Office Word</Application>
  <DocSecurity>0</DocSecurity>
  <Lines>33</Lines>
  <Paragraphs>9</Paragraphs>
  <ScaleCrop>false</ScaleCrop>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Sánchez</dc:creator>
  <cp:keywords/>
  <dc:description/>
  <cp:lastModifiedBy>Manuela  Sánchez</cp:lastModifiedBy>
  <cp:revision>1</cp:revision>
  <dcterms:created xsi:type="dcterms:W3CDTF">2026-04-20T16:24:00Z</dcterms:created>
  <dcterms:modified xsi:type="dcterms:W3CDTF">2026-04-20T16:29:00Z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