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r w:rsidDel="00000000" w:rsidR="00000000" w:rsidRPr="00000000">
        <w:rPr>
          <w:b w:val="1"/>
          <w:bCs w:val="1"/>
          <w:sz w:val="36"/>
          <w:szCs w:val="36"/>
          <w:rtl w:val="0"/>
        </w:rPr>
        <w:t xml:space="preserve">SUBMISSION TO THE HUMAN RIGHTS COMMITTEE</w:t>
      </w:r>
    </w:p>
    <w:p w:rsidR="00000000" w:rsidDel="00000000" w:rsidP="00000000" w:rsidRDefault="00000000" w:rsidRPr="00000000" w14:paraId="00000002">
      <w:pPr>
        <w:jc w:val="center"/>
        <w:rPr/>
      </w:pPr>
      <w:r w:rsidDel="00000000" w:rsidR="00000000" w:rsidRPr="00000000">
        <w:rPr>
          <w:rtl w:val="0"/>
        </w:rPr>
        <w:t xml:space="preserve">Call for Comments – Draft General Comment No. 38 on Article 22 (Freedom of Association)</w:t>
      </w:r>
    </w:p>
    <w:p w:rsidR="00000000" w:rsidDel="00000000" w:rsidP="00000000" w:rsidRDefault="00000000" w:rsidRPr="00000000" w14:paraId="00000003">
      <w:pPr>
        <w:jc w:val="center"/>
        <w:rPr/>
      </w:pPr>
      <w:r w:rsidDel="00000000" w:rsidR="00000000" w:rsidRPr="00000000">
        <w:rPr>
          <w:rtl w:val="0"/>
        </w:rPr>
        <w:t xml:space="preserve">International Covenant on Civil and Political Rights (ICCPR)</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Submitted by:</w:t>
      </w:r>
      <w:r w:rsidDel="00000000" w:rsidR="00000000" w:rsidRPr="00000000">
        <w:rPr>
          <w:b w:val="1"/>
          <w:bCs w:val="1"/>
          <w:rtl w:val="0"/>
        </w:rPr>
        <w:t xml:space="preserve"> Nitya Lohiya</w:t>
      </w:r>
      <w:r w:rsidDel="00000000" w:rsidR="00000000" w:rsidRPr="00000000">
        <w:rPr>
          <w:rtl w:val="0"/>
        </w:rPr>
        <w:br w:type="textWrapping"/>
        <w:t xml:space="preserve">Submission Type: </w:t>
      </w:r>
      <w:r w:rsidDel="00000000" w:rsidR="00000000" w:rsidRPr="00000000">
        <w:rPr>
          <w:b w:val="1"/>
          <w:bCs w:val="1"/>
          <w:rtl w:val="0"/>
        </w:rPr>
        <w:t xml:space="preserve">Individual youth contribution </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CONFIDENTIALITY AND PUBLIC LISTING STATEMENT</w:t>
      </w:r>
    </w:p>
    <w:p w:rsidR="00000000" w:rsidDel="00000000" w:rsidP="00000000" w:rsidRDefault="00000000" w:rsidRPr="00000000" w14:paraId="0000000A">
      <w:pPr>
        <w:spacing w:after="240" w:before="240" w:lineRule="auto"/>
        <w:rPr/>
      </w:pPr>
      <w:r w:rsidDel="00000000" w:rsidR="00000000" w:rsidRPr="00000000">
        <w:rPr>
          <w:rtl w:val="0"/>
        </w:rPr>
        <w:t xml:space="preserve">This submission is provided in response to the Human Rights Committee’s call for comments on Draft General Comment No. 38 on Article 22 of the International Covenant on Civil and Political Rights (ICCPR).</w:t>
      </w:r>
    </w:p>
    <w:p w:rsidR="00000000" w:rsidDel="00000000" w:rsidP="00000000" w:rsidRDefault="00000000" w:rsidRPr="00000000" w14:paraId="0000000B">
      <w:pPr>
        <w:spacing w:after="240" w:before="240" w:lineRule="auto"/>
        <w:rPr/>
      </w:pPr>
      <w:r w:rsidDel="00000000" w:rsidR="00000000" w:rsidRPr="00000000">
        <w:rPr>
          <w:rtl w:val="0"/>
        </w:rPr>
        <w:t xml:space="preserve">The author requests that this submission be treated as a public document and made available on the OHCHR website as part of the official consultation process and outcomes. Public listing is requested in the interest of transparency, accountability, and the promotion of global dialogue on freedom of association.</w:t>
      </w:r>
    </w:p>
    <w:p w:rsidR="00000000" w:rsidDel="00000000" w:rsidP="00000000" w:rsidRDefault="00000000" w:rsidRPr="00000000" w14:paraId="0000000C">
      <w:pPr>
        <w:spacing w:after="240" w:before="240" w:lineRule="auto"/>
        <w:rPr/>
      </w:pPr>
      <w:r w:rsidDel="00000000" w:rsidR="00000000" w:rsidRPr="00000000">
        <w:rPr>
          <w:rtl w:val="0"/>
        </w:rPr>
        <w:t xml:space="preserve">No part of this submission is intended to be confidential, and the author consents to its publication, citation, and dissemination by OHCHR and relevant United Nations mechanisms.</w:t>
      </w:r>
    </w:p>
    <w:p w:rsidR="00000000" w:rsidDel="00000000" w:rsidP="00000000" w:rsidRDefault="00000000" w:rsidRPr="00000000" w14:paraId="0000000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1. INTRODUCTION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This submission is made pursuant to the Human Rights Committee’s call for comments on Draft General Comment No. 38 concerning Article 22 of the International Covenant on Civil and Political Rights (ICCPR).</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Article 22 ICCPR guarantees the right to freedom of association, which constitutes a foundational element of democratic governance and pluralistic society. It enables individuals to collectively pursue shared interests and engage in civil, political, economic, social, and cultural life.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The Human Rights Committee has consistently affirmed that freedom of association is essential for the proper functioning of a democratic society and is closely interlinked with Articles 19, 21, and 25 of the ICCPR, as elaborated in General Comment No. 34 (freedom of expression), General Comment No. 37 (peaceful assembly), and General Comment No. 25 (participation in public affairs).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In light of evolving global challenges, including digital transformation, increasing regulatory restrictions on civil society, securitization of governance frameworks, and shrinking civic space, it is necessary that General Comment No. 38 provides a clear, comprehensive, and future-oriented interpretation of Article 22.</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This submission provides expanded legal analysis, comparative jurisprudence, and detailed recommendations grounded in ICCPR provisions, Human Rights Committee jurisprudence under the Optional Protocol, and relevant General Comments.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2. LEGAL FRAMEWORK UNDER ARTICLE 22 ICCPR</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Article 22(1) of the ICCPR protects the right to freedom of association with others, including the right to form and join trade unions for the protection of one’s interests. This protection extends to political, civic, cultural, religious, professional, and human rights-based associations.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Article 22(2) permits restrictions only where such restrictions are:</w:t>
      </w:r>
    </w:p>
    <w:p w:rsidR="00000000" w:rsidDel="00000000" w:rsidP="00000000" w:rsidRDefault="00000000" w:rsidRPr="00000000" w14:paraId="00000021">
      <w:pPr>
        <w:rPr/>
      </w:pPr>
      <w:r w:rsidDel="00000000" w:rsidR="00000000" w:rsidRPr="00000000">
        <w:rPr>
          <w:rtl w:val="0"/>
        </w:rPr>
        <w:t xml:space="preserve">(a) prescribed by law;</w:t>
      </w:r>
    </w:p>
    <w:p w:rsidR="00000000" w:rsidDel="00000000" w:rsidP="00000000" w:rsidRDefault="00000000" w:rsidRPr="00000000" w14:paraId="00000022">
      <w:pPr>
        <w:rPr/>
      </w:pPr>
      <w:r w:rsidDel="00000000" w:rsidR="00000000" w:rsidRPr="00000000">
        <w:rPr>
          <w:rtl w:val="0"/>
        </w:rPr>
        <w:t xml:space="preserve">(b) necessary in a democratic society; and</w:t>
      </w:r>
    </w:p>
    <w:p w:rsidR="00000000" w:rsidDel="00000000" w:rsidP="00000000" w:rsidRDefault="00000000" w:rsidRPr="00000000" w14:paraId="00000023">
      <w:pPr>
        <w:rPr/>
      </w:pPr>
      <w:r w:rsidDel="00000000" w:rsidR="00000000" w:rsidRPr="00000000">
        <w:rPr>
          <w:rtl w:val="0"/>
        </w:rPr>
        <w:t xml:space="preserve">(c) strictly justified in pursuit of legitimate aims such as national security, public safety, public order, public health or morals, or protection of the rights and freedoms of others.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The Human Rights Committee has repeatedly emphasized that these conditions are cumulative and must be interpreted strictly. Any restriction must satisfy the tests of legality, necessity, proportionality, and non-discrimination.¹</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In addition, restrictions must not impair the essence of the right, as affirmed in the Committee’s jurisprudence and General Comment No. 31.²</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The Committee has further clarified that States bear the burden of demonstrating that any interference with Article 22 rights is justified in fact and law.</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3. HUMAN RIGHTS COMMITTEE JURISPRUDENCE ON ARTICLE 22</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3.1 Korneenko et al. v. Belarus (Communication No. 1274/2004)</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The Committee held that excessive administrative barriers to NGO registration constituted a violation of Article 22. It found that regulatory frameworks that impose disproportionate procedural burdens or discretionary approval mechanisms undermine the very essence of the right to association.³</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The Committee further emphasized that registration systems must not be used as indirect tools for suppressing civil society activity.</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3.2 Zvozskov et al. v. Belarus (Communication No. 1039/2001)</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The Committee concluded that refusal to register an association without adequate justification violates Article 22. It held that vague or arbitrary grounds for denial are incompatible with the principle of legality.⁴</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This case reinforces the requirement that administrative decisions affecting association must be transparent, reasoned, and subject to effective judicial review.</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3.3 Kuznetsov et al. v. Belarus (Communication No. 2073/2011)</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The Committee reaffirmed that dissolution of associations is an extreme measure that must be strictly necessary and proportionate. It held that dissolution cannot be used as a punitive response to lawful advocacy or criticism of government policy.⁵</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Judicial safeguards and evidentiary thresholds must be particularly stringent in such cases.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3.4 Systemic Principles Derived from Jurisprudence</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Across its jurisprudence, the Committee has consistently established the following principles:</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numPr>
          <w:ilvl w:val="0"/>
          <w:numId w:val="2"/>
        </w:numPr>
        <w:ind w:left="720" w:hanging="360"/>
        <w:rPr>
          <w:u w:val="none"/>
        </w:rPr>
      </w:pPr>
      <w:r w:rsidDel="00000000" w:rsidR="00000000" w:rsidRPr="00000000">
        <w:rPr>
          <w:rtl w:val="0"/>
        </w:rPr>
        <w:t xml:space="preserve"> Association rights protect both formal and informal collective activity;</w:t>
      </w:r>
    </w:p>
    <w:p w:rsidR="00000000" w:rsidDel="00000000" w:rsidP="00000000" w:rsidRDefault="00000000" w:rsidRPr="00000000" w14:paraId="00000047">
      <w:pPr>
        <w:numPr>
          <w:ilvl w:val="0"/>
          <w:numId w:val="2"/>
        </w:numPr>
        <w:ind w:left="720" w:hanging="360"/>
        <w:rPr>
          <w:u w:val="none"/>
        </w:rPr>
      </w:pPr>
      <w:r w:rsidDel="00000000" w:rsidR="00000000" w:rsidRPr="00000000">
        <w:rPr>
          <w:rtl w:val="0"/>
        </w:rPr>
        <w:t xml:space="preserve">Prior authorization regimes that effectively negate the right are incompatible with Article 22;</w:t>
      </w:r>
    </w:p>
    <w:p w:rsidR="00000000" w:rsidDel="00000000" w:rsidP="00000000" w:rsidRDefault="00000000" w:rsidRPr="00000000" w14:paraId="00000048">
      <w:pPr>
        <w:numPr>
          <w:ilvl w:val="0"/>
          <w:numId w:val="2"/>
        </w:numPr>
        <w:ind w:left="720" w:hanging="360"/>
        <w:rPr>
          <w:u w:val="none"/>
        </w:rPr>
      </w:pPr>
      <w:r w:rsidDel="00000000" w:rsidR="00000000" w:rsidRPr="00000000">
        <w:rPr>
          <w:rtl w:val="0"/>
        </w:rPr>
        <w:t xml:space="preserve"> Indirect interference, including administrative burdens and financial constraints, may constitute violations;</w:t>
      </w:r>
    </w:p>
    <w:p w:rsidR="00000000" w:rsidDel="00000000" w:rsidP="00000000" w:rsidRDefault="00000000" w:rsidRPr="00000000" w14:paraId="00000049">
      <w:pPr>
        <w:numPr>
          <w:ilvl w:val="0"/>
          <w:numId w:val="2"/>
        </w:numPr>
        <w:ind w:left="720" w:hanging="360"/>
        <w:rPr>
          <w:u w:val="none"/>
        </w:rPr>
      </w:pPr>
      <w:r w:rsidDel="00000000" w:rsidR="00000000" w:rsidRPr="00000000">
        <w:rPr>
          <w:rtl w:val="0"/>
        </w:rPr>
        <w:t xml:space="preserve">Dissolution, suspension, or deregistration of associations must be strictly exceptional;</w:t>
      </w:r>
    </w:p>
    <w:p w:rsidR="00000000" w:rsidDel="00000000" w:rsidP="00000000" w:rsidRDefault="00000000" w:rsidRPr="00000000" w14:paraId="0000004A">
      <w:pPr>
        <w:numPr>
          <w:ilvl w:val="0"/>
          <w:numId w:val="2"/>
        </w:numPr>
        <w:ind w:left="720" w:hanging="360"/>
        <w:rPr>
          <w:u w:val="none"/>
        </w:rPr>
      </w:pPr>
      <w:r w:rsidDel="00000000" w:rsidR="00000000" w:rsidRPr="00000000">
        <w:rPr>
          <w:rtl w:val="0"/>
        </w:rPr>
        <w:t xml:space="preserve"> Peaceful political dissent and advocacy fall at the core of protection.</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These principles reflect a strong presumption in favour of enabling civic space.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4. ANALYSIS AND RECOMMENDATIONS ON DRAFT GENERAL COMMENT NO. 38</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4.1 Expanded Scope of Protection in Digital Environments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The Draft General Comment should explicitly recognize that Article 22 applies fully in digital and technological contexts.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Associative activity increasingly takes place through interconnected digital infrastructures, including:</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numPr>
          <w:ilvl w:val="0"/>
          <w:numId w:val="4"/>
        </w:numPr>
        <w:ind w:left="720" w:hanging="360"/>
        <w:rPr>
          <w:u w:val="none"/>
        </w:rPr>
      </w:pPr>
      <w:r w:rsidDel="00000000" w:rsidR="00000000" w:rsidRPr="00000000">
        <w:rPr>
          <w:rtl w:val="0"/>
        </w:rPr>
        <w:t xml:space="preserve"> Social media ecosystems</w:t>
      </w:r>
    </w:p>
    <w:p w:rsidR="00000000" w:rsidDel="00000000" w:rsidP="00000000" w:rsidRDefault="00000000" w:rsidRPr="00000000" w14:paraId="00000058">
      <w:pPr>
        <w:numPr>
          <w:ilvl w:val="0"/>
          <w:numId w:val="4"/>
        </w:numPr>
        <w:ind w:left="720" w:hanging="360"/>
        <w:rPr>
          <w:u w:val="none"/>
        </w:rPr>
      </w:pPr>
      <w:r w:rsidDel="00000000" w:rsidR="00000000" w:rsidRPr="00000000">
        <w:rPr>
          <w:rtl w:val="0"/>
        </w:rPr>
        <w:t xml:space="preserve"> End-to-end encrypted communication platforms</w:t>
      </w:r>
    </w:p>
    <w:p w:rsidR="00000000" w:rsidDel="00000000" w:rsidP="00000000" w:rsidRDefault="00000000" w:rsidRPr="00000000" w14:paraId="00000059">
      <w:pPr>
        <w:numPr>
          <w:ilvl w:val="0"/>
          <w:numId w:val="4"/>
        </w:numPr>
        <w:ind w:left="720" w:hanging="360"/>
        <w:rPr>
          <w:u w:val="none"/>
        </w:rPr>
      </w:pPr>
      <w:r w:rsidDel="00000000" w:rsidR="00000000" w:rsidRPr="00000000">
        <w:rPr>
          <w:rtl w:val="0"/>
        </w:rPr>
        <w:t xml:space="preserve"> Online advocacy networks</w:t>
      </w:r>
    </w:p>
    <w:p w:rsidR="00000000" w:rsidDel="00000000" w:rsidP="00000000" w:rsidRDefault="00000000" w:rsidRPr="00000000" w14:paraId="0000005A">
      <w:pPr>
        <w:numPr>
          <w:ilvl w:val="0"/>
          <w:numId w:val="4"/>
        </w:numPr>
        <w:ind w:left="720" w:hanging="360"/>
        <w:rPr>
          <w:u w:val="none"/>
        </w:rPr>
      </w:pPr>
      <w:r w:rsidDel="00000000" w:rsidR="00000000" w:rsidRPr="00000000">
        <w:rPr>
          <w:rtl w:val="0"/>
        </w:rPr>
        <w:t xml:space="preserve"> Digital civil society coalitions</w:t>
      </w:r>
    </w:p>
    <w:p w:rsidR="00000000" w:rsidDel="00000000" w:rsidP="00000000" w:rsidRDefault="00000000" w:rsidRPr="00000000" w14:paraId="0000005B">
      <w:pPr>
        <w:numPr>
          <w:ilvl w:val="0"/>
          <w:numId w:val="4"/>
        </w:numPr>
        <w:ind w:left="720" w:hanging="360"/>
        <w:rPr>
          <w:u w:val="none"/>
        </w:rPr>
      </w:pPr>
      <w:r w:rsidDel="00000000" w:rsidR="00000000" w:rsidRPr="00000000">
        <w:rPr>
          <w:rtl w:val="0"/>
        </w:rPr>
        <w:t xml:space="preserve"> Transnational virtual movements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The Committee has already recognized in General Comment No. 37 that digital environments are integral to the exercise of rights. This reasoning must be extended to association rights under Article 22.</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It is therefore recommended that the General Comment affirm that digital association enjoys the same level of protection as physical-world association and that States must refrain from imposing disproportionate surveillance, data retention, or platform-based restrictions that interfere with such activity.</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4.2 Administrative and Regulatory Restrictions as Structural Barriers</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The Committee’s jurisprudence demonstrates that violations of Article 22 often arise not from explicit prohibitions but from cumulative administrative burdens.</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Such barriers include:</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numPr>
          <w:ilvl w:val="0"/>
          <w:numId w:val="8"/>
        </w:numPr>
        <w:ind w:left="720" w:hanging="360"/>
        <w:rPr>
          <w:u w:val="none"/>
        </w:rPr>
      </w:pPr>
      <w:r w:rsidDel="00000000" w:rsidR="00000000" w:rsidRPr="00000000">
        <w:rPr>
          <w:rtl w:val="0"/>
        </w:rPr>
        <w:t xml:space="preserve">Overly complex NGO registration procedures</w:t>
      </w:r>
    </w:p>
    <w:p w:rsidR="00000000" w:rsidDel="00000000" w:rsidP="00000000" w:rsidRDefault="00000000" w:rsidRPr="00000000" w14:paraId="00000069">
      <w:pPr>
        <w:numPr>
          <w:ilvl w:val="0"/>
          <w:numId w:val="8"/>
        </w:numPr>
        <w:ind w:left="720" w:hanging="360"/>
        <w:rPr>
          <w:u w:val="none"/>
        </w:rPr>
      </w:pPr>
      <w:r w:rsidDel="00000000" w:rsidR="00000000" w:rsidRPr="00000000">
        <w:rPr>
          <w:rtl w:val="0"/>
        </w:rPr>
        <w:t xml:space="preserve"> Excessive financial disclosure requirements</w:t>
      </w:r>
    </w:p>
    <w:p w:rsidR="00000000" w:rsidDel="00000000" w:rsidP="00000000" w:rsidRDefault="00000000" w:rsidRPr="00000000" w14:paraId="0000006A">
      <w:pPr>
        <w:numPr>
          <w:ilvl w:val="0"/>
          <w:numId w:val="8"/>
        </w:numPr>
        <w:ind w:left="720" w:hanging="360"/>
        <w:rPr>
          <w:u w:val="none"/>
        </w:rPr>
      </w:pPr>
      <w:r w:rsidDel="00000000" w:rsidR="00000000" w:rsidRPr="00000000">
        <w:rPr>
          <w:rtl w:val="0"/>
        </w:rPr>
        <w:t xml:space="preserve"> Arbitrary or politically influenced licensing decisions</w:t>
      </w:r>
    </w:p>
    <w:p w:rsidR="00000000" w:rsidDel="00000000" w:rsidP="00000000" w:rsidRDefault="00000000" w:rsidRPr="00000000" w14:paraId="0000006B">
      <w:pPr>
        <w:numPr>
          <w:ilvl w:val="0"/>
          <w:numId w:val="8"/>
        </w:numPr>
        <w:ind w:left="720" w:hanging="360"/>
        <w:rPr>
          <w:u w:val="none"/>
        </w:rPr>
      </w:pPr>
      <w:r w:rsidDel="00000000" w:rsidR="00000000" w:rsidRPr="00000000">
        <w:rPr>
          <w:rtl w:val="0"/>
        </w:rPr>
        <w:t xml:space="preserve"> Discriminatory access to foreign funding</w:t>
      </w:r>
    </w:p>
    <w:p w:rsidR="00000000" w:rsidDel="00000000" w:rsidP="00000000" w:rsidRDefault="00000000" w:rsidRPr="00000000" w14:paraId="0000006C">
      <w:pPr>
        <w:numPr>
          <w:ilvl w:val="0"/>
          <w:numId w:val="8"/>
        </w:numPr>
        <w:ind w:left="720" w:hanging="360"/>
        <w:rPr>
          <w:u w:val="none"/>
        </w:rPr>
      </w:pPr>
      <w:r w:rsidDel="00000000" w:rsidR="00000000" w:rsidRPr="00000000">
        <w:rPr>
          <w:rtl w:val="0"/>
        </w:rPr>
        <w:t xml:space="preserve"> Broadly defined “public order” clauses lacking legal precision</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These measures can create a “regulatory chilling effect,” deterring individuals from exercising their right to associate even in the absence of formal prohibition.</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The Draft General Comment should explicitly classify such indirect interference as incompatible with Article 22 when it undermines effective enjoyment of the right.</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4.3 Protection of Informal and Emerging Forms of Association</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The protection of Article 22 is not limited to formally recognized legal entities.</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The Committee should clarify that:</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numPr>
          <w:ilvl w:val="0"/>
          <w:numId w:val="10"/>
        </w:numPr>
        <w:ind w:left="720" w:hanging="360"/>
        <w:rPr>
          <w:u w:val="none"/>
        </w:rPr>
      </w:pPr>
      <w:r w:rsidDel="00000000" w:rsidR="00000000" w:rsidRPr="00000000">
        <w:rPr>
          <w:rtl w:val="0"/>
        </w:rPr>
        <w:t xml:space="preserve">Informal collectives, grassroots movements, and spontaneous civic groups fall within the scope of Article 22;</w:t>
      </w:r>
    </w:p>
    <w:p w:rsidR="00000000" w:rsidDel="00000000" w:rsidP="00000000" w:rsidRDefault="00000000" w:rsidRPr="00000000" w14:paraId="0000007A">
      <w:pPr>
        <w:numPr>
          <w:ilvl w:val="0"/>
          <w:numId w:val="10"/>
        </w:numPr>
        <w:ind w:left="720" w:hanging="360"/>
        <w:rPr>
          <w:u w:val="none"/>
        </w:rPr>
      </w:pPr>
      <w:r w:rsidDel="00000000" w:rsidR="00000000" w:rsidRPr="00000000">
        <w:rPr>
          <w:rtl w:val="0"/>
        </w:rPr>
        <w:t xml:space="preserve">Legal personality is not a prerequisite for protection;</w:t>
      </w:r>
    </w:p>
    <w:p w:rsidR="00000000" w:rsidDel="00000000" w:rsidP="00000000" w:rsidRDefault="00000000" w:rsidRPr="00000000" w14:paraId="0000007B">
      <w:pPr>
        <w:numPr>
          <w:ilvl w:val="0"/>
          <w:numId w:val="10"/>
        </w:numPr>
        <w:ind w:left="720" w:hanging="360"/>
        <w:rPr>
          <w:u w:val="none"/>
        </w:rPr>
      </w:pPr>
      <w:r w:rsidDel="00000000" w:rsidR="00000000" w:rsidRPr="00000000">
        <w:rPr>
          <w:rtl w:val="0"/>
        </w:rPr>
        <w:t xml:space="preserve"> States must not impose compulsory registration as a precondition for peaceful association;</w:t>
      </w:r>
    </w:p>
    <w:p w:rsidR="00000000" w:rsidDel="00000000" w:rsidP="00000000" w:rsidRDefault="00000000" w:rsidRPr="00000000" w14:paraId="0000007C">
      <w:pPr>
        <w:numPr>
          <w:ilvl w:val="0"/>
          <w:numId w:val="10"/>
        </w:numPr>
        <w:ind w:left="720" w:hanging="360"/>
        <w:rPr>
          <w:u w:val="none"/>
        </w:rPr>
      </w:pPr>
      <w:r w:rsidDel="00000000" w:rsidR="00000000" w:rsidRPr="00000000">
        <w:rPr>
          <w:rtl w:val="0"/>
        </w:rPr>
        <w:t xml:space="preserve"> Informal associations must be able to operate without undue interference.</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This interpretation is essential to preserve the adaptability of Article 22 in evolving civic contexts, particularly among youth-led and digital movements.</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4.4 National Security, Public Order, and the Principle of Strict Necessity</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The invocation of national security remains one of the most frequently abused limitations on civil liberties globally.</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The Committee has consistently cautioned against overly broad interpretations of security-based justifications.</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The Draft General Comment should therefore emphasize:</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numPr>
          <w:ilvl w:val="0"/>
          <w:numId w:val="6"/>
        </w:numPr>
        <w:ind w:left="720" w:hanging="360"/>
        <w:rPr>
          <w:u w:val="none"/>
        </w:rPr>
      </w:pPr>
      <w:r w:rsidDel="00000000" w:rsidR="00000000" w:rsidRPr="00000000">
        <w:rPr>
          <w:rtl w:val="0"/>
        </w:rPr>
        <w:t xml:space="preserve">National security must be interpreted narrowly and cannot be used to suppress peaceful civic activity;</w:t>
      </w:r>
    </w:p>
    <w:p w:rsidR="00000000" w:rsidDel="00000000" w:rsidP="00000000" w:rsidRDefault="00000000" w:rsidRPr="00000000" w14:paraId="0000008A">
      <w:pPr>
        <w:numPr>
          <w:ilvl w:val="0"/>
          <w:numId w:val="6"/>
        </w:numPr>
        <w:ind w:left="720" w:hanging="360"/>
        <w:rPr>
          <w:u w:val="none"/>
        </w:rPr>
      </w:pPr>
      <w:r w:rsidDel="00000000" w:rsidR="00000000" w:rsidRPr="00000000">
        <w:rPr>
          <w:rtl w:val="0"/>
        </w:rPr>
        <w:t xml:space="preserve"> Restrictions must be based on demonstrable evidence, not assumptions or speculation;</w:t>
      </w:r>
    </w:p>
    <w:p w:rsidR="00000000" w:rsidDel="00000000" w:rsidP="00000000" w:rsidRDefault="00000000" w:rsidRPr="00000000" w14:paraId="0000008B">
      <w:pPr>
        <w:numPr>
          <w:ilvl w:val="0"/>
          <w:numId w:val="6"/>
        </w:numPr>
        <w:ind w:left="720" w:hanging="360"/>
        <w:rPr>
          <w:u w:val="none"/>
        </w:rPr>
      </w:pPr>
      <w:r w:rsidDel="00000000" w:rsidR="00000000" w:rsidRPr="00000000">
        <w:rPr>
          <w:rtl w:val="0"/>
        </w:rPr>
        <w:t xml:space="preserve"> Measures must be strictly necessary and proportionate to a legitimate aim;</w:t>
      </w:r>
    </w:p>
    <w:p w:rsidR="00000000" w:rsidDel="00000000" w:rsidP="00000000" w:rsidRDefault="00000000" w:rsidRPr="00000000" w14:paraId="0000008C">
      <w:pPr>
        <w:numPr>
          <w:ilvl w:val="0"/>
          <w:numId w:val="6"/>
        </w:numPr>
        <w:ind w:left="720" w:hanging="360"/>
        <w:rPr>
          <w:u w:val="none"/>
        </w:rPr>
      </w:pPr>
      <w:r w:rsidDel="00000000" w:rsidR="00000000" w:rsidRPr="00000000">
        <w:rPr>
          <w:rtl w:val="0"/>
        </w:rPr>
        <w:t xml:space="preserve"> Judicial oversight must be independent and effective;</w:t>
      </w:r>
    </w:p>
    <w:p w:rsidR="00000000" w:rsidDel="00000000" w:rsidP="00000000" w:rsidRDefault="00000000" w:rsidRPr="00000000" w14:paraId="0000008D">
      <w:pPr>
        <w:numPr>
          <w:ilvl w:val="0"/>
          <w:numId w:val="6"/>
        </w:numPr>
        <w:ind w:left="720" w:hanging="360"/>
        <w:rPr>
          <w:u w:val="none"/>
        </w:rPr>
      </w:pPr>
      <w:r w:rsidDel="00000000" w:rsidR="00000000" w:rsidRPr="00000000">
        <w:rPr>
          <w:rtl w:val="0"/>
        </w:rPr>
        <w:t xml:space="preserve"> Pre-emptive dissolution or suspension of associations is only permissible in exceptional circumstances where imminent and serious harm is established.</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Vague or overly elastic definitions of security threats are incompatible with the principle of legality under Article 22(2).</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4.5 Protection of Human Rights Defenders and Civil Society Actors</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Human rights defenders play a central role in the realization of ICCPR rights.</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The Draft General Comment should reaffirm that:</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numPr>
          <w:ilvl w:val="0"/>
          <w:numId w:val="7"/>
        </w:numPr>
        <w:ind w:left="720" w:hanging="360"/>
        <w:rPr>
          <w:u w:val="none"/>
        </w:rPr>
      </w:pPr>
      <w:r w:rsidDel="00000000" w:rsidR="00000000" w:rsidRPr="00000000">
        <w:rPr>
          <w:rtl w:val="0"/>
        </w:rPr>
        <w:t xml:space="preserve"> Individuals engaging in human rights advocacy are protected under Article 22;</w:t>
      </w:r>
    </w:p>
    <w:p w:rsidR="00000000" w:rsidDel="00000000" w:rsidP="00000000" w:rsidRDefault="00000000" w:rsidRPr="00000000" w14:paraId="00000099">
      <w:pPr>
        <w:numPr>
          <w:ilvl w:val="0"/>
          <w:numId w:val="7"/>
        </w:numPr>
        <w:ind w:left="720" w:hanging="360"/>
        <w:rPr>
          <w:u w:val="none"/>
        </w:rPr>
      </w:pPr>
      <w:r w:rsidDel="00000000" w:rsidR="00000000" w:rsidRPr="00000000">
        <w:rPr>
          <w:rtl w:val="0"/>
        </w:rPr>
        <w:t xml:space="preserve"> Retaliatory measures, including harassment, surveillance, or administrative targeting, constitute violations;</w:t>
      </w:r>
    </w:p>
    <w:p w:rsidR="00000000" w:rsidDel="00000000" w:rsidP="00000000" w:rsidRDefault="00000000" w:rsidRPr="00000000" w14:paraId="0000009A">
      <w:pPr>
        <w:numPr>
          <w:ilvl w:val="0"/>
          <w:numId w:val="7"/>
        </w:numPr>
        <w:ind w:left="720" w:hanging="360"/>
        <w:rPr>
          <w:u w:val="none"/>
        </w:rPr>
      </w:pPr>
      <w:r w:rsidDel="00000000" w:rsidR="00000000" w:rsidRPr="00000000">
        <w:rPr>
          <w:rtl w:val="0"/>
        </w:rPr>
        <w:t xml:space="preserve"> States must ensure a safe and enabling environment for civil society actors;</w:t>
      </w:r>
    </w:p>
    <w:p w:rsidR="00000000" w:rsidDel="00000000" w:rsidP="00000000" w:rsidRDefault="00000000" w:rsidRPr="00000000" w14:paraId="0000009B">
      <w:pPr>
        <w:numPr>
          <w:ilvl w:val="0"/>
          <w:numId w:val="7"/>
        </w:numPr>
        <w:ind w:left="720" w:hanging="360"/>
        <w:rPr>
          <w:u w:val="none"/>
        </w:rPr>
      </w:pPr>
      <w:r w:rsidDel="00000000" w:rsidR="00000000" w:rsidRPr="00000000">
        <w:rPr>
          <w:rtl w:val="0"/>
        </w:rPr>
        <w:t xml:space="preserve"> Protection extends to individuals acting collectively in defense of rights, regardless of formal organizational status.</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This aligns with the UN Declaration on Human Rights Defenders (1998) and the Committee’s broader interpretive practice.</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4.6 Emerging Risks: Digital Surveillance, AI Governance, and Predictive Systems</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The increasing deployment of artificial intelligence and digital surveillance technologies introduces new structural risks to associative freedom.</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These include:</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numPr>
          <w:ilvl w:val="0"/>
          <w:numId w:val="3"/>
        </w:numPr>
        <w:ind w:left="720" w:hanging="360"/>
        <w:rPr>
          <w:u w:val="none"/>
        </w:rPr>
      </w:pPr>
      <w:r w:rsidDel="00000000" w:rsidR="00000000" w:rsidRPr="00000000">
        <w:rPr>
          <w:rtl w:val="0"/>
        </w:rPr>
        <w:t xml:space="preserve"> Algorithmic profiling of civic actors and organizations</w:t>
      </w:r>
    </w:p>
    <w:p w:rsidR="00000000" w:rsidDel="00000000" w:rsidP="00000000" w:rsidRDefault="00000000" w:rsidRPr="00000000" w14:paraId="000000A7">
      <w:pPr>
        <w:numPr>
          <w:ilvl w:val="0"/>
          <w:numId w:val="3"/>
        </w:numPr>
        <w:ind w:left="720" w:hanging="360"/>
        <w:rPr>
          <w:u w:val="none"/>
        </w:rPr>
      </w:pPr>
      <w:r w:rsidDel="00000000" w:rsidR="00000000" w:rsidRPr="00000000">
        <w:rPr>
          <w:rtl w:val="0"/>
        </w:rPr>
        <w:t xml:space="preserve"> Predictive identification of protest or advocacy networks</w:t>
      </w:r>
    </w:p>
    <w:p w:rsidR="00000000" w:rsidDel="00000000" w:rsidP="00000000" w:rsidRDefault="00000000" w:rsidRPr="00000000" w14:paraId="000000A8">
      <w:pPr>
        <w:numPr>
          <w:ilvl w:val="0"/>
          <w:numId w:val="3"/>
        </w:numPr>
        <w:ind w:left="720" w:hanging="360"/>
        <w:rPr>
          <w:u w:val="none"/>
        </w:rPr>
      </w:pPr>
      <w:r w:rsidDel="00000000" w:rsidR="00000000" w:rsidRPr="00000000">
        <w:rPr>
          <w:rtl w:val="0"/>
        </w:rPr>
        <w:t xml:space="preserve"> Mass metadata collection on association patterns</w:t>
      </w:r>
    </w:p>
    <w:p w:rsidR="00000000" w:rsidDel="00000000" w:rsidP="00000000" w:rsidRDefault="00000000" w:rsidRPr="00000000" w14:paraId="000000A9">
      <w:pPr>
        <w:numPr>
          <w:ilvl w:val="0"/>
          <w:numId w:val="3"/>
        </w:numPr>
        <w:ind w:left="720" w:hanging="360"/>
        <w:rPr>
          <w:u w:val="none"/>
        </w:rPr>
      </w:pPr>
      <w:r w:rsidDel="00000000" w:rsidR="00000000" w:rsidRPr="00000000">
        <w:rPr>
          <w:rtl w:val="0"/>
        </w:rPr>
        <w:t xml:space="preserve">Automated content moderation suppressing civic engagement</w:t>
      </w:r>
    </w:p>
    <w:p w:rsidR="00000000" w:rsidDel="00000000" w:rsidP="00000000" w:rsidRDefault="00000000" w:rsidRPr="00000000" w14:paraId="000000AA">
      <w:pPr>
        <w:numPr>
          <w:ilvl w:val="0"/>
          <w:numId w:val="3"/>
        </w:numPr>
        <w:ind w:left="720" w:hanging="360"/>
        <w:rPr>
          <w:u w:val="none"/>
        </w:rPr>
      </w:pPr>
      <w:r w:rsidDel="00000000" w:rsidR="00000000" w:rsidRPr="00000000">
        <w:rPr>
          <w:rtl w:val="0"/>
        </w:rPr>
        <w:t xml:space="preserve"> Cross-platform tracking of collective activity</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Such systems can have a chilling effect on association even without direct prohibition.</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The Draft General Comment should establish that:</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numPr>
          <w:ilvl w:val="0"/>
          <w:numId w:val="5"/>
        </w:numPr>
        <w:ind w:left="720" w:hanging="360"/>
        <w:rPr>
          <w:u w:val="none"/>
        </w:rPr>
      </w:pPr>
      <w:r w:rsidDel="00000000" w:rsidR="00000000" w:rsidRPr="00000000">
        <w:rPr>
          <w:rtl w:val="0"/>
        </w:rPr>
        <w:t xml:space="preserve"> Mass or indiscriminate surveillance of associative activity is inherently incompatible with Article 22;</w:t>
      </w:r>
    </w:p>
    <w:p w:rsidR="00000000" w:rsidDel="00000000" w:rsidP="00000000" w:rsidRDefault="00000000" w:rsidRPr="00000000" w14:paraId="000000B1">
      <w:pPr>
        <w:numPr>
          <w:ilvl w:val="0"/>
          <w:numId w:val="5"/>
        </w:numPr>
        <w:ind w:left="720" w:hanging="360"/>
        <w:rPr>
          <w:u w:val="none"/>
        </w:rPr>
      </w:pPr>
      <w:r w:rsidDel="00000000" w:rsidR="00000000" w:rsidRPr="00000000">
        <w:rPr>
          <w:rtl w:val="0"/>
        </w:rPr>
        <w:t xml:space="preserve"> Any surveillance must meet strict necessity, proportionality, and legality requirements;</w:t>
      </w:r>
    </w:p>
    <w:p w:rsidR="00000000" w:rsidDel="00000000" w:rsidP="00000000" w:rsidRDefault="00000000" w:rsidRPr="00000000" w14:paraId="000000B2">
      <w:pPr>
        <w:numPr>
          <w:ilvl w:val="0"/>
          <w:numId w:val="5"/>
        </w:numPr>
        <w:ind w:left="720" w:hanging="360"/>
        <w:rPr>
          <w:u w:val="none"/>
        </w:rPr>
      </w:pPr>
      <w:r w:rsidDel="00000000" w:rsidR="00000000" w:rsidRPr="00000000">
        <w:rPr>
          <w:rtl w:val="0"/>
        </w:rPr>
        <w:t xml:space="preserve"> States must implement robust safeguards, including transparency, independent oversight, and judicial authorization;</w:t>
      </w:r>
    </w:p>
    <w:p w:rsidR="00000000" w:rsidDel="00000000" w:rsidP="00000000" w:rsidRDefault="00000000" w:rsidRPr="00000000" w14:paraId="000000B3">
      <w:pPr>
        <w:numPr>
          <w:ilvl w:val="0"/>
          <w:numId w:val="5"/>
        </w:numPr>
        <w:ind w:left="720" w:hanging="360"/>
        <w:rPr>
          <w:u w:val="none"/>
        </w:rPr>
      </w:pPr>
      <w:r w:rsidDel="00000000" w:rsidR="00000000" w:rsidRPr="00000000">
        <w:rPr>
          <w:rtl w:val="0"/>
        </w:rPr>
        <w:t xml:space="preserve"> Algorithmic governance systems must not be used to suppress lawful civic participation.</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4.7 Positive Obligations of States Under Article 22</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The Committee has consistently affirmed under General Comment No. 31 that ICCPR rights impose both negative and positive obligations.</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In the context of Article 22, States must:</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numPr>
          <w:ilvl w:val="0"/>
          <w:numId w:val="1"/>
        </w:numPr>
        <w:ind w:left="720" w:hanging="360"/>
        <w:rPr>
          <w:u w:val="none"/>
        </w:rPr>
      </w:pPr>
      <w:r w:rsidDel="00000000" w:rsidR="00000000" w:rsidRPr="00000000">
        <w:rPr>
          <w:rtl w:val="0"/>
        </w:rPr>
        <w:t xml:space="preserve">Actively facilitate the formation and functioning of associations;</w:t>
      </w:r>
    </w:p>
    <w:p w:rsidR="00000000" w:rsidDel="00000000" w:rsidP="00000000" w:rsidRDefault="00000000" w:rsidRPr="00000000" w14:paraId="000000BD">
      <w:pPr>
        <w:numPr>
          <w:ilvl w:val="0"/>
          <w:numId w:val="1"/>
        </w:numPr>
        <w:ind w:left="720" w:hanging="360"/>
        <w:rPr>
          <w:u w:val="none"/>
        </w:rPr>
      </w:pPr>
      <w:r w:rsidDel="00000000" w:rsidR="00000000" w:rsidRPr="00000000">
        <w:rPr>
          <w:rtl w:val="0"/>
        </w:rPr>
        <w:t xml:space="preserve"> Provide legal and institutional frameworks that enable civic participation;</w:t>
      </w:r>
    </w:p>
    <w:p w:rsidR="00000000" w:rsidDel="00000000" w:rsidP="00000000" w:rsidRDefault="00000000" w:rsidRPr="00000000" w14:paraId="000000BE">
      <w:pPr>
        <w:numPr>
          <w:ilvl w:val="0"/>
          <w:numId w:val="1"/>
        </w:numPr>
        <w:ind w:left="720" w:hanging="360"/>
        <w:rPr>
          <w:u w:val="none"/>
        </w:rPr>
      </w:pPr>
      <w:r w:rsidDel="00000000" w:rsidR="00000000" w:rsidRPr="00000000">
        <w:rPr>
          <w:rtl w:val="0"/>
        </w:rPr>
        <w:t xml:space="preserve"> Protect associations from interference by private actors;</w:t>
      </w:r>
    </w:p>
    <w:p w:rsidR="00000000" w:rsidDel="00000000" w:rsidP="00000000" w:rsidRDefault="00000000" w:rsidRPr="00000000" w14:paraId="000000BF">
      <w:pPr>
        <w:numPr>
          <w:ilvl w:val="0"/>
          <w:numId w:val="1"/>
        </w:numPr>
        <w:ind w:left="720" w:hanging="360"/>
        <w:rPr>
          <w:u w:val="none"/>
        </w:rPr>
      </w:pPr>
      <w:r w:rsidDel="00000000" w:rsidR="00000000" w:rsidRPr="00000000">
        <w:rPr>
          <w:rtl w:val="0"/>
        </w:rPr>
        <w:t xml:space="preserve">Ensure equitable access to funding, infrastructure, and participation mechanisms;</w:t>
      </w:r>
    </w:p>
    <w:p w:rsidR="00000000" w:rsidDel="00000000" w:rsidP="00000000" w:rsidRDefault="00000000" w:rsidRPr="00000000" w14:paraId="000000C0">
      <w:pPr>
        <w:numPr>
          <w:ilvl w:val="0"/>
          <w:numId w:val="1"/>
        </w:numPr>
        <w:ind w:left="720" w:hanging="360"/>
        <w:rPr>
          <w:u w:val="none"/>
        </w:rPr>
      </w:pPr>
      <w:r w:rsidDel="00000000" w:rsidR="00000000" w:rsidRPr="00000000">
        <w:rPr>
          <w:rtl w:val="0"/>
        </w:rPr>
        <w:t xml:space="preserve"> Promote inclusive civic environments free from discrimination or intimidation.</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These obligations are essential to ensure that Article 22 is not merely formal but effectively realized in practice.</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5. CROSS-CUTTING STRUCTURAL CONCERNS</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5.1 Shrinking Civic Space</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There is a documented global trend of shrinking civic space characterized by increasing regulatory restrictions, criminalization of dissent, and administrative barriers targeting civil society.</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The Draft General Comment should explicitly recognize Article 22 as a central safeguard against this phenomenon and reaffirm the presumption in favour of civic space.</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5.2 Equality, Intersectionality, and Non-Discrimination</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The exercise of freedom of association is unevenly distributed across populations.</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Groups disproportionately affected include:</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numPr>
          <w:ilvl w:val="0"/>
          <w:numId w:val="9"/>
        </w:numPr>
        <w:ind w:left="720" w:hanging="360"/>
        <w:rPr>
          <w:u w:val="none"/>
        </w:rPr>
      </w:pPr>
      <w:r w:rsidDel="00000000" w:rsidR="00000000" w:rsidRPr="00000000">
        <w:rPr>
          <w:rtl w:val="0"/>
        </w:rPr>
        <w:t xml:space="preserve">Youth and student movements</w:t>
      </w:r>
    </w:p>
    <w:p w:rsidR="00000000" w:rsidDel="00000000" w:rsidP="00000000" w:rsidRDefault="00000000" w:rsidRPr="00000000" w14:paraId="000000D4">
      <w:pPr>
        <w:numPr>
          <w:ilvl w:val="0"/>
          <w:numId w:val="9"/>
        </w:numPr>
        <w:ind w:left="720" w:hanging="360"/>
        <w:rPr>
          <w:u w:val="none"/>
        </w:rPr>
      </w:pPr>
      <w:r w:rsidDel="00000000" w:rsidR="00000000" w:rsidRPr="00000000">
        <w:rPr>
          <w:rtl w:val="0"/>
        </w:rPr>
        <w:t xml:space="preserve"> Women’s rights organizations</w:t>
      </w:r>
    </w:p>
    <w:p w:rsidR="00000000" w:rsidDel="00000000" w:rsidP="00000000" w:rsidRDefault="00000000" w:rsidRPr="00000000" w14:paraId="000000D5">
      <w:pPr>
        <w:numPr>
          <w:ilvl w:val="0"/>
          <w:numId w:val="9"/>
        </w:numPr>
        <w:ind w:left="720" w:hanging="360"/>
        <w:rPr>
          <w:u w:val="none"/>
        </w:rPr>
      </w:pPr>
      <w:r w:rsidDel="00000000" w:rsidR="00000000" w:rsidRPr="00000000">
        <w:rPr>
          <w:rtl w:val="0"/>
        </w:rPr>
        <w:t xml:space="preserve"> Indigenous communities</w:t>
      </w:r>
    </w:p>
    <w:p w:rsidR="00000000" w:rsidDel="00000000" w:rsidP="00000000" w:rsidRDefault="00000000" w:rsidRPr="00000000" w14:paraId="000000D6">
      <w:pPr>
        <w:numPr>
          <w:ilvl w:val="0"/>
          <w:numId w:val="9"/>
        </w:numPr>
        <w:ind w:left="720" w:hanging="360"/>
        <w:rPr>
          <w:u w:val="none"/>
        </w:rPr>
      </w:pPr>
      <w:r w:rsidDel="00000000" w:rsidR="00000000" w:rsidRPr="00000000">
        <w:rPr>
          <w:rtl w:val="0"/>
        </w:rPr>
        <w:t xml:space="preserve">Migrant associations</w:t>
      </w:r>
    </w:p>
    <w:p w:rsidR="00000000" w:rsidDel="00000000" w:rsidP="00000000" w:rsidRDefault="00000000" w:rsidRPr="00000000" w14:paraId="000000D7">
      <w:pPr>
        <w:numPr>
          <w:ilvl w:val="0"/>
          <w:numId w:val="9"/>
        </w:numPr>
        <w:ind w:left="720" w:hanging="360"/>
        <w:rPr>
          <w:u w:val="none"/>
        </w:rPr>
      </w:pPr>
      <w:r w:rsidDel="00000000" w:rsidR="00000000" w:rsidRPr="00000000">
        <w:rPr>
          <w:rtl w:val="0"/>
        </w:rPr>
        <w:t xml:space="preserve"> Persons with disabilities</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The Committee should reaffirm that Articles 2 and 26 ICCPR require States to eliminate both direct and indirect discrimination in the enjoyment of association rights.</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6. CONCLUSION</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Draft General Comment No. 38 represents a critical opportunity to modernize and strengthen the interpretation of Article 22 ICCPR in light of contemporary political, technological, and social developments.</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This submission recommends that the final text should:</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numPr>
          <w:ilvl w:val="0"/>
          <w:numId w:val="11"/>
        </w:numPr>
        <w:ind w:left="720" w:hanging="360"/>
        <w:rPr>
          <w:u w:val="none"/>
        </w:rPr>
      </w:pPr>
      <w:r w:rsidDel="00000000" w:rsidR="00000000" w:rsidRPr="00000000">
        <w:rPr>
          <w:rtl w:val="0"/>
        </w:rPr>
        <w:t xml:space="preserve"> Explicitly recognize digital forms of association as fully protected;</w:t>
      </w:r>
    </w:p>
    <w:p w:rsidR="00000000" w:rsidDel="00000000" w:rsidP="00000000" w:rsidRDefault="00000000" w:rsidRPr="00000000" w14:paraId="000000E2">
      <w:pPr>
        <w:numPr>
          <w:ilvl w:val="0"/>
          <w:numId w:val="11"/>
        </w:numPr>
        <w:ind w:left="720" w:hanging="360"/>
        <w:rPr>
          <w:u w:val="none"/>
        </w:rPr>
      </w:pPr>
      <w:r w:rsidDel="00000000" w:rsidR="00000000" w:rsidRPr="00000000">
        <w:rPr>
          <w:rtl w:val="0"/>
        </w:rPr>
        <w:t xml:space="preserve"> Address indirect administrative barriers as violations of Article 22;</w:t>
      </w:r>
    </w:p>
    <w:p w:rsidR="00000000" w:rsidDel="00000000" w:rsidP="00000000" w:rsidRDefault="00000000" w:rsidRPr="00000000" w14:paraId="000000E3">
      <w:pPr>
        <w:numPr>
          <w:ilvl w:val="0"/>
          <w:numId w:val="11"/>
        </w:numPr>
        <w:ind w:left="720" w:hanging="360"/>
        <w:rPr>
          <w:u w:val="none"/>
        </w:rPr>
      </w:pPr>
      <w:r w:rsidDel="00000000" w:rsidR="00000000" w:rsidRPr="00000000">
        <w:rPr>
          <w:rtl w:val="0"/>
        </w:rPr>
        <w:t xml:space="preserve"> Affirm the protection of informal and unregistered associations;</w:t>
      </w:r>
    </w:p>
    <w:p w:rsidR="00000000" w:rsidDel="00000000" w:rsidP="00000000" w:rsidRDefault="00000000" w:rsidRPr="00000000" w14:paraId="000000E4">
      <w:pPr>
        <w:numPr>
          <w:ilvl w:val="0"/>
          <w:numId w:val="11"/>
        </w:numPr>
        <w:ind w:left="720" w:hanging="360"/>
        <w:rPr>
          <w:u w:val="none"/>
        </w:rPr>
      </w:pPr>
      <w:r w:rsidDel="00000000" w:rsidR="00000000" w:rsidRPr="00000000">
        <w:rPr>
          <w:rtl w:val="0"/>
        </w:rPr>
        <w:t xml:space="preserve"> Clarify strict limitations on national security-based restrictions;</w:t>
      </w:r>
    </w:p>
    <w:p w:rsidR="00000000" w:rsidDel="00000000" w:rsidP="00000000" w:rsidRDefault="00000000" w:rsidRPr="00000000" w14:paraId="000000E5">
      <w:pPr>
        <w:numPr>
          <w:ilvl w:val="0"/>
          <w:numId w:val="11"/>
        </w:numPr>
        <w:ind w:left="720" w:hanging="360"/>
        <w:rPr>
          <w:u w:val="none"/>
        </w:rPr>
      </w:pPr>
      <w:r w:rsidDel="00000000" w:rsidR="00000000" w:rsidRPr="00000000">
        <w:rPr>
          <w:rtl w:val="0"/>
        </w:rPr>
        <w:t xml:space="preserve"> Strengthen protections for human rights defenders and civil society actors;</w:t>
      </w:r>
    </w:p>
    <w:p w:rsidR="00000000" w:rsidDel="00000000" w:rsidP="00000000" w:rsidRDefault="00000000" w:rsidRPr="00000000" w14:paraId="000000E6">
      <w:pPr>
        <w:numPr>
          <w:ilvl w:val="0"/>
          <w:numId w:val="11"/>
        </w:numPr>
        <w:ind w:left="720" w:hanging="360"/>
        <w:rPr>
          <w:u w:val="none"/>
        </w:rPr>
      </w:pPr>
      <w:r w:rsidDel="00000000" w:rsidR="00000000" w:rsidRPr="00000000">
        <w:rPr>
          <w:rtl w:val="0"/>
        </w:rPr>
        <w:t xml:space="preserve"> Address risks arising from digital surveillance and AI systems;</w:t>
      </w:r>
    </w:p>
    <w:p w:rsidR="00000000" w:rsidDel="00000000" w:rsidP="00000000" w:rsidRDefault="00000000" w:rsidRPr="00000000" w14:paraId="000000E7">
      <w:pPr>
        <w:numPr>
          <w:ilvl w:val="0"/>
          <w:numId w:val="11"/>
        </w:numPr>
        <w:ind w:left="720" w:hanging="360"/>
        <w:rPr>
          <w:u w:val="none"/>
        </w:rPr>
      </w:pPr>
      <w:r w:rsidDel="00000000" w:rsidR="00000000" w:rsidRPr="00000000">
        <w:rPr>
          <w:rtl w:val="0"/>
        </w:rPr>
        <w:t xml:space="preserve"> Reinforce positive obligations of States to enable civic space.</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These clarifications will ensure that Article 22 remains a robust, future-oriented safeguard of democratic participation and civic freedom consistent with the object and purpose of the ICCPR.</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CE051A70-A945-4AFE-8CBB-169B36C86883}"/>
</file>

<file path=customXml/itemProps2.xml><?xml version="1.0" encoding="utf-8"?>
<ds:datastoreItem xmlns:ds="http://schemas.openxmlformats.org/officeDocument/2006/customXml" ds:itemID="{9AE32308-4012-47CC-8A93-E415EB9E2EAF}"/>
</file>

<file path=customXml/itemProps3.xml><?xml version="1.0" encoding="utf-8"?>
<ds:datastoreItem xmlns:ds="http://schemas.openxmlformats.org/officeDocument/2006/customXml" ds:itemID="{E8E6B9D7-6D2B-4F77-B452-D137CD05CE14}"/>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