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8CF91" w14:textId="77777777" w:rsidR="00A4588E" w:rsidRPr="00FC1EAE" w:rsidRDefault="008D2645">
      <w:pPr>
        <w:jc w:val="center"/>
        <w:rPr>
          <w:color w:val="000000" w:themeColor="text1"/>
        </w:rPr>
      </w:pPr>
      <w:r w:rsidRPr="00FC1EAE">
        <w:rPr>
          <w:b/>
          <w:color w:val="000000" w:themeColor="text1"/>
          <w:sz w:val="32"/>
        </w:rPr>
        <w:t>Submission to the Human Rights Committee</w:t>
      </w:r>
    </w:p>
    <w:p w14:paraId="5ADFA665" w14:textId="77777777" w:rsidR="00A4588E" w:rsidRPr="00FC1EAE" w:rsidRDefault="008D2645">
      <w:pPr>
        <w:jc w:val="center"/>
        <w:rPr>
          <w:color w:val="000000" w:themeColor="text1"/>
        </w:rPr>
      </w:pPr>
      <w:r w:rsidRPr="00FC1EAE">
        <w:rPr>
          <w:b/>
          <w:color w:val="000000" w:themeColor="text1"/>
          <w:sz w:val="24"/>
        </w:rPr>
        <w:t>Comments on Draft General Comment No. 38 on Article 22 of the International Covenant on Civil and Political Rights</w:t>
      </w:r>
    </w:p>
    <w:p w14:paraId="50FF5DC9" w14:textId="77777777" w:rsidR="00A4588E" w:rsidRPr="00FC1EAE" w:rsidRDefault="008D2645">
      <w:pPr>
        <w:jc w:val="center"/>
        <w:rPr>
          <w:color w:val="000000" w:themeColor="text1"/>
        </w:rPr>
      </w:pPr>
      <w:r w:rsidRPr="00FC1EAE">
        <w:rPr>
          <w:i/>
          <w:color w:val="000000" w:themeColor="text1"/>
          <w:sz w:val="22"/>
        </w:rPr>
        <w:t>The right to freedom of association in the digital age</w:t>
      </w:r>
    </w:p>
    <w:p w14:paraId="6FBDD3D7" w14:textId="77777777" w:rsidR="00A4588E" w:rsidRPr="00FC1EAE" w:rsidRDefault="008D2645">
      <w:pPr>
        <w:rPr>
          <w:color w:val="000000" w:themeColor="text1"/>
        </w:rPr>
      </w:pPr>
      <w:r w:rsidRPr="00FC1EAE">
        <w:rPr>
          <w:color w:val="000000" w:themeColor="text1"/>
        </w:rPr>
        <w:t>Submitted by: Dr. Tony Bader</w:t>
      </w:r>
    </w:p>
    <w:p w14:paraId="6074C78E" w14:textId="77777777" w:rsidR="00A4588E" w:rsidRPr="00FC1EAE" w:rsidRDefault="008D2645">
      <w:pPr>
        <w:rPr>
          <w:color w:val="000000" w:themeColor="text1"/>
        </w:rPr>
      </w:pPr>
      <w:r w:rsidRPr="00FC1EAE">
        <w:rPr>
          <w:color w:val="000000" w:themeColor="text1"/>
        </w:rPr>
        <w:t>Affiliation: Innovative Solutions</w:t>
      </w:r>
    </w:p>
    <w:p w14:paraId="7B187484" w14:textId="77777777" w:rsidR="00A4588E" w:rsidRPr="00FC1EAE" w:rsidRDefault="008D2645">
      <w:pPr>
        <w:rPr>
          <w:color w:val="000000" w:themeColor="text1"/>
        </w:rPr>
      </w:pPr>
      <w:r w:rsidRPr="00FC1EAE">
        <w:rPr>
          <w:color w:val="000000" w:themeColor="text1"/>
        </w:rPr>
        <w:t>Email: bader.tony@gmail.com</w:t>
      </w:r>
    </w:p>
    <w:p w14:paraId="743AD54D" w14:textId="77777777" w:rsidR="00A4588E" w:rsidRPr="00FC1EAE" w:rsidRDefault="008D2645">
      <w:pPr>
        <w:rPr>
          <w:color w:val="000000" w:themeColor="text1"/>
        </w:rPr>
      </w:pPr>
      <w:r w:rsidRPr="00FC1EAE">
        <w:rPr>
          <w:color w:val="000000" w:themeColor="text1"/>
        </w:rPr>
        <w:t>Date: June 2026</w:t>
      </w:r>
    </w:p>
    <w:p w14:paraId="1015D3CD" w14:textId="77777777" w:rsidR="00A4588E" w:rsidRPr="00FC1EAE" w:rsidRDefault="008D2645">
      <w:pPr>
        <w:rPr>
          <w:color w:val="000000" w:themeColor="text1"/>
        </w:rPr>
      </w:pPr>
      <w:r w:rsidRPr="00FC1EAE">
        <w:rPr>
          <w:color w:val="000000" w:themeColor="text1"/>
        </w:rPr>
        <w:t>Confidentiality: This submission may be made publicly available on the Committee website.</w:t>
      </w:r>
    </w:p>
    <w:p w14:paraId="306B1772" w14:textId="77777777" w:rsidR="00A4588E" w:rsidRPr="00FC1EAE" w:rsidRDefault="008D2645">
      <w:pPr>
        <w:pStyle w:val="Heading1"/>
        <w:rPr>
          <w:color w:val="000000" w:themeColor="text1"/>
        </w:rPr>
      </w:pPr>
      <w:r w:rsidRPr="00FC1EAE">
        <w:rPr>
          <w:color w:val="000000" w:themeColor="text1"/>
        </w:rPr>
        <w:t>I. Introduction</w:t>
      </w:r>
    </w:p>
    <w:p w14:paraId="176F3E31" w14:textId="77777777" w:rsidR="00A4588E" w:rsidRPr="00FC1EAE" w:rsidRDefault="008D2645">
      <w:pPr>
        <w:rPr>
          <w:color w:val="000000" w:themeColor="text1"/>
        </w:rPr>
      </w:pPr>
      <w:r w:rsidRPr="00FC1EAE">
        <w:rPr>
          <w:color w:val="000000" w:themeColor="text1"/>
        </w:rPr>
        <w:t>I respectfully welcome the Human Rights Committee’s draft General Commen</w:t>
      </w:r>
      <w:r w:rsidRPr="00FC1EAE">
        <w:rPr>
          <w:color w:val="000000" w:themeColor="text1"/>
        </w:rPr>
        <w:t>t No. 38 on article 22 of the International Covenant on Civil and Political Rights. The draft is a timely and important clarification of a right that sits at the heart of democratic life, civic space, social participation, labour rights, minority protectio</w:t>
      </w:r>
      <w:r w:rsidRPr="00FC1EAE">
        <w:rPr>
          <w:color w:val="000000" w:themeColor="text1"/>
        </w:rPr>
        <w:t>n, and public accountability. It is especially valuable that the draft already recognizes that article 22 applies both offline and online, and that digital surveillance, internet shutdowns, social media monitoring, and online transnational repression can c</w:t>
      </w:r>
      <w:r w:rsidRPr="00FC1EAE">
        <w:rPr>
          <w:color w:val="000000" w:themeColor="text1"/>
        </w:rPr>
        <w:t>hill the exercise of freedom of association.</w:t>
      </w:r>
    </w:p>
    <w:p w14:paraId="21B1A61C" w14:textId="77777777" w:rsidR="00A4588E" w:rsidRPr="00FC1EAE" w:rsidRDefault="008D2645">
      <w:pPr>
        <w:rPr>
          <w:color w:val="000000" w:themeColor="text1"/>
        </w:rPr>
      </w:pPr>
      <w:r w:rsidRPr="00FC1EAE">
        <w:rPr>
          <w:color w:val="000000" w:themeColor="text1"/>
        </w:rPr>
        <w:t>This submission focuses on one issue that deserves stronger treatment in the final text: the protection of freedom of association in the digital age, including artificial intelligence, platform governance, algor</w:t>
      </w:r>
      <w:r w:rsidRPr="00FC1EAE">
        <w:rPr>
          <w:color w:val="000000" w:themeColor="text1"/>
        </w:rPr>
        <w:t>ithmic content moderation, digital surveillance, data driven profiling, internet disruptions, and online attacks against associations and their members. These issues are not secondary or technical. For many associations today, especially civil society orga</w:t>
      </w:r>
      <w:r w:rsidRPr="00FC1EAE">
        <w:rPr>
          <w:color w:val="000000" w:themeColor="text1"/>
        </w:rPr>
        <w:t>nizations, unions, professional groups, youth networks, minority groups, social movements, and informal civic initiatives, the digital space is not merely a communication tool. It is part of how associations are formed, sustained, funded, documented, targe</w:t>
      </w:r>
      <w:r w:rsidRPr="00FC1EAE">
        <w:rPr>
          <w:color w:val="000000" w:themeColor="text1"/>
        </w:rPr>
        <w:t>ted, and sometimes dismantled.</w:t>
      </w:r>
    </w:p>
    <w:p w14:paraId="373E3E83" w14:textId="77777777" w:rsidR="00A4588E" w:rsidRPr="00FC1EAE" w:rsidRDefault="008D2645">
      <w:pPr>
        <w:rPr>
          <w:color w:val="000000" w:themeColor="text1"/>
        </w:rPr>
      </w:pPr>
      <w:r w:rsidRPr="00FC1EAE">
        <w:rPr>
          <w:color w:val="000000" w:themeColor="text1"/>
        </w:rPr>
        <w:t>The comments below therefore propose that the final General Comment should make the digital dimension more operational, especially by clarifying State duties to respect, protect, and fulfil article 22 where public authorities</w:t>
      </w:r>
      <w:r w:rsidRPr="00FC1EAE">
        <w:rPr>
          <w:color w:val="000000" w:themeColor="text1"/>
        </w:rPr>
        <w:t>, private technology companies, or third parties interfere with the ability of people to associate.</w:t>
      </w:r>
    </w:p>
    <w:p w14:paraId="69F10639" w14:textId="77777777" w:rsidR="00A4588E" w:rsidRPr="00FC1EAE" w:rsidRDefault="008D2645">
      <w:pPr>
        <w:pStyle w:val="Heading1"/>
        <w:rPr>
          <w:color w:val="000000" w:themeColor="text1"/>
        </w:rPr>
      </w:pPr>
      <w:r w:rsidRPr="00FC1EAE">
        <w:rPr>
          <w:color w:val="000000" w:themeColor="text1"/>
        </w:rPr>
        <w:t>II. General recommendation</w:t>
      </w:r>
    </w:p>
    <w:p w14:paraId="5E88A25B" w14:textId="77777777" w:rsidR="00A4588E" w:rsidRPr="00FC1EAE" w:rsidRDefault="008D2645">
      <w:pPr>
        <w:rPr>
          <w:color w:val="000000" w:themeColor="text1"/>
        </w:rPr>
      </w:pPr>
      <w:r w:rsidRPr="00FC1EAE">
        <w:rPr>
          <w:color w:val="000000" w:themeColor="text1"/>
        </w:rPr>
        <w:t>The draft should preserve its strong recognition that article 22 protects both formal and informal associations, registered and u</w:t>
      </w:r>
      <w:r w:rsidRPr="00FC1EAE">
        <w:rPr>
          <w:color w:val="000000" w:themeColor="text1"/>
        </w:rPr>
        <w:t>nregistered groups, and online and offline forms of association. However, the final text should go further by recognizing that restrictions on digital infrastructure, digital identity, data protection, online visibility, platform access, and algorithmic sy</w:t>
      </w:r>
      <w:r w:rsidRPr="00FC1EAE">
        <w:rPr>
          <w:color w:val="000000" w:themeColor="text1"/>
        </w:rPr>
        <w:t>stems may directly affect the substance of article 22. In practice, an association can be weakened or silenced without being formally dissolved. It can be made invisible, financially blocked, digitally monitored, reputationally attacked, excluded from onli</w:t>
      </w:r>
      <w:r w:rsidRPr="00FC1EAE">
        <w:rPr>
          <w:color w:val="000000" w:themeColor="text1"/>
        </w:rPr>
        <w:t>ne spaces, or denied the tools needed to organize.</w:t>
      </w:r>
    </w:p>
    <w:p w14:paraId="3AC95B3E" w14:textId="77777777" w:rsidR="00A4588E" w:rsidRPr="00FC1EAE" w:rsidRDefault="008D2645">
      <w:pPr>
        <w:rPr>
          <w:color w:val="000000" w:themeColor="text1"/>
        </w:rPr>
      </w:pPr>
      <w:r w:rsidRPr="00FC1EAE">
        <w:rPr>
          <w:color w:val="000000" w:themeColor="text1"/>
        </w:rPr>
        <w:t>For this reason, the Committee should clarify that article 22 protects not only the legal existence of an association, but also the practical conditions that allow it to function in contemporary society.</w:t>
      </w:r>
    </w:p>
    <w:p w14:paraId="59BE3FB9" w14:textId="77777777" w:rsidR="00A4588E" w:rsidRPr="00FC1EAE" w:rsidRDefault="008D2645">
      <w:pPr>
        <w:pStyle w:val="Heading1"/>
        <w:rPr>
          <w:color w:val="000000" w:themeColor="text1"/>
        </w:rPr>
      </w:pPr>
      <w:r w:rsidRPr="00FC1EAE">
        <w:rPr>
          <w:color w:val="000000" w:themeColor="text1"/>
        </w:rPr>
        <w:lastRenderedPageBreak/>
        <w:t>I</w:t>
      </w:r>
      <w:r w:rsidRPr="00FC1EAE">
        <w:rPr>
          <w:color w:val="000000" w:themeColor="text1"/>
        </w:rPr>
        <w:t>II. Paragraph specific comments and proposed additions</w:t>
      </w:r>
    </w:p>
    <w:p w14:paraId="729F931E" w14:textId="77777777" w:rsidR="00A4588E" w:rsidRPr="00FC1EAE" w:rsidRDefault="008D2645">
      <w:pPr>
        <w:pStyle w:val="Heading2"/>
        <w:rPr>
          <w:color w:val="000000" w:themeColor="text1"/>
        </w:rPr>
      </w:pPr>
      <w:r w:rsidRPr="00FC1EAE">
        <w:rPr>
          <w:color w:val="000000" w:themeColor="text1"/>
        </w:rPr>
        <w:t>1. Paragraph 11: online association, digital tools, and AI systems</w:t>
      </w:r>
    </w:p>
    <w:p w14:paraId="6EDBC9DA" w14:textId="77777777" w:rsidR="00A4588E" w:rsidRPr="00FC1EAE" w:rsidRDefault="008D2645">
      <w:pPr>
        <w:rPr>
          <w:color w:val="000000" w:themeColor="text1"/>
        </w:rPr>
      </w:pPr>
      <w:r w:rsidRPr="00FC1EAE">
        <w:rPr>
          <w:color w:val="000000" w:themeColor="text1"/>
        </w:rPr>
        <w:t>Paragraph 11 is one of the most important paragraphs in the draft. It rightly states that article 22 applies equally to offline and on</w:t>
      </w:r>
      <w:r w:rsidRPr="00FC1EAE">
        <w:rPr>
          <w:color w:val="000000" w:themeColor="text1"/>
        </w:rPr>
        <w:t>line organizations and that digital surveillance, internet shutdowns, lack of access to digital tools, online transnational repression, and restrictive monitoring of social media and websites may chill freedom of association.</w:t>
      </w:r>
    </w:p>
    <w:p w14:paraId="00DB9607" w14:textId="77777777" w:rsidR="00A4588E" w:rsidRPr="00FC1EAE" w:rsidRDefault="008D2645">
      <w:pPr>
        <w:rPr>
          <w:color w:val="000000" w:themeColor="text1"/>
        </w:rPr>
      </w:pPr>
      <w:r w:rsidRPr="00FC1EAE">
        <w:rPr>
          <w:color w:val="000000" w:themeColor="text1"/>
        </w:rPr>
        <w:t>This paragraph should be stren</w:t>
      </w:r>
      <w:r w:rsidRPr="00FC1EAE">
        <w:rPr>
          <w:color w:val="000000" w:themeColor="text1"/>
        </w:rPr>
        <w:t>gthened in three ways. First, it should expressly mention artificial intelligence and automated decision making, since many contemporary restrictions are no longer carried out only through visible State action. They may happen through automated risk scorin</w:t>
      </w:r>
      <w:r w:rsidRPr="00FC1EAE">
        <w:rPr>
          <w:color w:val="000000" w:themeColor="text1"/>
        </w:rPr>
        <w:t>g, facial recognition, predictive policing, biometric identification, mass scraping of social media, automated content filtering, and opaque recommender systems. Second, it should distinguish between legitimate digital governance and digital interference t</w:t>
      </w:r>
      <w:r w:rsidRPr="00FC1EAE">
        <w:rPr>
          <w:color w:val="000000" w:themeColor="text1"/>
        </w:rPr>
        <w:t>hat has the purpose or effect of weakening civic association. Third, it should make clear that a chilling effect is itself a serious article 22 concern, even before an association is formally banned or dissolved.</w:t>
      </w:r>
    </w:p>
    <w:p w14:paraId="03173854" w14:textId="77777777" w:rsidR="00A4588E" w:rsidRPr="00FC1EAE" w:rsidRDefault="008D2645">
      <w:pPr>
        <w:rPr>
          <w:color w:val="000000" w:themeColor="text1"/>
        </w:rPr>
      </w:pPr>
      <w:r w:rsidRPr="00FC1EAE">
        <w:rPr>
          <w:color w:val="000000" w:themeColor="text1"/>
        </w:rPr>
        <w:t>Suggested addition to paragraph 11:</w:t>
      </w:r>
    </w:p>
    <w:p w14:paraId="2CD8A152" w14:textId="77777777" w:rsidR="00A4588E" w:rsidRPr="00FC1EAE" w:rsidRDefault="008D2645">
      <w:pPr>
        <w:rPr>
          <w:color w:val="000000" w:themeColor="text1"/>
        </w:rPr>
      </w:pPr>
      <w:r w:rsidRPr="00FC1EAE">
        <w:rPr>
          <w:color w:val="000000" w:themeColor="text1"/>
        </w:rPr>
        <w:t>The Com</w:t>
      </w:r>
      <w:r w:rsidRPr="00FC1EAE">
        <w:rPr>
          <w:color w:val="000000" w:themeColor="text1"/>
        </w:rPr>
        <w:t>mittee should also recognize that artificial intelligence systems, automated decision making, biometric identification, facial recognition, predictive policing tools, automated content moderation, and data driven profiling may interfere with the right to f</w:t>
      </w:r>
      <w:r w:rsidRPr="00FC1EAE">
        <w:rPr>
          <w:color w:val="000000" w:themeColor="text1"/>
        </w:rPr>
        <w:t>reedom of association where they are used to identify, monitor, discourage, restrict, or penalize individuals or groups because of their association, membership, participation, funding, advocacy, or collective activities. States Parties must ensure that th</w:t>
      </w:r>
      <w:r w:rsidRPr="00FC1EAE">
        <w:rPr>
          <w:color w:val="000000" w:themeColor="text1"/>
        </w:rPr>
        <w:t>e use of such technologies is lawful, necessary, proportionate, non discriminatory, transparent, independently supervised, and subject to effective remedies.</w:t>
      </w:r>
    </w:p>
    <w:p w14:paraId="0DB18B9D" w14:textId="77777777" w:rsidR="00A4588E" w:rsidRPr="00FC1EAE" w:rsidRDefault="008D2645">
      <w:pPr>
        <w:pStyle w:val="Heading2"/>
        <w:rPr>
          <w:color w:val="000000" w:themeColor="text1"/>
        </w:rPr>
      </w:pPr>
      <w:r w:rsidRPr="00FC1EAE">
        <w:rPr>
          <w:color w:val="000000" w:themeColor="text1"/>
        </w:rPr>
        <w:t>2. Paragraphs 12 and 13: informal, unregistered, online, and networked associations</w:t>
      </w:r>
    </w:p>
    <w:p w14:paraId="6F45AF6E" w14:textId="77777777" w:rsidR="00A4588E" w:rsidRPr="00FC1EAE" w:rsidRDefault="008D2645">
      <w:pPr>
        <w:rPr>
          <w:color w:val="000000" w:themeColor="text1"/>
        </w:rPr>
      </w:pPr>
      <w:r w:rsidRPr="00FC1EAE">
        <w:rPr>
          <w:color w:val="000000" w:themeColor="text1"/>
        </w:rPr>
        <w:t xml:space="preserve">Paragraphs 12 </w:t>
      </w:r>
      <w:r w:rsidRPr="00FC1EAE">
        <w:rPr>
          <w:color w:val="000000" w:themeColor="text1"/>
        </w:rPr>
        <w:t>and 13 usefully protect informal and unregistered associations. This is essential, because many civic initiatives, especially youth groups, minority networks, community collectives, and rights based movements, begin without formal legal personality. In the</w:t>
      </w:r>
      <w:r w:rsidRPr="00FC1EAE">
        <w:rPr>
          <w:color w:val="000000" w:themeColor="text1"/>
        </w:rPr>
        <w:t xml:space="preserve"> digital context, this is even more common. People may first associate through a messaging group, social media page, mailing list, online forum, digital campaign, or shared platform before they become a formal organization.</w:t>
      </w:r>
    </w:p>
    <w:p w14:paraId="5F6809A8" w14:textId="77777777" w:rsidR="00A4588E" w:rsidRPr="00FC1EAE" w:rsidRDefault="008D2645">
      <w:pPr>
        <w:rPr>
          <w:color w:val="000000" w:themeColor="text1"/>
        </w:rPr>
      </w:pPr>
      <w:r w:rsidRPr="00FC1EAE">
        <w:rPr>
          <w:color w:val="000000" w:themeColor="text1"/>
        </w:rPr>
        <w:t xml:space="preserve">The final text should avoid any </w:t>
      </w:r>
      <w:r w:rsidRPr="00FC1EAE">
        <w:rPr>
          <w:color w:val="000000" w:themeColor="text1"/>
        </w:rPr>
        <w:t>interpretation that defines association too narrowly as an organized, independent, non profit entity. That wording is useful for many classic associations, but it may not fully capture networked and digital forms of association that are loose, temporary, d</w:t>
      </w:r>
      <w:r w:rsidRPr="00FC1EAE">
        <w:rPr>
          <w:color w:val="000000" w:themeColor="text1"/>
        </w:rPr>
        <w:t>ecentralized, or transnational. Article 22 should protect the act and process of association, not only the institution that results from it.</w:t>
      </w:r>
    </w:p>
    <w:p w14:paraId="35474979" w14:textId="77777777" w:rsidR="00A4588E" w:rsidRPr="00FC1EAE" w:rsidRDefault="008D2645">
      <w:pPr>
        <w:rPr>
          <w:color w:val="000000" w:themeColor="text1"/>
        </w:rPr>
      </w:pPr>
      <w:r w:rsidRPr="00FC1EAE">
        <w:rPr>
          <w:color w:val="000000" w:themeColor="text1"/>
        </w:rPr>
        <w:t>Suggested addition to paragraphs 12 or 13:</w:t>
      </w:r>
    </w:p>
    <w:p w14:paraId="0ADA7FD3" w14:textId="77777777" w:rsidR="00A4588E" w:rsidRPr="00FC1EAE" w:rsidRDefault="008D2645">
      <w:pPr>
        <w:rPr>
          <w:color w:val="000000" w:themeColor="text1"/>
        </w:rPr>
      </w:pPr>
      <w:r w:rsidRPr="00FC1EAE">
        <w:rPr>
          <w:color w:val="000000" w:themeColor="text1"/>
        </w:rPr>
        <w:t>For the purposes of article 22, protection extends to associations and a</w:t>
      </w:r>
      <w:r w:rsidRPr="00FC1EAE">
        <w:rPr>
          <w:color w:val="000000" w:themeColor="text1"/>
        </w:rPr>
        <w:t xml:space="preserve">ssociative activity in formal, informal, registered, unregistered, temporary, decentralized, transnational, online, and hybrid forms. The absence of legal personality, physical premises, fixed membership, or a traditional organizational structure does not </w:t>
      </w:r>
      <w:r w:rsidRPr="00FC1EAE">
        <w:rPr>
          <w:color w:val="000000" w:themeColor="text1"/>
        </w:rPr>
        <w:t>remove a group or its members from the protection of article 22.</w:t>
      </w:r>
    </w:p>
    <w:p w14:paraId="7B668576" w14:textId="77777777" w:rsidR="00A4588E" w:rsidRPr="00FC1EAE" w:rsidRDefault="008D2645">
      <w:pPr>
        <w:pStyle w:val="Heading2"/>
        <w:rPr>
          <w:color w:val="000000" w:themeColor="text1"/>
        </w:rPr>
      </w:pPr>
      <w:r w:rsidRPr="00FC1EAE">
        <w:rPr>
          <w:color w:val="000000" w:themeColor="text1"/>
        </w:rPr>
        <w:t>3. Paragraph 14: funding, resources, and digital financial restrictions</w:t>
      </w:r>
    </w:p>
    <w:p w14:paraId="271AE878" w14:textId="77777777" w:rsidR="00A4588E" w:rsidRPr="00FC1EAE" w:rsidRDefault="008D2645">
      <w:pPr>
        <w:rPr>
          <w:color w:val="000000" w:themeColor="text1"/>
        </w:rPr>
      </w:pPr>
      <w:r w:rsidRPr="00FC1EAE">
        <w:rPr>
          <w:color w:val="000000" w:themeColor="text1"/>
        </w:rPr>
        <w:t>Paragraph 14 rightly states that article 22 covers the whole life cycle of an association and includes the right to see</w:t>
      </w:r>
      <w:r w:rsidRPr="00FC1EAE">
        <w:rPr>
          <w:color w:val="000000" w:themeColor="text1"/>
        </w:rPr>
        <w:t>k, receive, and use funding and other resources, including from outside the country. This is particularly important in the digital age, where associations increasingly rely on electronic payments, online fundraising, digital banking, cloud services, subscr</w:t>
      </w:r>
      <w:r w:rsidRPr="00FC1EAE">
        <w:rPr>
          <w:color w:val="000000" w:themeColor="text1"/>
        </w:rPr>
        <w:t>iption tools, website hosting, and software services.</w:t>
      </w:r>
    </w:p>
    <w:p w14:paraId="4E550CF3" w14:textId="77777777" w:rsidR="00A4588E" w:rsidRPr="00FC1EAE" w:rsidRDefault="008D2645">
      <w:pPr>
        <w:rPr>
          <w:color w:val="000000" w:themeColor="text1"/>
        </w:rPr>
      </w:pPr>
      <w:r w:rsidRPr="00FC1EAE">
        <w:rPr>
          <w:color w:val="000000" w:themeColor="text1"/>
        </w:rPr>
        <w:t xml:space="preserve">The final text should recognize that restrictions on digital financial infrastructure may interfere with freedom of association. In some contexts, associations are not banned directly. Instead, </w:t>
      </w:r>
      <w:r w:rsidRPr="00FC1EAE">
        <w:rPr>
          <w:color w:val="000000" w:themeColor="text1"/>
        </w:rPr>
        <w:t xml:space="preserve">their accounts are frozen, </w:t>
      </w:r>
      <w:r w:rsidRPr="00FC1EAE">
        <w:rPr>
          <w:color w:val="000000" w:themeColor="text1"/>
        </w:rPr>
        <w:lastRenderedPageBreak/>
        <w:t xml:space="preserve">payment systems are blocked, online donations are restricted, websites are disabled, software subscriptions are suspended, or foreign funding rules are used to stigmatize them. Such measures can have the same practical effect as </w:t>
      </w:r>
      <w:r w:rsidRPr="00FC1EAE">
        <w:rPr>
          <w:color w:val="000000" w:themeColor="text1"/>
        </w:rPr>
        <w:t>direct interference.</w:t>
      </w:r>
    </w:p>
    <w:p w14:paraId="2FDE9973" w14:textId="77777777" w:rsidR="00A4588E" w:rsidRPr="00FC1EAE" w:rsidRDefault="008D2645">
      <w:pPr>
        <w:rPr>
          <w:color w:val="000000" w:themeColor="text1"/>
        </w:rPr>
      </w:pPr>
      <w:r w:rsidRPr="00FC1EAE">
        <w:rPr>
          <w:color w:val="000000" w:themeColor="text1"/>
        </w:rPr>
        <w:t>Suggested addition to paragraph 14:</w:t>
      </w:r>
    </w:p>
    <w:p w14:paraId="09B19C15" w14:textId="77777777" w:rsidR="00A4588E" w:rsidRPr="00FC1EAE" w:rsidRDefault="008D2645">
      <w:pPr>
        <w:rPr>
          <w:color w:val="000000" w:themeColor="text1"/>
        </w:rPr>
      </w:pPr>
      <w:r w:rsidRPr="00FC1EAE">
        <w:rPr>
          <w:color w:val="000000" w:themeColor="text1"/>
        </w:rPr>
        <w:t>The right to seek, receive, and use resources includes access to the digital and financial infrastructure reasonably necessary for associations to operate, communicate, fundraise, maintain records, a</w:t>
      </w:r>
      <w:r w:rsidRPr="00FC1EAE">
        <w:rPr>
          <w:color w:val="000000" w:themeColor="text1"/>
        </w:rPr>
        <w:t>nd carry out their lawful activities. Restrictions affecting bank accounts, electronic payments, online donations, digital platforms, website hosting, cloud services, or other digital tools must comply with article 22 (2) and must not be used to indirectly</w:t>
      </w:r>
      <w:r w:rsidRPr="00FC1EAE">
        <w:rPr>
          <w:color w:val="000000" w:themeColor="text1"/>
        </w:rPr>
        <w:t xml:space="preserve"> disable or stigmatize associations.</w:t>
      </w:r>
    </w:p>
    <w:p w14:paraId="7DBD9A28" w14:textId="77777777" w:rsidR="00A4588E" w:rsidRPr="00FC1EAE" w:rsidRDefault="008D2645">
      <w:pPr>
        <w:pStyle w:val="Heading2"/>
        <w:rPr>
          <w:color w:val="000000" w:themeColor="text1"/>
        </w:rPr>
      </w:pPr>
      <w:r w:rsidRPr="00FC1EAE">
        <w:rPr>
          <w:color w:val="000000" w:themeColor="text1"/>
        </w:rPr>
        <w:t>4. Paragraph 16: the right to choose online, offline, or hybrid forms of association</w:t>
      </w:r>
    </w:p>
    <w:p w14:paraId="6DCFEA23" w14:textId="77777777" w:rsidR="00A4588E" w:rsidRPr="00FC1EAE" w:rsidRDefault="008D2645">
      <w:pPr>
        <w:rPr>
          <w:color w:val="000000" w:themeColor="text1"/>
        </w:rPr>
      </w:pPr>
      <w:r w:rsidRPr="00FC1EAE">
        <w:rPr>
          <w:color w:val="000000" w:themeColor="text1"/>
        </w:rPr>
        <w:t xml:space="preserve">Paragraph 16 is valuable because it recognizes that individuals may choose how to exercise their freedom, whether offline, online, or </w:t>
      </w:r>
      <w:r w:rsidRPr="00FC1EAE">
        <w:rPr>
          <w:color w:val="000000" w:themeColor="text1"/>
        </w:rPr>
        <w:t>in both contexts. This should be developed further. The choice of digital tools should not be treated as suspicious. Associations should not face additional burdens simply because they work online, organize through encrypted communication, use digital tool</w:t>
      </w:r>
      <w:r w:rsidRPr="00FC1EAE">
        <w:rPr>
          <w:color w:val="000000" w:themeColor="text1"/>
        </w:rPr>
        <w:t>s, maintain online archives, or operate across borders.</w:t>
      </w:r>
    </w:p>
    <w:p w14:paraId="5C56396C" w14:textId="77777777" w:rsidR="00A4588E" w:rsidRPr="00FC1EAE" w:rsidRDefault="008D2645">
      <w:pPr>
        <w:rPr>
          <w:color w:val="000000" w:themeColor="text1"/>
        </w:rPr>
      </w:pPr>
      <w:r w:rsidRPr="00FC1EAE">
        <w:rPr>
          <w:color w:val="000000" w:themeColor="text1"/>
        </w:rPr>
        <w:t>The Committee should also make clear that secure communication is part of an enabling environment for freedom of association. For many human rights defenders, journalists, unions, minority groups, and</w:t>
      </w:r>
      <w:r w:rsidRPr="00FC1EAE">
        <w:rPr>
          <w:color w:val="000000" w:themeColor="text1"/>
        </w:rPr>
        <w:t xml:space="preserve"> civic organizations, privacy and security are not optional technical features. They are basic conditions for participation without fear.</w:t>
      </w:r>
    </w:p>
    <w:p w14:paraId="72E5D60C" w14:textId="77777777" w:rsidR="00A4588E" w:rsidRPr="00FC1EAE" w:rsidRDefault="008D2645">
      <w:pPr>
        <w:rPr>
          <w:color w:val="000000" w:themeColor="text1"/>
        </w:rPr>
      </w:pPr>
      <w:r w:rsidRPr="00FC1EAE">
        <w:rPr>
          <w:color w:val="000000" w:themeColor="text1"/>
        </w:rPr>
        <w:t>Suggested addition to paragraph 16:</w:t>
      </w:r>
    </w:p>
    <w:p w14:paraId="76518730" w14:textId="77777777" w:rsidR="00A4588E" w:rsidRPr="00FC1EAE" w:rsidRDefault="008D2645">
      <w:pPr>
        <w:rPr>
          <w:color w:val="000000" w:themeColor="text1"/>
        </w:rPr>
      </w:pPr>
      <w:r w:rsidRPr="00FC1EAE">
        <w:rPr>
          <w:color w:val="000000" w:themeColor="text1"/>
        </w:rPr>
        <w:t>States Parties should not treat the use of digital tools, encrypted communications</w:t>
      </w:r>
      <w:r w:rsidRPr="00FC1EAE">
        <w:rPr>
          <w:color w:val="000000" w:themeColor="text1"/>
        </w:rPr>
        <w:t>, online platforms, remote participation, cross border communication, or digital record keeping as grounds for suspicion or restriction. Secure and private communication is often necessary for the meaningful exercise of freedom of association, especially f</w:t>
      </w:r>
      <w:r w:rsidRPr="00FC1EAE">
        <w:rPr>
          <w:color w:val="000000" w:themeColor="text1"/>
        </w:rPr>
        <w:t>or groups exposed to intimidation, reprisals, discrimination, or violence.</w:t>
      </w:r>
    </w:p>
    <w:p w14:paraId="30BC2DF5" w14:textId="77777777" w:rsidR="00A4588E" w:rsidRPr="00FC1EAE" w:rsidRDefault="008D2645">
      <w:pPr>
        <w:pStyle w:val="Heading2"/>
        <w:rPr>
          <w:color w:val="000000" w:themeColor="text1"/>
        </w:rPr>
      </w:pPr>
      <w:r w:rsidRPr="00FC1EAE">
        <w:rPr>
          <w:color w:val="000000" w:themeColor="text1"/>
        </w:rPr>
        <w:t>5. Paragraphs 30, 32, 36, and 37: surveillance, transnational repression, and private technology actors</w:t>
      </w:r>
    </w:p>
    <w:p w14:paraId="3E3BCAAC" w14:textId="77777777" w:rsidR="00A4588E" w:rsidRPr="00FC1EAE" w:rsidRDefault="008D2645">
      <w:pPr>
        <w:rPr>
          <w:color w:val="000000" w:themeColor="text1"/>
        </w:rPr>
      </w:pPr>
      <w:r w:rsidRPr="00FC1EAE">
        <w:rPr>
          <w:color w:val="000000" w:themeColor="text1"/>
        </w:rPr>
        <w:t>Paragraph 30 correctly identifies online surveillance, infiltration, harassme</w:t>
      </w:r>
      <w:r w:rsidRPr="00FC1EAE">
        <w:rPr>
          <w:color w:val="000000" w:themeColor="text1"/>
        </w:rPr>
        <w:t>nt, misuse of counter terrorism and anti money laundering measures, burdensome funding rules, and strategic litigation against public participation as measures that may violate article 22. Paragraph 32 also recognizes cyber repression against people abroad</w:t>
      </w:r>
      <w:r w:rsidRPr="00FC1EAE">
        <w:rPr>
          <w:color w:val="000000" w:themeColor="text1"/>
        </w:rPr>
        <w:t>, while paragraph 36 addresses transnational digital surveillance. Paragraph 37 usefully recognizes the role of private entities such as service providers, content moderation bodies, digital technology companies, and social media companies.</w:t>
      </w:r>
    </w:p>
    <w:p w14:paraId="16DB0AF1" w14:textId="77777777" w:rsidR="00A4588E" w:rsidRPr="00FC1EAE" w:rsidRDefault="008D2645">
      <w:pPr>
        <w:rPr>
          <w:color w:val="000000" w:themeColor="text1"/>
        </w:rPr>
      </w:pPr>
      <w:r w:rsidRPr="00FC1EAE">
        <w:rPr>
          <w:color w:val="000000" w:themeColor="text1"/>
        </w:rPr>
        <w:t>These paragraph</w:t>
      </w:r>
      <w:r w:rsidRPr="00FC1EAE">
        <w:rPr>
          <w:color w:val="000000" w:themeColor="text1"/>
        </w:rPr>
        <w:t>s should be connected more directly. In current practice, digital repression often involves a combination of State power, private infrastructure, third party attacks, and cross border technology markets. A human rights defender may be monitored through spy</w:t>
      </w:r>
      <w:r w:rsidRPr="00FC1EAE">
        <w:rPr>
          <w:color w:val="000000" w:themeColor="text1"/>
        </w:rPr>
        <w:t>ware, profiled through social media data, targeted by coordinated harassment, reported to platforms through abusive complaint systems, and then removed from digital spaces by opaque moderation decisions. The result may be the loss of association in practic</w:t>
      </w:r>
      <w:r w:rsidRPr="00FC1EAE">
        <w:rPr>
          <w:color w:val="000000" w:themeColor="text1"/>
        </w:rPr>
        <w:t>e, even when no formal State ban is issued.</w:t>
      </w:r>
    </w:p>
    <w:p w14:paraId="6C3F8CF3" w14:textId="77777777" w:rsidR="00A4588E" w:rsidRPr="00FC1EAE" w:rsidRDefault="008D2645">
      <w:pPr>
        <w:rPr>
          <w:color w:val="000000" w:themeColor="text1"/>
        </w:rPr>
      </w:pPr>
      <w:r w:rsidRPr="00FC1EAE">
        <w:rPr>
          <w:color w:val="000000" w:themeColor="text1"/>
        </w:rPr>
        <w:t>Suggested addition to paragraphs 30, 32, 36, or 37:</w:t>
      </w:r>
    </w:p>
    <w:p w14:paraId="5D0F3877" w14:textId="77777777" w:rsidR="00A4588E" w:rsidRPr="00FC1EAE" w:rsidRDefault="008D2645">
      <w:pPr>
        <w:rPr>
          <w:color w:val="000000" w:themeColor="text1"/>
        </w:rPr>
      </w:pPr>
      <w:r w:rsidRPr="00FC1EAE">
        <w:rPr>
          <w:color w:val="000000" w:themeColor="text1"/>
        </w:rPr>
        <w:t>States Parties must not conduct, purchase, authorize, facilitate, or benefit from digital surveillance, spyware, biometric identification, social media monitori</w:t>
      </w:r>
      <w:r w:rsidRPr="00FC1EAE">
        <w:rPr>
          <w:color w:val="000000" w:themeColor="text1"/>
        </w:rPr>
        <w:t>ng, or other technology enabled measures that target individuals or groups because of their association, membership, civic activity, labour organizing, human rights work, or participation in public life, except where any restriction strictly meets the requ</w:t>
      </w:r>
      <w:r w:rsidRPr="00FC1EAE">
        <w:rPr>
          <w:color w:val="000000" w:themeColor="text1"/>
        </w:rPr>
        <w:t xml:space="preserve">irements of article 22 (2). States Parties must also protect individuals and associations within their jurisdiction from digital attacks, unlawful surveillance, coordinated harassment, doxxing, and other forms of technology enabled interference by private </w:t>
      </w:r>
      <w:r w:rsidRPr="00FC1EAE">
        <w:rPr>
          <w:color w:val="000000" w:themeColor="text1"/>
        </w:rPr>
        <w:t>actors or foreign States.</w:t>
      </w:r>
    </w:p>
    <w:p w14:paraId="2BF6268A" w14:textId="77777777" w:rsidR="00A4588E" w:rsidRPr="00FC1EAE" w:rsidRDefault="008D2645">
      <w:pPr>
        <w:pStyle w:val="Heading2"/>
        <w:rPr>
          <w:color w:val="000000" w:themeColor="text1"/>
        </w:rPr>
      </w:pPr>
      <w:r w:rsidRPr="00FC1EAE">
        <w:rPr>
          <w:color w:val="000000" w:themeColor="text1"/>
        </w:rPr>
        <w:lastRenderedPageBreak/>
        <w:t>6. Paragraph 35: hostile narratives and online attacks against associations</w:t>
      </w:r>
    </w:p>
    <w:p w14:paraId="1D3158E6" w14:textId="77777777" w:rsidR="00A4588E" w:rsidRPr="00FC1EAE" w:rsidRDefault="008D2645">
      <w:pPr>
        <w:rPr>
          <w:color w:val="000000" w:themeColor="text1"/>
        </w:rPr>
      </w:pPr>
      <w:r w:rsidRPr="00FC1EAE">
        <w:rPr>
          <w:color w:val="000000" w:themeColor="text1"/>
        </w:rPr>
        <w:t>Paragraph 35 appropriately recognizes that States must address hostile actions, discourses, and narratives, including online, against associations and the</w:t>
      </w:r>
      <w:r w:rsidRPr="00FC1EAE">
        <w:rPr>
          <w:color w:val="000000" w:themeColor="text1"/>
        </w:rPr>
        <w:t>ir members. This is especially important for associations working on issues considered sensitive, such as gender, migration, corruption, environmental protection, economic projects, and political opposition.</w:t>
      </w:r>
    </w:p>
    <w:p w14:paraId="092C1E17" w14:textId="77777777" w:rsidR="00A4588E" w:rsidRPr="00FC1EAE" w:rsidRDefault="008D2645">
      <w:pPr>
        <w:rPr>
          <w:color w:val="000000" w:themeColor="text1"/>
        </w:rPr>
      </w:pPr>
      <w:r w:rsidRPr="00FC1EAE">
        <w:rPr>
          <w:color w:val="000000" w:themeColor="text1"/>
        </w:rPr>
        <w:t>The final text should clarify that online attack</w:t>
      </w:r>
      <w:r w:rsidRPr="00FC1EAE">
        <w:rPr>
          <w:color w:val="000000" w:themeColor="text1"/>
        </w:rPr>
        <w:t>s can create real world barriers to association. Coordinated smear campaigns, gendered abuse, threats, doxxing, fabricated accusations, and manipulated media can cause people to withdraw from association, avoid membership, stop attending events, resign fro</w:t>
      </w:r>
      <w:r w:rsidRPr="00FC1EAE">
        <w:rPr>
          <w:color w:val="000000" w:themeColor="text1"/>
        </w:rPr>
        <w:t>m leadership roles, or close civic initiatives. These effects are often strongest on women, young people, minority groups, migrants, LGBTQI+ persons, journalists, and human rights defenders.</w:t>
      </w:r>
    </w:p>
    <w:p w14:paraId="7C8B041C" w14:textId="77777777" w:rsidR="00A4588E" w:rsidRPr="00FC1EAE" w:rsidRDefault="008D2645">
      <w:pPr>
        <w:rPr>
          <w:color w:val="000000" w:themeColor="text1"/>
        </w:rPr>
      </w:pPr>
      <w:r w:rsidRPr="00FC1EAE">
        <w:rPr>
          <w:color w:val="000000" w:themeColor="text1"/>
        </w:rPr>
        <w:t>Suggested addition to paragraph 35:</w:t>
      </w:r>
    </w:p>
    <w:p w14:paraId="7C29A95E" w14:textId="77777777" w:rsidR="00A4588E" w:rsidRPr="00FC1EAE" w:rsidRDefault="008D2645">
      <w:pPr>
        <w:rPr>
          <w:color w:val="000000" w:themeColor="text1"/>
        </w:rPr>
      </w:pPr>
      <w:r w:rsidRPr="00FC1EAE">
        <w:rPr>
          <w:color w:val="000000" w:themeColor="text1"/>
        </w:rPr>
        <w:t xml:space="preserve">States Parties should </w:t>
      </w:r>
      <w:r w:rsidRPr="00FC1EAE">
        <w:rPr>
          <w:color w:val="000000" w:themeColor="text1"/>
        </w:rPr>
        <w:t>recognize that online threats, coordinated harassment, doxxing, gendered abuse, manipulated media, and smear campaigns may impair freedom of association by deterring individuals from joining, leading, supporting, funding, or publicly engaging with associat</w:t>
      </w:r>
      <w:r w:rsidRPr="00FC1EAE">
        <w:rPr>
          <w:color w:val="000000" w:themeColor="text1"/>
        </w:rPr>
        <w:t>ions. States Parties should respond to such conduct through rights respecting measures that protect victims and preserve civic space, while avoiding overbroad restrictions on lawful expression.</w:t>
      </w:r>
    </w:p>
    <w:p w14:paraId="65537D72" w14:textId="77777777" w:rsidR="00A4588E" w:rsidRPr="00FC1EAE" w:rsidRDefault="008D2645">
      <w:pPr>
        <w:pStyle w:val="Heading2"/>
        <w:rPr>
          <w:color w:val="000000" w:themeColor="text1"/>
        </w:rPr>
      </w:pPr>
      <w:r w:rsidRPr="00FC1EAE">
        <w:rPr>
          <w:color w:val="000000" w:themeColor="text1"/>
        </w:rPr>
        <w:t>7. Paragraph 37: platform governance and content moderation</w:t>
      </w:r>
    </w:p>
    <w:p w14:paraId="4F0079D2" w14:textId="77777777" w:rsidR="00A4588E" w:rsidRPr="00FC1EAE" w:rsidRDefault="008D2645">
      <w:pPr>
        <w:rPr>
          <w:color w:val="000000" w:themeColor="text1"/>
        </w:rPr>
      </w:pPr>
      <w:r w:rsidRPr="00FC1EAE">
        <w:rPr>
          <w:color w:val="000000" w:themeColor="text1"/>
        </w:rPr>
        <w:t>Pa</w:t>
      </w:r>
      <w:r w:rsidRPr="00FC1EAE">
        <w:rPr>
          <w:color w:val="000000" w:themeColor="text1"/>
        </w:rPr>
        <w:t>ragraph 37 is welcome, but it should provide more practical guidance on platform governance. Online platforms are now central to the visibility and functioning of many associations. They can affect whether associations reach their members, publish informat</w:t>
      </w:r>
      <w:r w:rsidRPr="00FC1EAE">
        <w:rPr>
          <w:color w:val="000000" w:themeColor="text1"/>
        </w:rPr>
        <w:t>ion, document abuses, mobilize support, fundraise, or participate in public debate. State duties under article 22 should therefore include a duty to ensure that private platform governance does not arbitrarily undermine associative activity.</w:t>
      </w:r>
    </w:p>
    <w:p w14:paraId="604E4D58" w14:textId="77777777" w:rsidR="00A4588E" w:rsidRPr="00FC1EAE" w:rsidRDefault="008D2645">
      <w:pPr>
        <w:rPr>
          <w:color w:val="000000" w:themeColor="text1"/>
        </w:rPr>
      </w:pPr>
      <w:r w:rsidRPr="00FC1EAE">
        <w:rPr>
          <w:color w:val="000000" w:themeColor="text1"/>
        </w:rPr>
        <w:t xml:space="preserve">This does not </w:t>
      </w:r>
      <w:r w:rsidRPr="00FC1EAE">
        <w:rPr>
          <w:color w:val="000000" w:themeColor="text1"/>
        </w:rPr>
        <w:t>mean that every platform decision becomes a State violation. It means that States must adopt legal and policy frameworks that require meaningful human rights due diligence, transparency, appeal mechanisms, and remedy where platform practices create foresee</w:t>
      </w:r>
      <w:r w:rsidRPr="00FC1EAE">
        <w:rPr>
          <w:color w:val="000000" w:themeColor="text1"/>
        </w:rPr>
        <w:t>able risks to article 22. This is particularly important where States pressure platforms to remove content, disclose data, block accounts, restrict civic campaigns, or suppress associations under vague grounds such as public order, national values, extremi</w:t>
      </w:r>
      <w:r w:rsidRPr="00FC1EAE">
        <w:rPr>
          <w:color w:val="000000" w:themeColor="text1"/>
        </w:rPr>
        <w:t>sm, foreign influence, or reputational harm.</w:t>
      </w:r>
    </w:p>
    <w:p w14:paraId="36FA23ED" w14:textId="77777777" w:rsidR="00A4588E" w:rsidRPr="00FC1EAE" w:rsidRDefault="008D2645">
      <w:pPr>
        <w:rPr>
          <w:color w:val="000000" w:themeColor="text1"/>
        </w:rPr>
      </w:pPr>
      <w:r w:rsidRPr="00FC1EAE">
        <w:rPr>
          <w:color w:val="000000" w:themeColor="text1"/>
        </w:rPr>
        <w:t>Suggested addition to paragraph 37:</w:t>
      </w:r>
    </w:p>
    <w:p w14:paraId="354117B6" w14:textId="77777777" w:rsidR="00A4588E" w:rsidRPr="00FC1EAE" w:rsidRDefault="008D2645">
      <w:pPr>
        <w:rPr>
          <w:color w:val="000000" w:themeColor="text1"/>
        </w:rPr>
      </w:pPr>
      <w:r w:rsidRPr="00FC1EAE">
        <w:rPr>
          <w:color w:val="000000" w:themeColor="text1"/>
        </w:rPr>
        <w:t>States Parties should require digital technology companies and online platforms to conduct meaningful human rights due diligence in relation to the rights protected by article</w:t>
      </w:r>
      <w:r w:rsidRPr="00FC1EAE">
        <w:rPr>
          <w:color w:val="000000" w:themeColor="text1"/>
        </w:rPr>
        <w:t xml:space="preserve"> 22, including risks arising from content moderation, account suspension, algorithmic ranking, demonetization, data disclosure, political advertising rules, crisis protocols, and government requests. Associations and their members should have access to cle</w:t>
      </w:r>
      <w:r w:rsidRPr="00FC1EAE">
        <w:rPr>
          <w:color w:val="000000" w:themeColor="text1"/>
        </w:rPr>
        <w:t>ar reasons, timely appeal, and effective remedy where platform decisions interfere with their ability to associate.</w:t>
      </w:r>
    </w:p>
    <w:p w14:paraId="1D376814" w14:textId="77777777" w:rsidR="00A4588E" w:rsidRPr="00FC1EAE" w:rsidRDefault="008D2645">
      <w:pPr>
        <w:pStyle w:val="Heading2"/>
        <w:rPr>
          <w:color w:val="000000" w:themeColor="text1"/>
        </w:rPr>
      </w:pPr>
      <w:r w:rsidRPr="00FC1EAE">
        <w:rPr>
          <w:color w:val="000000" w:themeColor="text1"/>
        </w:rPr>
        <w:t>8. Paragraphs 41 to 50: legality, legitimate aim, necessity, and proportionality in digital restrictions</w:t>
      </w:r>
    </w:p>
    <w:p w14:paraId="71A07B43" w14:textId="77777777" w:rsidR="00A4588E" w:rsidRPr="00FC1EAE" w:rsidRDefault="008D2645">
      <w:pPr>
        <w:rPr>
          <w:color w:val="000000" w:themeColor="text1"/>
        </w:rPr>
      </w:pPr>
      <w:r w:rsidRPr="00FC1EAE">
        <w:rPr>
          <w:color w:val="000000" w:themeColor="text1"/>
        </w:rPr>
        <w:t>The section on restrictions is stro</w:t>
      </w:r>
      <w:r w:rsidRPr="00FC1EAE">
        <w:rPr>
          <w:color w:val="000000" w:themeColor="text1"/>
        </w:rPr>
        <w:t>ng and should remain strict. However, the final text should explain how legality, legitimate aim, necessity, and proportionality apply to digital restrictions. Many digital restrictions are introduced through vague laws on cybercrime, false information, ex</w:t>
      </w:r>
      <w:r w:rsidRPr="00FC1EAE">
        <w:rPr>
          <w:color w:val="000000" w:themeColor="text1"/>
        </w:rPr>
        <w:t>tremism, terrorism, national unity, public morals, cybersecurity, or foreign influence. These laws may be used to criminalize membership, advocacy, online campaigning, donor communication, labour organizing, or public criticism.</w:t>
      </w:r>
    </w:p>
    <w:p w14:paraId="34A5BBCB" w14:textId="77777777" w:rsidR="00A4588E" w:rsidRPr="00FC1EAE" w:rsidRDefault="008D2645">
      <w:pPr>
        <w:rPr>
          <w:color w:val="000000" w:themeColor="text1"/>
        </w:rPr>
      </w:pPr>
      <w:r w:rsidRPr="00FC1EAE">
        <w:rPr>
          <w:color w:val="000000" w:themeColor="text1"/>
        </w:rPr>
        <w:t xml:space="preserve">The Committee should state </w:t>
      </w:r>
      <w:r w:rsidRPr="00FC1EAE">
        <w:rPr>
          <w:color w:val="000000" w:themeColor="text1"/>
        </w:rPr>
        <w:t>clearly that digital restrictions must not be assessed only by their stated purpose. Their practical effect on association matters. A facially neutral cybersecurity measure may still violate article 22 if it is used selectively against civil society. A pla</w:t>
      </w:r>
      <w:r w:rsidRPr="00FC1EAE">
        <w:rPr>
          <w:color w:val="000000" w:themeColor="text1"/>
        </w:rPr>
        <w:t>tform blocking order may still be disproportionate if it disables a broad range of lawful associative activity. A data localization rule may still interfere with associations if it exposes their members and records to unsafe access by authorities.</w:t>
      </w:r>
    </w:p>
    <w:p w14:paraId="5522175D" w14:textId="77777777" w:rsidR="00A4588E" w:rsidRPr="00FC1EAE" w:rsidRDefault="008D2645">
      <w:pPr>
        <w:rPr>
          <w:color w:val="000000" w:themeColor="text1"/>
        </w:rPr>
      </w:pPr>
      <w:r w:rsidRPr="00FC1EAE">
        <w:rPr>
          <w:color w:val="000000" w:themeColor="text1"/>
        </w:rPr>
        <w:lastRenderedPageBreak/>
        <w:t>Suggeste</w:t>
      </w:r>
      <w:r w:rsidRPr="00FC1EAE">
        <w:rPr>
          <w:color w:val="000000" w:themeColor="text1"/>
        </w:rPr>
        <w:t>d addition to the restrictions section:</w:t>
      </w:r>
    </w:p>
    <w:p w14:paraId="17E7229B" w14:textId="77777777" w:rsidR="00A4588E" w:rsidRPr="00FC1EAE" w:rsidRDefault="008D2645">
      <w:pPr>
        <w:rPr>
          <w:color w:val="000000" w:themeColor="text1"/>
        </w:rPr>
      </w:pPr>
      <w:r w:rsidRPr="00FC1EAE">
        <w:rPr>
          <w:color w:val="000000" w:themeColor="text1"/>
        </w:rPr>
        <w:t>Where restrictions affect digital association, States Parties must demonstrate with specificity how the measure satisfies legality, legitimate aim, necessity, and proportionality. Vague references to cybersecurity, e</w:t>
      </w:r>
      <w:r w:rsidRPr="00FC1EAE">
        <w:rPr>
          <w:color w:val="000000" w:themeColor="text1"/>
        </w:rPr>
        <w:t>xtremism, false information, public order, foreign influence, public morals, or national values cannot justify broad measures such as internet shutdowns, platform blocking, website blocking, mass surveillance, indiscriminate monitoring, forced data disclos</w:t>
      </w:r>
      <w:r w:rsidRPr="00FC1EAE">
        <w:rPr>
          <w:color w:val="000000" w:themeColor="text1"/>
        </w:rPr>
        <w:t>ure, or criminalization of lawful online association. The practical effect of the measure on the ability of associations to form, operate, communicate, fundraise, and participate in public life must be central to the assessment.</w:t>
      </w:r>
    </w:p>
    <w:p w14:paraId="1927434B" w14:textId="77777777" w:rsidR="00A4588E" w:rsidRPr="00FC1EAE" w:rsidRDefault="008D2645">
      <w:pPr>
        <w:pStyle w:val="Heading2"/>
        <w:rPr>
          <w:color w:val="000000" w:themeColor="text1"/>
        </w:rPr>
      </w:pPr>
      <w:r w:rsidRPr="00FC1EAE">
        <w:rPr>
          <w:color w:val="000000" w:themeColor="text1"/>
        </w:rPr>
        <w:t>9. Paragraphs 39 and 40: re</w:t>
      </w:r>
      <w:r w:rsidRPr="00FC1EAE">
        <w:rPr>
          <w:color w:val="000000" w:themeColor="text1"/>
        </w:rPr>
        <w:t>medies for digital violations of article 22</w:t>
      </w:r>
    </w:p>
    <w:p w14:paraId="124D4374" w14:textId="77777777" w:rsidR="00A4588E" w:rsidRPr="00FC1EAE" w:rsidRDefault="008D2645">
      <w:pPr>
        <w:rPr>
          <w:color w:val="000000" w:themeColor="text1"/>
        </w:rPr>
      </w:pPr>
      <w:r w:rsidRPr="00FC1EAE">
        <w:rPr>
          <w:color w:val="000000" w:themeColor="text1"/>
        </w:rPr>
        <w:t xml:space="preserve">Paragraphs 39 and 40 rightly stress effective remedies and reparation. The final text should make clear that digital violations require practical and timely remedies. In many cases, delayed remedies are not </w:t>
      </w:r>
      <w:r w:rsidRPr="00FC1EAE">
        <w:rPr>
          <w:color w:val="000000" w:themeColor="text1"/>
        </w:rPr>
        <w:t>meaningful. If an association’s account is suspended during an election, campaign, strike, emergency, public consultation, or urgent humanitarian response, a remedy months later may not restore the lost opportunity to associate.</w:t>
      </w:r>
    </w:p>
    <w:p w14:paraId="39217D40" w14:textId="77777777" w:rsidR="00A4588E" w:rsidRPr="00FC1EAE" w:rsidRDefault="008D2645">
      <w:pPr>
        <w:rPr>
          <w:color w:val="000000" w:themeColor="text1"/>
        </w:rPr>
      </w:pPr>
      <w:r w:rsidRPr="00FC1EAE">
        <w:rPr>
          <w:color w:val="000000" w:themeColor="text1"/>
        </w:rPr>
        <w:t>Suggested addition to parag</w:t>
      </w:r>
      <w:r w:rsidRPr="00FC1EAE">
        <w:rPr>
          <w:color w:val="000000" w:themeColor="text1"/>
        </w:rPr>
        <w:t>raphs 39 or 40:</w:t>
      </w:r>
    </w:p>
    <w:p w14:paraId="54CEDE5C" w14:textId="77777777" w:rsidR="00A4588E" w:rsidRPr="00FC1EAE" w:rsidRDefault="008D2645">
      <w:pPr>
        <w:rPr>
          <w:color w:val="000000" w:themeColor="text1"/>
        </w:rPr>
      </w:pPr>
      <w:r w:rsidRPr="00FC1EAE">
        <w:rPr>
          <w:color w:val="000000" w:themeColor="text1"/>
        </w:rPr>
        <w:t>In cases involving digital interference with freedom of association, effective remedies should be prompt and capable of preventing irreparable harm. Remedies may include restoration of access to accounts, websites, data, digital services, f</w:t>
      </w:r>
      <w:r w:rsidRPr="00FC1EAE">
        <w:rPr>
          <w:color w:val="000000" w:themeColor="text1"/>
        </w:rPr>
        <w:t>inancial tools, or communication channels; deletion of unlawfully collected data; disclosure of the basis for surveillance or platform restriction where compatible with human rights; independent review; compensation; and guarantees of non repetition.</w:t>
      </w:r>
    </w:p>
    <w:p w14:paraId="1F354EA8" w14:textId="77777777" w:rsidR="00A4588E" w:rsidRPr="00FC1EAE" w:rsidRDefault="008D2645">
      <w:pPr>
        <w:pStyle w:val="Heading1"/>
        <w:rPr>
          <w:color w:val="000000" w:themeColor="text1"/>
        </w:rPr>
      </w:pPr>
      <w:r w:rsidRPr="00FC1EAE">
        <w:rPr>
          <w:color w:val="000000" w:themeColor="text1"/>
        </w:rPr>
        <w:t>IV. A</w:t>
      </w:r>
      <w:r w:rsidRPr="00FC1EAE">
        <w:rPr>
          <w:color w:val="000000" w:themeColor="text1"/>
        </w:rPr>
        <w:t>dditional recommended language for a standalone paragraph</w:t>
      </w:r>
    </w:p>
    <w:p w14:paraId="5B1757B3" w14:textId="77777777" w:rsidR="00A4588E" w:rsidRPr="00FC1EAE" w:rsidRDefault="008D2645">
      <w:pPr>
        <w:rPr>
          <w:color w:val="000000" w:themeColor="text1"/>
        </w:rPr>
      </w:pPr>
      <w:r w:rsidRPr="00FC1EAE">
        <w:rPr>
          <w:color w:val="000000" w:themeColor="text1"/>
        </w:rPr>
        <w:t>The Committee may wish to add a standalone paragraph on freedom of association in the digital age. The following language could be inserted after paragraph 11 or in the section on State obligations:</w:t>
      </w:r>
    </w:p>
    <w:p w14:paraId="298C519C" w14:textId="77777777" w:rsidR="00A4588E" w:rsidRPr="00FC1EAE" w:rsidRDefault="008D2645">
      <w:pPr>
        <w:rPr>
          <w:color w:val="000000" w:themeColor="text1"/>
        </w:rPr>
      </w:pPr>
      <w:r w:rsidRPr="00FC1EAE">
        <w:rPr>
          <w:color w:val="000000" w:themeColor="text1"/>
        </w:rPr>
        <w:t xml:space="preserve">Article 22 protects the ability of individuals and groups to associate through digital, online, and hybrid means. States Parties must ensure that laws, policies, public procurement, platform regulation, cybersecurity measures, data protection frameworks, </w:t>
      </w:r>
      <w:r w:rsidRPr="00FC1EAE">
        <w:rPr>
          <w:color w:val="000000" w:themeColor="text1"/>
        </w:rPr>
        <w:t>and the use of artificial intelligence or automated decision making do not undermine the formation, operation, visibility, funding, security, or participation of associations. Measures affecting digital association, including surveillance, internet shutdow</w:t>
      </w:r>
      <w:r w:rsidRPr="00FC1EAE">
        <w:rPr>
          <w:color w:val="000000" w:themeColor="text1"/>
        </w:rPr>
        <w:t>ns, platform blocking, website blocking, account suspension, forced disclosure of membership or donor data, algorithmic suppression, or automated profiling, must comply strictly with article 22 (2), read together with articles 2, 17, 19, 21, 25 and 26 of t</w:t>
      </w:r>
      <w:r w:rsidRPr="00FC1EAE">
        <w:rPr>
          <w:color w:val="000000" w:themeColor="text1"/>
        </w:rPr>
        <w:t>he Covenant. States Parties should also ensure effective oversight, transparency, human rights due diligence, independent review, and accessible remedies.</w:t>
      </w:r>
    </w:p>
    <w:p w14:paraId="07239083" w14:textId="77777777" w:rsidR="00A4588E" w:rsidRPr="00FC1EAE" w:rsidRDefault="008D2645">
      <w:pPr>
        <w:pStyle w:val="Heading1"/>
        <w:rPr>
          <w:color w:val="000000" w:themeColor="text1"/>
        </w:rPr>
      </w:pPr>
      <w:r w:rsidRPr="00FC1EAE">
        <w:rPr>
          <w:color w:val="000000" w:themeColor="text1"/>
        </w:rPr>
        <w:t>V. Summary of recommendations</w:t>
      </w:r>
    </w:p>
    <w:p w14:paraId="7A6BA5F6" w14:textId="77777777" w:rsidR="00A4588E" w:rsidRPr="00FC1EAE" w:rsidRDefault="008D2645">
      <w:pPr>
        <w:pStyle w:val="ListBullet"/>
        <w:ind w:hanging="216"/>
        <w:rPr>
          <w:color w:val="000000" w:themeColor="text1"/>
        </w:rPr>
      </w:pPr>
      <w:r w:rsidRPr="00FC1EAE">
        <w:rPr>
          <w:color w:val="000000" w:themeColor="text1"/>
        </w:rPr>
        <w:t>Strengthen paragraph 11 by expressly referring to artificial intelligen</w:t>
      </w:r>
      <w:r w:rsidRPr="00FC1EAE">
        <w:rPr>
          <w:color w:val="000000" w:themeColor="text1"/>
        </w:rPr>
        <w:t>ce, automated decision making, biometric identification, facial recognition, predictive policing, automated moderation, and data driven profiling.</w:t>
      </w:r>
    </w:p>
    <w:p w14:paraId="0ECACD4D" w14:textId="77777777" w:rsidR="00A4588E" w:rsidRPr="00FC1EAE" w:rsidRDefault="008D2645">
      <w:pPr>
        <w:pStyle w:val="ListBullet"/>
        <w:ind w:hanging="216"/>
        <w:rPr>
          <w:color w:val="000000" w:themeColor="text1"/>
        </w:rPr>
      </w:pPr>
      <w:r w:rsidRPr="00FC1EAE">
        <w:rPr>
          <w:color w:val="000000" w:themeColor="text1"/>
        </w:rPr>
        <w:t>Clarify in paragraphs 12 and 13 that article 22 protects informal, unregistered, decentralized, temporary, tr</w:t>
      </w:r>
      <w:r w:rsidRPr="00FC1EAE">
        <w:rPr>
          <w:color w:val="000000" w:themeColor="text1"/>
        </w:rPr>
        <w:t>ansnational, online, and hybrid forms of association.</w:t>
      </w:r>
    </w:p>
    <w:p w14:paraId="1532AB10" w14:textId="77777777" w:rsidR="00A4588E" w:rsidRPr="00FC1EAE" w:rsidRDefault="008D2645">
      <w:pPr>
        <w:pStyle w:val="ListBullet"/>
        <w:ind w:hanging="216"/>
        <w:rPr>
          <w:color w:val="000000" w:themeColor="text1"/>
        </w:rPr>
      </w:pPr>
      <w:r w:rsidRPr="00FC1EAE">
        <w:rPr>
          <w:color w:val="000000" w:themeColor="text1"/>
        </w:rPr>
        <w:t>Clarify in paragraph 14 that access to digital financial infrastructure, online fundraising, cloud services, website hosting, and digital tools can be part of the practical exercise of freedom of associ</w:t>
      </w:r>
      <w:r w:rsidRPr="00FC1EAE">
        <w:rPr>
          <w:color w:val="000000" w:themeColor="text1"/>
        </w:rPr>
        <w:t>ation.</w:t>
      </w:r>
    </w:p>
    <w:p w14:paraId="53D93F1B" w14:textId="77777777" w:rsidR="00A4588E" w:rsidRPr="00FC1EAE" w:rsidRDefault="008D2645">
      <w:pPr>
        <w:pStyle w:val="ListBullet"/>
        <w:ind w:hanging="216"/>
        <w:rPr>
          <w:color w:val="000000" w:themeColor="text1"/>
        </w:rPr>
      </w:pPr>
      <w:r w:rsidRPr="00FC1EAE">
        <w:rPr>
          <w:color w:val="000000" w:themeColor="text1"/>
        </w:rPr>
        <w:t>Clarify in paragraph 16 that secure and private communication, including encrypted communication, can be necessary for meaningful association, especially for groups exposed to intimidation or reprisals.</w:t>
      </w:r>
    </w:p>
    <w:p w14:paraId="5056D4C9" w14:textId="77777777" w:rsidR="00A4588E" w:rsidRPr="00FC1EAE" w:rsidRDefault="008D2645">
      <w:pPr>
        <w:pStyle w:val="ListBullet"/>
        <w:ind w:hanging="216"/>
        <w:rPr>
          <w:color w:val="000000" w:themeColor="text1"/>
        </w:rPr>
      </w:pPr>
      <w:r w:rsidRPr="00FC1EAE">
        <w:rPr>
          <w:color w:val="000000" w:themeColor="text1"/>
        </w:rPr>
        <w:t>Strengthen paragraphs 30, 32, 36, and 37 by ad</w:t>
      </w:r>
      <w:r w:rsidRPr="00FC1EAE">
        <w:rPr>
          <w:color w:val="000000" w:themeColor="text1"/>
        </w:rPr>
        <w:t>dressing spyware, unlawful surveillance, coordinated harassment, doxxing, private technology actors, and transnational digital repression.</w:t>
      </w:r>
    </w:p>
    <w:p w14:paraId="2E2E0507" w14:textId="77777777" w:rsidR="00A4588E" w:rsidRPr="00FC1EAE" w:rsidRDefault="008D2645">
      <w:pPr>
        <w:pStyle w:val="ListBullet"/>
        <w:ind w:hanging="216"/>
        <w:rPr>
          <w:color w:val="000000" w:themeColor="text1"/>
        </w:rPr>
      </w:pPr>
      <w:r w:rsidRPr="00FC1EAE">
        <w:rPr>
          <w:color w:val="000000" w:themeColor="text1"/>
        </w:rPr>
        <w:lastRenderedPageBreak/>
        <w:t>Develop paragraph 37 to include platform governance duties, including human rights due diligence, transparency, reaso</w:t>
      </w:r>
      <w:r w:rsidRPr="00FC1EAE">
        <w:rPr>
          <w:color w:val="000000" w:themeColor="text1"/>
        </w:rPr>
        <w:t>ns for decisions, appeal, and remedy.</w:t>
      </w:r>
    </w:p>
    <w:p w14:paraId="3683A780" w14:textId="77777777" w:rsidR="00A4588E" w:rsidRPr="00FC1EAE" w:rsidRDefault="008D2645">
      <w:pPr>
        <w:pStyle w:val="ListBullet"/>
        <w:ind w:hanging="216"/>
        <w:rPr>
          <w:color w:val="000000" w:themeColor="text1"/>
        </w:rPr>
      </w:pPr>
      <w:r w:rsidRPr="00FC1EAE">
        <w:rPr>
          <w:color w:val="000000" w:themeColor="text1"/>
        </w:rPr>
        <w:t>Clarify that digital restrictions must meet article 22 (2) in practice, not only in formal wording, and that vague grounds such as cybersecurity, extremism, foreign influence, public order, or public morals cannot just</w:t>
      </w:r>
      <w:r w:rsidRPr="00FC1EAE">
        <w:rPr>
          <w:color w:val="000000" w:themeColor="text1"/>
        </w:rPr>
        <w:t>ify broad digital restrictions.</w:t>
      </w:r>
    </w:p>
    <w:p w14:paraId="73BD97B0" w14:textId="77777777" w:rsidR="00A4588E" w:rsidRPr="00FC1EAE" w:rsidRDefault="008D2645">
      <w:pPr>
        <w:pStyle w:val="ListBullet"/>
        <w:ind w:hanging="216"/>
        <w:rPr>
          <w:color w:val="000000" w:themeColor="text1"/>
        </w:rPr>
      </w:pPr>
      <w:r w:rsidRPr="00FC1EAE">
        <w:rPr>
          <w:color w:val="000000" w:themeColor="text1"/>
        </w:rPr>
        <w:t>Clarify that remedies for digital violations must be prompt and practical, because delayed remedies may not repair the loss of civic participation, public visibility, funding, or organizational access.</w:t>
      </w:r>
    </w:p>
    <w:p w14:paraId="4B713200" w14:textId="77777777" w:rsidR="00A4588E" w:rsidRPr="00FC1EAE" w:rsidRDefault="008D2645">
      <w:pPr>
        <w:pStyle w:val="Heading1"/>
        <w:rPr>
          <w:color w:val="000000" w:themeColor="text1"/>
        </w:rPr>
      </w:pPr>
      <w:r w:rsidRPr="00FC1EAE">
        <w:rPr>
          <w:color w:val="000000" w:themeColor="text1"/>
        </w:rPr>
        <w:t>VI. Conclusion</w:t>
      </w:r>
    </w:p>
    <w:p w14:paraId="5097F59A" w14:textId="77777777" w:rsidR="00A4588E" w:rsidRPr="00FC1EAE" w:rsidRDefault="008D2645">
      <w:pPr>
        <w:rPr>
          <w:color w:val="000000" w:themeColor="text1"/>
        </w:rPr>
      </w:pPr>
      <w:r w:rsidRPr="00FC1EAE">
        <w:rPr>
          <w:color w:val="000000" w:themeColor="text1"/>
        </w:rPr>
        <w:t>Draft G</w:t>
      </w:r>
      <w:r w:rsidRPr="00FC1EAE">
        <w:rPr>
          <w:color w:val="000000" w:themeColor="text1"/>
        </w:rPr>
        <w:t>eneral Comment No. 38 is an important opportunity to bring article 22 into the realities of contemporary civic life. The draft already provides a strong basis for protecting associations against traditional forms of interference, including refusal of regis</w:t>
      </w:r>
      <w:r w:rsidRPr="00FC1EAE">
        <w:rPr>
          <w:color w:val="000000" w:themeColor="text1"/>
        </w:rPr>
        <w:t>tration, dissolution, funding restrictions, harassment, surveillance, and misuse of security laws. The final text should now make equally clear that the same right is affected when associations are digitally monitored, algorithmically suppressed, financial</w:t>
      </w:r>
      <w:r w:rsidRPr="00FC1EAE">
        <w:rPr>
          <w:color w:val="000000" w:themeColor="text1"/>
        </w:rPr>
        <w:t>ly blocked, deplatformed, exposed to coordinated online attacks, or deprived of secure communication.</w:t>
      </w:r>
    </w:p>
    <w:p w14:paraId="70B5F959" w14:textId="77777777" w:rsidR="00A4588E" w:rsidRPr="00FC1EAE" w:rsidRDefault="008D2645">
      <w:pPr>
        <w:rPr>
          <w:color w:val="000000" w:themeColor="text1"/>
        </w:rPr>
      </w:pPr>
      <w:r w:rsidRPr="00FC1EAE">
        <w:rPr>
          <w:color w:val="000000" w:themeColor="text1"/>
        </w:rPr>
        <w:t xml:space="preserve">The protection of freedom of association in the digital age should not be treated as a separate or emerging issue outside the Covenant. It is part of the </w:t>
      </w:r>
      <w:r w:rsidRPr="00FC1EAE">
        <w:rPr>
          <w:color w:val="000000" w:themeColor="text1"/>
        </w:rPr>
        <w:t>ordinary meaning and practical application of article 22 today. If people cannot safely organize, communicate, fundraise, document, advocate, and participate through the tools that shape modern public life, then the right to freedom of association is weake</w:t>
      </w:r>
      <w:r w:rsidRPr="00FC1EAE">
        <w:rPr>
          <w:color w:val="000000" w:themeColor="text1"/>
        </w:rPr>
        <w:t>ned in substance, even if it remains formally recognized in law.</w:t>
      </w:r>
    </w:p>
    <w:p w14:paraId="102BB476" w14:textId="77777777" w:rsidR="00A4588E" w:rsidRPr="00FC1EAE" w:rsidRDefault="008D2645">
      <w:pPr>
        <w:pStyle w:val="Heading1"/>
        <w:rPr>
          <w:color w:val="000000" w:themeColor="text1"/>
        </w:rPr>
      </w:pPr>
      <w:r w:rsidRPr="00FC1EAE">
        <w:rPr>
          <w:color w:val="000000" w:themeColor="text1"/>
        </w:rPr>
        <w:t>Selected references</w:t>
      </w:r>
    </w:p>
    <w:p w14:paraId="77B6C058" w14:textId="77777777" w:rsidR="00A4588E" w:rsidRPr="00FC1EAE" w:rsidRDefault="008D2645">
      <w:pPr>
        <w:pStyle w:val="ListBullet"/>
        <w:ind w:hanging="216"/>
        <w:rPr>
          <w:color w:val="000000" w:themeColor="text1"/>
        </w:rPr>
      </w:pPr>
      <w:r w:rsidRPr="00FC1EAE">
        <w:rPr>
          <w:color w:val="000000" w:themeColor="text1"/>
        </w:rPr>
        <w:t>Human Rights Committee, General Comment No. 37 on article 21, right of peaceful assembly, CCPR/C/GC/37, 2020.</w:t>
      </w:r>
    </w:p>
    <w:p w14:paraId="38FDF9FD" w14:textId="77777777" w:rsidR="00A4588E" w:rsidRPr="00FC1EAE" w:rsidRDefault="008D2645">
      <w:pPr>
        <w:pStyle w:val="ListBullet"/>
        <w:ind w:hanging="216"/>
        <w:rPr>
          <w:color w:val="000000" w:themeColor="text1"/>
        </w:rPr>
      </w:pPr>
      <w:r w:rsidRPr="00FC1EAE">
        <w:rPr>
          <w:color w:val="000000" w:themeColor="text1"/>
        </w:rPr>
        <w:t>Human Rights Committee, General Comment No. 34 on article 19,</w:t>
      </w:r>
      <w:r w:rsidRPr="00FC1EAE">
        <w:rPr>
          <w:color w:val="000000" w:themeColor="text1"/>
        </w:rPr>
        <w:t xml:space="preserve"> freedoms of opinion and expression, CCPR/C/GC/34, 2011.</w:t>
      </w:r>
    </w:p>
    <w:p w14:paraId="026C28DE" w14:textId="77777777" w:rsidR="00A4588E" w:rsidRPr="00FC1EAE" w:rsidRDefault="008D2645">
      <w:pPr>
        <w:pStyle w:val="ListBullet"/>
        <w:ind w:hanging="216"/>
        <w:rPr>
          <w:color w:val="000000" w:themeColor="text1"/>
        </w:rPr>
      </w:pPr>
      <w:r w:rsidRPr="00FC1EAE">
        <w:rPr>
          <w:color w:val="000000" w:themeColor="text1"/>
        </w:rPr>
        <w:t>Human Rights Committee, General Comment No. 31 on the nature of the general legal obligation imposed on States Parties to the Covenant, CCPR/C/21/Rev.1/Add.13, 2004.</w:t>
      </w:r>
    </w:p>
    <w:p w14:paraId="0A688AD8" w14:textId="77777777" w:rsidR="00A4588E" w:rsidRPr="00FC1EAE" w:rsidRDefault="008D2645">
      <w:pPr>
        <w:pStyle w:val="ListBullet"/>
        <w:ind w:hanging="216"/>
        <w:rPr>
          <w:color w:val="000000" w:themeColor="text1"/>
        </w:rPr>
      </w:pPr>
      <w:r w:rsidRPr="00FC1EAE">
        <w:rPr>
          <w:color w:val="000000" w:themeColor="text1"/>
        </w:rPr>
        <w:t xml:space="preserve">Special Rapporteur on the rights </w:t>
      </w:r>
      <w:r w:rsidRPr="00FC1EAE">
        <w:rPr>
          <w:color w:val="000000" w:themeColor="text1"/>
        </w:rPr>
        <w:t>to freedom of peaceful assembly and of association, Rights to freedom of peaceful assembly and of association in the digital age, A/HRC/41/41, 2019.</w:t>
      </w:r>
    </w:p>
    <w:p w14:paraId="67A32ACE" w14:textId="77777777" w:rsidR="00A4588E" w:rsidRPr="00FC1EAE" w:rsidRDefault="008D2645">
      <w:pPr>
        <w:pStyle w:val="ListBullet"/>
        <w:ind w:hanging="216"/>
        <w:rPr>
          <w:color w:val="000000" w:themeColor="text1"/>
        </w:rPr>
      </w:pPr>
      <w:r w:rsidRPr="00FC1EAE">
        <w:rPr>
          <w:color w:val="000000" w:themeColor="text1"/>
        </w:rPr>
        <w:t>Joint Declaration on Freedom of Peaceful Assembly and of Association and Digital Technologies, 2023.</w:t>
      </w:r>
    </w:p>
    <w:p w14:paraId="79AE035B" w14:textId="77777777" w:rsidR="00A4588E" w:rsidRPr="00FC1EAE" w:rsidRDefault="008D2645">
      <w:pPr>
        <w:pStyle w:val="ListBullet"/>
        <w:ind w:hanging="216"/>
        <w:rPr>
          <w:color w:val="000000" w:themeColor="text1"/>
        </w:rPr>
      </w:pPr>
      <w:r w:rsidRPr="00FC1EAE">
        <w:rPr>
          <w:color w:val="000000" w:themeColor="text1"/>
        </w:rPr>
        <w:t>OHCHR,</w:t>
      </w:r>
      <w:r w:rsidRPr="00FC1EAE">
        <w:rPr>
          <w:color w:val="000000" w:themeColor="text1"/>
        </w:rPr>
        <w:t xml:space="preserve"> B-Tech Project, guidance on a rights based approach to the development, application, and governance of digital technologies.</w:t>
      </w:r>
    </w:p>
    <w:sectPr w:rsidR="00A4588E" w:rsidRPr="00FC1EAE" w:rsidSect="00034616">
      <w:head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36560" w14:textId="77777777" w:rsidR="008D2645" w:rsidRDefault="008D2645">
      <w:pPr>
        <w:spacing w:after="0" w:line="240" w:lineRule="auto"/>
      </w:pPr>
      <w:r>
        <w:separator/>
      </w:r>
    </w:p>
  </w:endnote>
  <w:endnote w:type="continuationSeparator" w:id="0">
    <w:p w14:paraId="7819582F" w14:textId="77777777" w:rsidR="008D2645" w:rsidRDefault="008D2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0B9AE" w14:textId="77777777" w:rsidR="008D2645" w:rsidRDefault="008D2645">
      <w:pPr>
        <w:spacing w:after="0" w:line="240" w:lineRule="auto"/>
      </w:pPr>
      <w:r>
        <w:separator/>
      </w:r>
    </w:p>
  </w:footnote>
  <w:footnote w:type="continuationSeparator" w:id="0">
    <w:p w14:paraId="17E48F65" w14:textId="77777777" w:rsidR="008D2645" w:rsidRDefault="008D26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12469" w14:textId="77777777" w:rsidR="00A4588E" w:rsidRDefault="008D2645">
    <w:pPr>
      <w:pStyle w:val="Header"/>
      <w:jc w:val="center"/>
    </w:pPr>
    <w:r>
      <w:rPr>
        <w:sz w:val="16"/>
      </w:rPr>
      <w:t>Submission on Draft General Comment No. 38, Article 22 ICCPR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D2645"/>
    <w:rsid w:val="00A4588E"/>
    <w:rsid w:val="00AA1D8D"/>
    <w:rsid w:val="00B47730"/>
    <w:rsid w:val="00CB0664"/>
    <w:rsid w:val="00FC1E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CA05C9"/>
  <w14:defaultImageDpi w14:val="300"/>
  <w15:docId w15:val="{ED942AD4-671D-4731-8C7D-3788515EA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E5EB270-B7BB-4730-9276-DB8137A0F7E3}"/>
</file>

<file path=customXml/itemProps3.xml><?xml version="1.0" encoding="utf-8"?>
<ds:datastoreItem xmlns:ds="http://schemas.openxmlformats.org/officeDocument/2006/customXml" ds:itemID="{CF99C42E-7E24-48EA-99E2-9E2DF17AE770}"/>
</file>

<file path=customXml/itemProps4.xml><?xml version="1.0" encoding="utf-8"?>
<ds:datastoreItem xmlns:ds="http://schemas.openxmlformats.org/officeDocument/2006/customXml" ds:itemID="{27B45AAC-CCA6-4A6C-A4B6-A2657EEF91FB}"/>
</file>

<file path=docProps/app.xml><?xml version="1.0" encoding="utf-8"?>
<Properties xmlns="http://schemas.openxmlformats.org/officeDocument/2006/extended-properties" xmlns:vt="http://schemas.openxmlformats.org/officeDocument/2006/docPropsVTypes">
  <Template>Normal.dotm</Template>
  <TotalTime>0</TotalTime>
  <Pages>1</Pages>
  <Words>3299</Words>
  <Characters>18807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tony bader</cp:lastModifiedBy>
  <cp:revision>3</cp:revision>
  <dcterms:created xsi:type="dcterms:W3CDTF">2013-12-23T23:15:00Z</dcterms:created>
  <dcterms:modified xsi:type="dcterms:W3CDTF">2026-05-15T14:10:00Z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