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06C5" w:rsidRDefault="001006C5" w:rsidP="001006C5">
      <w:pPr>
        <w:jc w:val="both"/>
      </w:pPr>
    </w:p>
    <w:p w:rsidR="001006C5" w:rsidRDefault="001006C5" w:rsidP="001006C5">
      <w:pPr>
        <w:spacing w:after="0"/>
        <w:jc w:val="both"/>
        <w:rPr>
          <w:rFonts w:ascii="Times New Roman" w:eastAsia="Times New Roman" w:hAnsi="Times New Roman" w:cs="Times New Roman"/>
          <w:sz w:val="24"/>
          <w:szCs w:val="24"/>
        </w:rPr>
      </w:pPr>
      <w:r w:rsidRPr="00B04821">
        <w:rPr>
          <w:rFonts w:ascii="Times New Roman" w:eastAsia="Times New Roman" w:hAnsi="Times New Roman" w:cs="Times New Roman"/>
          <w:b/>
          <w:bCs/>
          <w:sz w:val="24"/>
          <w:szCs w:val="24"/>
        </w:rPr>
        <w:drawing>
          <wp:anchor distT="0" distB="0" distL="114300" distR="114300" simplePos="0" relativeHeight="251660288" behindDoc="0" locked="0" layoutInCell="1" allowOverlap="1" wp14:anchorId="2713D27E" wp14:editId="3E7EFDAC">
            <wp:simplePos x="0" y="0"/>
            <wp:positionH relativeFrom="margin">
              <wp:posOffset>1979930</wp:posOffset>
            </wp:positionH>
            <wp:positionV relativeFrom="margin">
              <wp:posOffset>370936</wp:posOffset>
            </wp:positionV>
            <wp:extent cx="1983740" cy="1983740"/>
            <wp:effectExtent l="0" t="0" r="0" b="0"/>
            <wp:wrapSquare wrapText="bothSides"/>
            <wp:docPr id="3" name="Picture 3" descr="D:\54371135_393496587871955_376129114817848934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54371135_393496587871955_3761291148178489344_n.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83740" cy="19837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006C5" w:rsidRDefault="001006C5" w:rsidP="001006C5">
      <w:pPr>
        <w:spacing w:after="0"/>
        <w:jc w:val="both"/>
        <w:rPr>
          <w:rFonts w:ascii="Times New Roman" w:eastAsia="Times New Roman" w:hAnsi="Times New Roman" w:cs="Times New Roman"/>
          <w:sz w:val="24"/>
          <w:szCs w:val="24"/>
        </w:rPr>
      </w:pPr>
    </w:p>
    <w:p w:rsidR="001006C5" w:rsidRDefault="001006C5" w:rsidP="001006C5">
      <w:pPr>
        <w:spacing w:before="100" w:beforeAutospacing="1" w:after="100" w:afterAutospacing="1"/>
        <w:jc w:val="both"/>
        <w:rPr>
          <w:rFonts w:ascii="Times New Roman" w:eastAsia="Times New Roman" w:hAnsi="Times New Roman" w:cs="Times New Roman"/>
          <w:b/>
          <w:bCs/>
          <w:sz w:val="24"/>
          <w:szCs w:val="24"/>
          <w:rtl/>
        </w:rPr>
      </w:pPr>
    </w:p>
    <w:p w:rsidR="001006C5" w:rsidRDefault="001006C5" w:rsidP="001006C5">
      <w:pPr>
        <w:spacing w:before="100" w:beforeAutospacing="1" w:after="100" w:afterAutospacing="1"/>
        <w:jc w:val="both"/>
        <w:rPr>
          <w:rFonts w:ascii="Times New Roman" w:eastAsia="Times New Roman" w:hAnsi="Times New Roman" w:cs="Times New Roman"/>
          <w:b/>
          <w:bCs/>
          <w:sz w:val="24"/>
          <w:szCs w:val="24"/>
          <w:rtl/>
        </w:rPr>
      </w:pPr>
    </w:p>
    <w:p w:rsidR="001006C5" w:rsidRDefault="001006C5" w:rsidP="001006C5">
      <w:pPr>
        <w:spacing w:before="100" w:beforeAutospacing="1" w:after="100" w:afterAutospacing="1"/>
        <w:jc w:val="both"/>
        <w:rPr>
          <w:rFonts w:ascii="Times New Roman" w:eastAsia="Times New Roman" w:hAnsi="Times New Roman" w:cs="Times New Roman"/>
          <w:b/>
          <w:bCs/>
          <w:sz w:val="24"/>
          <w:szCs w:val="24"/>
          <w:rtl/>
        </w:rPr>
      </w:pPr>
    </w:p>
    <w:p w:rsidR="001006C5" w:rsidRDefault="001006C5" w:rsidP="001006C5">
      <w:pPr>
        <w:spacing w:before="100" w:beforeAutospacing="1" w:after="100" w:afterAutospacing="1"/>
        <w:jc w:val="both"/>
        <w:rPr>
          <w:rFonts w:ascii="Times New Roman" w:eastAsia="Times New Roman" w:hAnsi="Times New Roman" w:cs="Times New Roman"/>
          <w:b/>
          <w:bCs/>
          <w:sz w:val="24"/>
          <w:szCs w:val="24"/>
          <w:rtl/>
        </w:rPr>
      </w:pPr>
    </w:p>
    <w:p w:rsidR="001006C5" w:rsidRDefault="001006C5" w:rsidP="001006C5">
      <w:pPr>
        <w:spacing w:before="100" w:beforeAutospacing="1" w:after="100" w:afterAutospacing="1"/>
        <w:jc w:val="both"/>
        <w:rPr>
          <w:rFonts w:ascii="Times New Roman" w:eastAsia="Times New Roman" w:hAnsi="Times New Roman" w:cs="Times New Roman"/>
          <w:b/>
          <w:bCs/>
          <w:sz w:val="24"/>
          <w:szCs w:val="24"/>
          <w:rtl/>
        </w:rPr>
      </w:pPr>
    </w:p>
    <w:p w:rsidR="001006C5" w:rsidRDefault="001006C5" w:rsidP="001006C5">
      <w:pPr>
        <w:spacing w:before="100" w:beforeAutospacing="1" w:after="100" w:afterAutospacing="1"/>
        <w:jc w:val="both"/>
        <w:rPr>
          <w:rFonts w:ascii="Times New Roman" w:eastAsia="Times New Roman" w:hAnsi="Times New Roman" w:cs="Times New Roman"/>
          <w:b/>
          <w:bCs/>
          <w:sz w:val="24"/>
          <w:szCs w:val="24"/>
          <w:rtl/>
        </w:rPr>
      </w:pPr>
    </w:p>
    <w:p w:rsidR="001006C5" w:rsidRDefault="001006C5" w:rsidP="001006C5">
      <w:pPr>
        <w:spacing w:before="100" w:beforeAutospacing="1" w:after="100" w:afterAutospacing="1"/>
        <w:jc w:val="both"/>
        <w:rPr>
          <w:rFonts w:ascii="Times New Roman" w:eastAsia="Times New Roman" w:hAnsi="Times New Roman" w:cs="Times New Roman"/>
          <w:b/>
          <w:bCs/>
          <w:sz w:val="24"/>
          <w:szCs w:val="24"/>
          <w:rtl/>
        </w:rPr>
      </w:pPr>
    </w:p>
    <w:p w:rsidR="00C30C19" w:rsidRPr="00C30C19" w:rsidRDefault="00C30C19" w:rsidP="00C30C19">
      <w:pPr>
        <w:bidi w:val="0"/>
        <w:spacing w:before="100" w:beforeAutospacing="1" w:after="100" w:afterAutospacing="1"/>
        <w:jc w:val="center"/>
        <w:rPr>
          <w:rFonts w:ascii="Times New Roman" w:eastAsia="Times New Roman" w:hAnsi="Times New Roman" w:cs="Times New Roman"/>
          <w:b/>
          <w:bCs/>
          <w:noProof w:val="0"/>
          <w:color w:val="244061" w:themeColor="accent1" w:themeShade="80"/>
          <w:sz w:val="28"/>
          <w:szCs w:val="28"/>
        </w:rPr>
      </w:pPr>
      <w:r w:rsidRPr="00C30C19">
        <w:rPr>
          <w:rFonts w:ascii="Times New Roman" w:eastAsia="Times New Roman" w:hAnsi="Times New Roman" w:cs="Times New Roman"/>
          <w:b/>
          <w:bCs/>
          <w:noProof w:val="0"/>
          <w:color w:val="244061" w:themeColor="accent1" w:themeShade="80"/>
          <w:sz w:val="28"/>
          <w:szCs w:val="28"/>
        </w:rPr>
        <w:t>IHCHR’s Comments</w:t>
      </w:r>
    </w:p>
    <w:p w:rsidR="00C30C19" w:rsidRPr="00C30C19" w:rsidRDefault="00C30C19" w:rsidP="00C30C19">
      <w:pPr>
        <w:bidi w:val="0"/>
        <w:spacing w:before="100" w:beforeAutospacing="1" w:after="100" w:afterAutospacing="1"/>
        <w:jc w:val="center"/>
        <w:rPr>
          <w:rFonts w:ascii="Times New Roman" w:eastAsia="Times New Roman" w:hAnsi="Times New Roman" w:cs="Times New Roman"/>
          <w:noProof w:val="0"/>
          <w:color w:val="244061" w:themeColor="accent1" w:themeShade="80"/>
          <w:sz w:val="28"/>
          <w:szCs w:val="28"/>
        </w:rPr>
      </w:pPr>
      <w:r w:rsidRPr="00C30C19">
        <w:rPr>
          <w:rFonts w:ascii="Times New Roman" w:eastAsia="Times New Roman" w:hAnsi="Times New Roman" w:cs="Times New Roman"/>
          <w:b/>
          <w:bCs/>
          <w:noProof w:val="0"/>
          <w:color w:val="244061" w:themeColor="accent1" w:themeShade="80"/>
          <w:sz w:val="28"/>
          <w:szCs w:val="28"/>
        </w:rPr>
        <w:t>on the Draft General Comment No. 38 of the Human Rights Committee concerning Article 22 of the International Covenant on Civil and Political Rights</w:t>
      </w:r>
    </w:p>
    <w:p w:rsidR="001006C5" w:rsidRPr="00C30C19" w:rsidRDefault="001006C5" w:rsidP="001006C5">
      <w:pPr>
        <w:spacing w:before="100" w:beforeAutospacing="1" w:after="100" w:afterAutospacing="1"/>
        <w:jc w:val="both"/>
        <w:rPr>
          <w:rFonts w:ascii="Times New Roman" w:eastAsia="Times New Roman" w:hAnsi="Times New Roman" w:cs="Times New Roman"/>
          <w:b/>
          <w:bCs/>
          <w:sz w:val="24"/>
          <w:szCs w:val="24"/>
        </w:rPr>
      </w:pPr>
    </w:p>
    <w:p w:rsidR="001006C5" w:rsidRDefault="001006C5" w:rsidP="001006C5">
      <w:pPr>
        <w:spacing w:before="100" w:beforeAutospacing="1" w:after="100" w:afterAutospacing="1"/>
        <w:jc w:val="both"/>
        <w:rPr>
          <w:rFonts w:ascii="Times New Roman" w:eastAsia="Times New Roman" w:hAnsi="Times New Roman" w:cs="Times New Roman"/>
          <w:b/>
          <w:bCs/>
          <w:sz w:val="24"/>
          <w:szCs w:val="24"/>
          <w:rtl/>
        </w:rPr>
      </w:pPr>
    </w:p>
    <w:p w:rsidR="001006C5" w:rsidRDefault="001006C5" w:rsidP="001006C5">
      <w:pPr>
        <w:spacing w:before="100" w:beforeAutospacing="1" w:after="100" w:afterAutospacing="1"/>
        <w:jc w:val="both"/>
        <w:rPr>
          <w:rFonts w:ascii="Times New Roman" w:eastAsia="Times New Roman" w:hAnsi="Times New Roman" w:cs="Times New Roman"/>
          <w:b/>
          <w:bCs/>
          <w:sz w:val="24"/>
          <w:szCs w:val="24"/>
          <w:rtl/>
        </w:rPr>
      </w:pPr>
    </w:p>
    <w:p w:rsidR="001006C5" w:rsidRDefault="001006C5" w:rsidP="001006C5">
      <w:pPr>
        <w:spacing w:before="100" w:beforeAutospacing="1" w:after="100" w:afterAutospacing="1"/>
        <w:jc w:val="both"/>
        <w:rPr>
          <w:rFonts w:ascii="Times New Roman" w:eastAsia="Times New Roman" w:hAnsi="Times New Roman" w:cs="Times New Roman"/>
          <w:b/>
          <w:bCs/>
          <w:sz w:val="24"/>
          <w:szCs w:val="24"/>
          <w:rtl/>
        </w:rPr>
      </w:pPr>
      <w:r w:rsidRPr="00400439">
        <w:rPr>
          <w:rFonts w:ascii="Times New Roman" w:eastAsia="Times New Roman" w:hAnsi="Times New Roman" w:cs="Times New Roman"/>
          <w:color w:val="FF0000"/>
          <w:sz w:val="24"/>
          <w:szCs w:val="24"/>
        </w:rPr>
        <mc:AlternateContent>
          <mc:Choice Requires="wps">
            <w:drawing>
              <wp:anchor distT="45720" distB="45720" distL="114300" distR="114300" simplePos="0" relativeHeight="251659264" behindDoc="0" locked="0" layoutInCell="1" allowOverlap="1" wp14:anchorId="28D6776B" wp14:editId="46B005BC">
                <wp:simplePos x="0" y="0"/>
                <wp:positionH relativeFrom="margin">
                  <wp:posOffset>1324693</wp:posOffset>
                </wp:positionH>
                <wp:positionV relativeFrom="margin">
                  <wp:posOffset>6083300</wp:posOffset>
                </wp:positionV>
                <wp:extent cx="2906395" cy="1404620"/>
                <wp:effectExtent l="0" t="0" r="8255"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6395" cy="1404620"/>
                        </a:xfrm>
                        <a:prstGeom prst="rect">
                          <a:avLst/>
                        </a:prstGeom>
                        <a:solidFill>
                          <a:srgbClr val="FFFFFF"/>
                        </a:solidFill>
                        <a:ln w="9525">
                          <a:noFill/>
                          <a:miter lim="800000"/>
                          <a:headEnd/>
                          <a:tailEnd/>
                        </a:ln>
                      </wps:spPr>
                      <wps:txbx>
                        <w:txbxContent>
                          <w:p w:rsidR="001006C5" w:rsidRPr="00B04821" w:rsidRDefault="001006C5" w:rsidP="001006C5">
                            <w:pPr>
                              <w:jc w:val="center"/>
                              <w:rPr>
                                <w:b/>
                                <w:bCs/>
                                <w:color w:val="365F91" w:themeColor="accent1" w:themeShade="BF"/>
                                <w:sz w:val="24"/>
                                <w:szCs w:val="24"/>
                              </w:rPr>
                            </w:pPr>
                            <w:r w:rsidRPr="00B04821">
                              <w:rPr>
                                <w:b/>
                                <w:bCs/>
                                <w:color w:val="365F91" w:themeColor="accent1" w:themeShade="BF"/>
                                <w:sz w:val="24"/>
                                <w:szCs w:val="24"/>
                              </w:rPr>
                              <w:t>Iraqi High Commission for Human Rights</w:t>
                            </w:r>
                          </w:p>
                          <w:p w:rsidR="001006C5" w:rsidRPr="00B04821" w:rsidRDefault="001006C5" w:rsidP="00C30C19">
                            <w:pPr>
                              <w:jc w:val="center"/>
                              <w:rPr>
                                <w:b/>
                                <w:bCs/>
                                <w:color w:val="365F91" w:themeColor="accent1" w:themeShade="BF"/>
                                <w:sz w:val="24"/>
                                <w:szCs w:val="24"/>
                              </w:rPr>
                            </w:pPr>
                            <w:r w:rsidRPr="004F5F9C">
                              <w:rPr>
                                <w:b/>
                                <w:bCs/>
                                <w:color w:val="365F91" w:themeColor="accent1" w:themeShade="BF"/>
                                <w:sz w:val="24"/>
                                <w:szCs w:val="24"/>
                              </w:rPr>
                              <w:t xml:space="preserve">Baghdad – </w:t>
                            </w:r>
                            <w:r>
                              <w:rPr>
                                <w:b/>
                                <w:bCs/>
                                <w:color w:val="365F91" w:themeColor="accent1" w:themeShade="BF"/>
                                <w:sz w:val="24"/>
                                <w:szCs w:val="24"/>
                              </w:rPr>
                              <w:t xml:space="preserve">June </w:t>
                            </w:r>
                            <w:r w:rsidR="00C30C19">
                              <w:rPr>
                                <w:b/>
                                <w:bCs/>
                                <w:color w:val="365F91" w:themeColor="accent1" w:themeShade="BF"/>
                                <w:sz w:val="24"/>
                                <w:szCs w:val="24"/>
                              </w:rPr>
                              <w:t>22</w:t>
                            </w:r>
                            <w:r>
                              <w:rPr>
                                <w:b/>
                                <w:bCs/>
                                <w:color w:val="365F91" w:themeColor="accent1" w:themeShade="BF"/>
                                <w:sz w:val="24"/>
                                <w:szCs w:val="24"/>
                              </w:rPr>
                              <w:t>, 2026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8D6776B" id="_x0000_t202" coordsize="21600,21600" o:spt="202" path="m,l,21600r21600,l21600,xe">
                <v:stroke joinstyle="miter"/>
                <v:path gradientshapeok="t" o:connecttype="rect"/>
              </v:shapetype>
              <v:shape id="Text Box 2" o:spid="_x0000_s1026" type="#_x0000_t202" style="position:absolute;left:0;text-align:left;margin-left:104.3pt;margin-top:479pt;width:228.85pt;height:110.6pt;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margin;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" stroked="f">
                <v:textbox style="mso-fit-shape-to-text:t">
                  <w:txbxContent>
                    <w:p w:rsidR="001006C5" w:rsidRPr="00B04821" w:rsidRDefault="001006C5" w:rsidP="001006C5">
                      <w:pPr>
                        <w:jc w:val="center"/>
                        <w:rPr>
                          <w:b/>
                          <w:bCs/>
                          <w:color w:val="365F91" w:themeColor="accent1" w:themeShade="BF"/>
                          <w:sz w:val="24"/>
                          <w:szCs w:val="24"/>
                        </w:rPr>
                      </w:pPr>
                      <w:r w:rsidRPr="00B04821">
                        <w:rPr>
                          <w:b/>
                          <w:bCs/>
                          <w:color w:val="365F91" w:themeColor="accent1" w:themeShade="BF"/>
                          <w:sz w:val="24"/>
                          <w:szCs w:val="24"/>
                        </w:rPr>
                        <w:t>Iraqi High Commission for Human Rights</w:t>
                      </w:r>
                    </w:p>
                    <w:p w:rsidR="001006C5" w:rsidRPr="00B04821" w:rsidRDefault="001006C5" w:rsidP="00C30C19">
                      <w:pPr>
                        <w:jc w:val="center"/>
                        <w:rPr>
                          <w:b/>
                          <w:bCs/>
                          <w:color w:val="365F91" w:themeColor="accent1" w:themeShade="BF"/>
                          <w:sz w:val="24"/>
                          <w:szCs w:val="24"/>
                        </w:rPr>
                      </w:pPr>
                      <w:r w:rsidRPr="004F5F9C">
                        <w:rPr>
                          <w:b/>
                          <w:bCs/>
                          <w:color w:val="365F91" w:themeColor="accent1" w:themeShade="BF"/>
                          <w:sz w:val="24"/>
                          <w:szCs w:val="24"/>
                        </w:rPr>
                        <w:t xml:space="preserve">Baghdad – </w:t>
                      </w:r>
                      <w:r>
                        <w:rPr>
                          <w:b/>
                          <w:bCs/>
                          <w:color w:val="365F91" w:themeColor="accent1" w:themeShade="BF"/>
                          <w:sz w:val="24"/>
                          <w:szCs w:val="24"/>
                        </w:rPr>
                        <w:t xml:space="preserve">June </w:t>
                      </w:r>
                      <w:r w:rsidR="00C30C19">
                        <w:rPr>
                          <w:b/>
                          <w:bCs/>
                          <w:color w:val="365F91" w:themeColor="accent1" w:themeShade="BF"/>
                          <w:sz w:val="24"/>
                          <w:szCs w:val="24"/>
                        </w:rPr>
                        <w:t>22</w:t>
                      </w:r>
                      <w:r>
                        <w:rPr>
                          <w:b/>
                          <w:bCs/>
                          <w:color w:val="365F91" w:themeColor="accent1" w:themeShade="BF"/>
                          <w:sz w:val="24"/>
                          <w:szCs w:val="24"/>
                        </w:rPr>
                        <w:t>, 2026</w:t>
                      </w:r>
                    </w:p>
                  </w:txbxContent>
                </v:textbox>
                <w10:wrap type="square" anchorx="margin" anchory="margin"/>
              </v:shape>
            </w:pict>
          </mc:Fallback>
        </mc:AlternateContent>
      </w:r>
    </w:p>
    <w:p w:rsidR="001006C5" w:rsidRDefault="001006C5" w:rsidP="001006C5">
      <w:pPr>
        <w:spacing w:before="100" w:beforeAutospacing="1" w:after="100" w:afterAutospacing="1"/>
        <w:jc w:val="both"/>
        <w:rPr>
          <w:rFonts w:ascii="Times New Roman" w:eastAsia="Times New Roman" w:hAnsi="Times New Roman" w:cs="Times New Roman"/>
          <w:b/>
          <w:bCs/>
          <w:sz w:val="24"/>
          <w:szCs w:val="24"/>
          <w:rtl/>
        </w:rPr>
      </w:pPr>
    </w:p>
    <w:p w:rsidR="001006C5" w:rsidRDefault="001006C5" w:rsidP="001006C5">
      <w:pPr>
        <w:spacing w:before="100" w:beforeAutospacing="1" w:after="100" w:afterAutospacing="1"/>
        <w:jc w:val="both"/>
        <w:rPr>
          <w:rFonts w:ascii="Times New Roman" w:eastAsia="Times New Roman" w:hAnsi="Times New Roman" w:cs="Times New Roman"/>
          <w:b/>
          <w:bCs/>
          <w:sz w:val="24"/>
          <w:szCs w:val="24"/>
          <w:rtl/>
        </w:rPr>
      </w:pPr>
    </w:p>
    <w:p w:rsidR="001006C5" w:rsidRDefault="001006C5" w:rsidP="001006C5">
      <w:pPr>
        <w:spacing w:before="100" w:beforeAutospacing="1" w:after="100" w:afterAutospacing="1"/>
        <w:jc w:val="both"/>
        <w:rPr>
          <w:rFonts w:ascii="Times New Roman" w:eastAsia="Times New Roman" w:hAnsi="Times New Roman" w:cs="Times New Roman"/>
          <w:b/>
          <w:bCs/>
          <w:sz w:val="24"/>
          <w:szCs w:val="24"/>
          <w:rtl/>
        </w:rPr>
      </w:pPr>
    </w:p>
    <w:p w:rsidR="001006C5" w:rsidRDefault="001006C5" w:rsidP="001006C5">
      <w:pPr>
        <w:pStyle w:val="NormalWeb"/>
        <w:jc w:val="both"/>
        <w:rPr>
          <w:rStyle w:val="Strong"/>
          <w:rFonts w:asciiTheme="minorHAnsi" w:hAnsiTheme="minorHAnsi" w:cstheme="minorHAnsi"/>
          <w:b w:val="0"/>
          <w:bCs w:val="0"/>
        </w:rPr>
      </w:pPr>
    </w:p>
    <w:p w:rsidR="001006C5" w:rsidRDefault="001006C5" w:rsidP="001006C5">
      <w:pPr>
        <w:pStyle w:val="NormalWeb"/>
        <w:jc w:val="both"/>
        <w:rPr>
          <w:rStyle w:val="Strong"/>
          <w:rFonts w:asciiTheme="minorHAnsi" w:hAnsiTheme="minorHAnsi" w:cstheme="minorHAnsi"/>
          <w:b w:val="0"/>
          <w:bCs w:val="0"/>
        </w:rPr>
      </w:pPr>
    </w:p>
    <w:p w:rsidR="00223B7A" w:rsidRDefault="00223B7A" w:rsidP="00223B7A">
      <w:pPr>
        <w:bidi w:val="0"/>
        <w:spacing w:before="100" w:beforeAutospacing="1" w:after="100" w:afterAutospacing="1"/>
        <w:jc w:val="both"/>
        <w:rPr>
          <w:rFonts w:ascii="Times New Roman" w:eastAsia="Times New Roman" w:hAnsi="Times New Roman" w:cs="Times New Roman"/>
          <w:b/>
          <w:bCs/>
          <w:noProof w:val="0"/>
          <w:sz w:val="24"/>
          <w:szCs w:val="24"/>
        </w:rPr>
      </w:pPr>
    </w:p>
    <w:p w:rsidR="001006C5" w:rsidRDefault="001006C5" w:rsidP="001006C5">
      <w:pPr>
        <w:bidi w:val="0"/>
        <w:spacing w:before="100" w:beforeAutospacing="1" w:after="100" w:afterAutospacing="1"/>
        <w:jc w:val="both"/>
        <w:rPr>
          <w:rFonts w:ascii="Times New Roman" w:eastAsia="Times New Roman" w:hAnsi="Times New Roman" w:cs="Times New Roman"/>
          <w:b/>
          <w:bCs/>
          <w:noProof w:val="0"/>
          <w:sz w:val="24"/>
          <w:szCs w:val="24"/>
        </w:rPr>
      </w:pPr>
    </w:p>
    <w:p w:rsidR="001006C5" w:rsidRDefault="001006C5" w:rsidP="001006C5">
      <w:pPr>
        <w:bidi w:val="0"/>
        <w:spacing w:before="100" w:beforeAutospacing="1" w:after="100" w:afterAutospacing="1"/>
        <w:jc w:val="both"/>
        <w:rPr>
          <w:rFonts w:ascii="Times New Roman" w:eastAsia="Times New Roman" w:hAnsi="Times New Roman" w:cs="Times New Roman"/>
          <w:b/>
          <w:bCs/>
          <w:noProof w:val="0"/>
          <w:sz w:val="24"/>
          <w:szCs w:val="24"/>
        </w:rPr>
      </w:pPr>
    </w:p>
    <w:p w:rsidR="00223B7A" w:rsidRPr="00223B7A" w:rsidRDefault="00DE429F" w:rsidP="00DE429F">
      <w:pPr>
        <w:bidi w:val="0"/>
        <w:spacing w:before="100" w:beforeAutospacing="1" w:after="100" w:afterAutospacing="1"/>
        <w:jc w:val="both"/>
        <w:rPr>
          <w:rFonts w:ascii="Times New Roman" w:eastAsia="Times New Roman" w:hAnsi="Times New Roman" w:cs="Times New Roman"/>
          <w:noProof w:val="0"/>
          <w:sz w:val="24"/>
          <w:szCs w:val="24"/>
        </w:rPr>
      </w:pPr>
      <w:r>
        <w:rPr>
          <w:rFonts w:ascii="Times New Roman" w:eastAsia="Times New Roman" w:hAnsi="Times New Roman" w:cs="Times New Roman"/>
          <w:b/>
          <w:bCs/>
          <w:noProof w:val="0"/>
          <w:sz w:val="24"/>
          <w:szCs w:val="24"/>
        </w:rPr>
        <w:t xml:space="preserve">IHCHR’s </w:t>
      </w:r>
      <w:r w:rsidR="00223B7A" w:rsidRPr="00223B7A">
        <w:rPr>
          <w:rFonts w:ascii="Times New Roman" w:eastAsia="Times New Roman" w:hAnsi="Times New Roman" w:cs="Times New Roman"/>
          <w:b/>
          <w:bCs/>
          <w:noProof w:val="0"/>
          <w:sz w:val="24"/>
          <w:szCs w:val="24"/>
        </w:rPr>
        <w:t>Comments on the Draft General Comment No. 38 of the Human Rights Committee concerning Article 22 of the International Covenant on Civil and Political Rights</w:t>
      </w:r>
    </w:p>
    <w:p w:rsidR="00223B7A" w:rsidRPr="00223B7A" w:rsidRDefault="00223B7A" w:rsidP="00223B7A">
      <w:pPr>
        <w:bidi w:val="0"/>
        <w:spacing w:before="100" w:beforeAutospacing="1" w:after="100" w:afterAutospacing="1"/>
        <w:jc w:val="both"/>
        <w:rPr>
          <w:rFonts w:ascii="Times New Roman" w:eastAsia="Times New Roman" w:hAnsi="Times New Roman" w:cs="Times New Roman"/>
          <w:noProof w:val="0"/>
          <w:sz w:val="24"/>
          <w:szCs w:val="24"/>
        </w:rPr>
      </w:pPr>
      <w:r w:rsidRPr="00223B7A">
        <w:rPr>
          <w:rFonts w:ascii="Times New Roman" w:eastAsia="Times New Roman" w:hAnsi="Times New Roman" w:cs="Times New Roman"/>
          <w:noProof w:val="0"/>
          <w:sz w:val="24"/>
          <w:szCs w:val="24"/>
        </w:rPr>
        <w:t>The</w:t>
      </w:r>
      <w:r w:rsidR="00DE429F">
        <w:rPr>
          <w:rFonts w:ascii="Times New Roman" w:eastAsia="Times New Roman" w:hAnsi="Times New Roman" w:cs="Times New Roman"/>
          <w:noProof w:val="0"/>
          <w:sz w:val="24"/>
          <w:szCs w:val="24"/>
        </w:rPr>
        <w:t xml:space="preserve"> Iraqi</w:t>
      </w:r>
      <w:r w:rsidRPr="00223B7A">
        <w:rPr>
          <w:rFonts w:ascii="Times New Roman" w:eastAsia="Times New Roman" w:hAnsi="Times New Roman" w:cs="Times New Roman"/>
          <w:noProof w:val="0"/>
          <w:sz w:val="24"/>
          <w:szCs w:val="24"/>
        </w:rPr>
        <w:t xml:space="preserve"> High Commission for Human Right</w:t>
      </w:r>
      <w:r w:rsidR="00DE429F">
        <w:rPr>
          <w:rFonts w:ascii="Times New Roman" w:eastAsia="Times New Roman" w:hAnsi="Times New Roman" w:cs="Times New Roman"/>
          <w:noProof w:val="0"/>
          <w:sz w:val="24"/>
          <w:szCs w:val="24"/>
        </w:rPr>
        <w:t>s</w:t>
      </w:r>
      <w:r w:rsidRPr="00223B7A">
        <w:rPr>
          <w:rFonts w:ascii="Times New Roman" w:eastAsia="Times New Roman" w:hAnsi="Times New Roman" w:cs="Times New Roman"/>
          <w:noProof w:val="0"/>
          <w:sz w:val="24"/>
          <w:szCs w:val="24"/>
        </w:rPr>
        <w:t xml:space="preserve"> </w:t>
      </w:r>
      <w:r w:rsidR="00DE429F">
        <w:rPr>
          <w:rFonts w:ascii="Times New Roman" w:eastAsia="Times New Roman" w:hAnsi="Times New Roman" w:cs="Times New Roman"/>
          <w:noProof w:val="0"/>
          <w:sz w:val="24"/>
          <w:szCs w:val="24"/>
        </w:rPr>
        <w:t xml:space="preserve">(IHCHR) </w:t>
      </w:r>
      <w:r w:rsidRPr="00223B7A">
        <w:rPr>
          <w:rFonts w:ascii="Times New Roman" w:eastAsia="Times New Roman" w:hAnsi="Times New Roman" w:cs="Times New Roman"/>
          <w:noProof w:val="0"/>
          <w:sz w:val="24"/>
          <w:szCs w:val="24"/>
        </w:rPr>
        <w:t>welcomes Draft General Comment No. 38 issued by the United Nations Human Rights Committee concerning Article 22 of the International Covenant on Civil and Political Rights (ICCPR). The Commission highly appreciates the efforts undertaken to further develop the normative interpretation of the right to freedom of association in a manner that reflects contemporary developments and addresses the challenges facing civic space at both the national and international levels.</w:t>
      </w:r>
    </w:p>
    <w:p w:rsidR="00223B7A" w:rsidRDefault="00223B7A" w:rsidP="00223B7A">
      <w:pPr>
        <w:bidi w:val="0"/>
        <w:spacing w:before="100" w:beforeAutospacing="1" w:after="100" w:afterAutospacing="1"/>
        <w:jc w:val="both"/>
        <w:rPr>
          <w:rFonts w:ascii="Times New Roman" w:eastAsia="Times New Roman" w:hAnsi="Times New Roman" w:cs="Times New Roman"/>
          <w:noProof w:val="0"/>
          <w:sz w:val="24"/>
          <w:szCs w:val="24"/>
          <w:rtl/>
        </w:rPr>
      </w:pPr>
      <w:r w:rsidRPr="00223B7A">
        <w:rPr>
          <w:rFonts w:ascii="Times New Roman" w:eastAsia="Times New Roman" w:hAnsi="Times New Roman" w:cs="Times New Roman"/>
          <w:noProof w:val="0"/>
          <w:sz w:val="24"/>
          <w:szCs w:val="24"/>
        </w:rPr>
        <w:t>The Commission considers the draft General Comment to constitute an important interpretative reference for strengthening the protection of this fundamental right and ensuring its effective exercise in accordance with international human rights standards.</w:t>
      </w:r>
    </w:p>
    <w:p w:rsidR="00917981" w:rsidRPr="00223B7A" w:rsidRDefault="00917981" w:rsidP="00917981">
      <w:pPr>
        <w:bidi w:val="0"/>
        <w:spacing w:before="100" w:beforeAutospacing="1" w:after="100" w:afterAutospacing="1"/>
        <w:jc w:val="both"/>
        <w:rPr>
          <w:rFonts w:ascii="Times New Roman" w:eastAsia="Times New Roman" w:hAnsi="Times New Roman" w:cs="Times New Roman"/>
          <w:noProof w:val="0"/>
          <w:sz w:val="24"/>
          <w:szCs w:val="24"/>
        </w:rPr>
      </w:pPr>
    </w:p>
    <w:p w:rsidR="00223B7A" w:rsidRPr="00223B7A" w:rsidRDefault="00223B7A" w:rsidP="00B30814">
      <w:pPr>
        <w:shd w:val="clear" w:color="auto" w:fill="DBE5F1" w:themeFill="accent1" w:themeFillTint="33"/>
        <w:bidi w:val="0"/>
        <w:spacing w:before="100" w:beforeAutospacing="1" w:after="100" w:afterAutospacing="1"/>
        <w:jc w:val="both"/>
        <w:outlineLvl w:val="2"/>
        <w:rPr>
          <w:rFonts w:ascii="Times New Roman" w:eastAsia="Times New Roman" w:hAnsi="Times New Roman" w:cs="Times New Roman"/>
          <w:b/>
          <w:bCs/>
          <w:noProof w:val="0"/>
          <w:sz w:val="24"/>
          <w:szCs w:val="24"/>
        </w:rPr>
      </w:pPr>
      <w:r w:rsidRPr="00223B7A">
        <w:rPr>
          <w:rFonts w:ascii="Times New Roman" w:eastAsia="Times New Roman" w:hAnsi="Times New Roman" w:cs="Times New Roman"/>
          <w:b/>
          <w:bCs/>
          <w:noProof w:val="0"/>
          <w:sz w:val="24"/>
          <w:szCs w:val="24"/>
        </w:rPr>
        <w:t>I. Positive Aspects of the Draft General Comment</w:t>
      </w:r>
    </w:p>
    <w:p w:rsidR="00223B7A" w:rsidRPr="00724E60" w:rsidRDefault="00223B7A" w:rsidP="00724E60">
      <w:pPr>
        <w:pStyle w:val="ListParagraph"/>
        <w:numPr>
          <w:ilvl w:val="0"/>
          <w:numId w:val="4"/>
        </w:numPr>
        <w:bidi w:val="0"/>
        <w:spacing w:before="100" w:beforeAutospacing="1" w:after="100" w:afterAutospacing="1"/>
        <w:jc w:val="both"/>
        <w:rPr>
          <w:rFonts w:ascii="Times New Roman" w:eastAsia="Times New Roman" w:hAnsi="Times New Roman" w:cs="Times New Roman"/>
          <w:noProof w:val="0"/>
          <w:sz w:val="24"/>
          <w:szCs w:val="24"/>
        </w:rPr>
      </w:pPr>
      <w:r w:rsidRPr="00724E60">
        <w:rPr>
          <w:rFonts w:ascii="Times New Roman" w:eastAsia="Times New Roman" w:hAnsi="Times New Roman" w:cs="Times New Roman"/>
          <w:b/>
          <w:bCs/>
          <w:noProof w:val="0"/>
          <w:sz w:val="24"/>
          <w:szCs w:val="24"/>
        </w:rPr>
        <w:t>Reaffirmation of the Fundamental Importance of Freedom of Association</w:t>
      </w:r>
    </w:p>
    <w:p w:rsidR="00724E60" w:rsidRDefault="00223B7A" w:rsidP="00724E60">
      <w:pPr>
        <w:bidi w:val="0"/>
        <w:spacing w:before="100" w:beforeAutospacing="1" w:after="100" w:afterAutospacing="1"/>
        <w:jc w:val="both"/>
        <w:rPr>
          <w:rFonts w:ascii="Times New Roman" w:eastAsia="Times New Roman" w:hAnsi="Times New Roman" w:cs="Times New Roman"/>
          <w:noProof w:val="0"/>
          <w:sz w:val="24"/>
          <w:szCs w:val="24"/>
        </w:rPr>
      </w:pPr>
      <w:r w:rsidRPr="00223B7A">
        <w:rPr>
          <w:rFonts w:ascii="Times New Roman" w:eastAsia="Times New Roman" w:hAnsi="Times New Roman" w:cs="Times New Roman"/>
          <w:noProof w:val="0"/>
          <w:sz w:val="24"/>
          <w:szCs w:val="24"/>
        </w:rPr>
        <w:t xml:space="preserve">The </w:t>
      </w:r>
      <w:r w:rsidR="00724E60">
        <w:rPr>
          <w:rFonts w:ascii="Times New Roman" w:eastAsia="Times New Roman" w:hAnsi="Times New Roman" w:cs="Times New Roman"/>
          <w:noProof w:val="0"/>
          <w:sz w:val="24"/>
          <w:szCs w:val="24"/>
        </w:rPr>
        <w:t>IHCHR</w:t>
      </w:r>
      <w:r w:rsidRPr="00223B7A">
        <w:rPr>
          <w:rFonts w:ascii="Times New Roman" w:eastAsia="Times New Roman" w:hAnsi="Times New Roman" w:cs="Times New Roman"/>
          <w:noProof w:val="0"/>
          <w:sz w:val="24"/>
          <w:szCs w:val="24"/>
        </w:rPr>
        <w:t xml:space="preserve"> welcomes the draft’s affirmation that freedom of association constitutes one of the essential pillars of democratic societies and is intrinsically linked to public participation, the rule of law, the protection of human rights, and sustainable development.</w:t>
      </w:r>
    </w:p>
    <w:p w:rsidR="00CE1096" w:rsidRPr="00CE1096" w:rsidRDefault="00CE1096" w:rsidP="00CE1096">
      <w:pPr>
        <w:bidi w:val="0"/>
        <w:spacing w:before="100" w:beforeAutospacing="1" w:after="100" w:afterAutospacing="1"/>
        <w:jc w:val="both"/>
        <w:rPr>
          <w:rFonts w:ascii="Times New Roman" w:eastAsia="Times New Roman" w:hAnsi="Times New Roman" w:cs="Times New Roman"/>
          <w:noProof w:val="0"/>
          <w:sz w:val="14"/>
          <w:szCs w:val="14"/>
        </w:rPr>
      </w:pPr>
    </w:p>
    <w:p w:rsidR="00223B7A" w:rsidRPr="00724E60" w:rsidRDefault="00223B7A" w:rsidP="00724E60">
      <w:pPr>
        <w:pStyle w:val="ListParagraph"/>
        <w:numPr>
          <w:ilvl w:val="0"/>
          <w:numId w:val="4"/>
        </w:numPr>
        <w:bidi w:val="0"/>
        <w:spacing w:before="100" w:beforeAutospacing="1" w:after="100" w:afterAutospacing="1"/>
        <w:jc w:val="both"/>
        <w:rPr>
          <w:rFonts w:ascii="Times New Roman" w:eastAsia="Times New Roman" w:hAnsi="Times New Roman" w:cs="Times New Roman"/>
          <w:noProof w:val="0"/>
          <w:sz w:val="24"/>
          <w:szCs w:val="24"/>
        </w:rPr>
      </w:pPr>
      <w:r w:rsidRPr="00724E60">
        <w:rPr>
          <w:rFonts w:ascii="Times New Roman" w:eastAsia="Times New Roman" w:hAnsi="Times New Roman" w:cs="Times New Roman"/>
          <w:b/>
          <w:bCs/>
          <w:noProof w:val="0"/>
          <w:sz w:val="24"/>
          <w:szCs w:val="24"/>
        </w:rPr>
        <w:t>Protection of Both Formal and Informal Associations</w:t>
      </w:r>
    </w:p>
    <w:p w:rsidR="00CE1096" w:rsidRDefault="00223B7A" w:rsidP="00CE1096">
      <w:pPr>
        <w:bidi w:val="0"/>
        <w:spacing w:before="100" w:beforeAutospacing="1" w:after="100" w:afterAutospacing="1"/>
        <w:jc w:val="both"/>
        <w:rPr>
          <w:rFonts w:ascii="Times New Roman" w:eastAsia="Times New Roman" w:hAnsi="Times New Roman" w:cs="Times New Roman"/>
          <w:noProof w:val="0"/>
          <w:sz w:val="24"/>
          <w:szCs w:val="24"/>
        </w:rPr>
      </w:pPr>
      <w:r w:rsidRPr="00223B7A">
        <w:rPr>
          <w:rFonts w:ascii="Times New Roman" w:eastAsia="Times New Roman" w:hAnsi="Times New Roman" w:cs="Times New Roman"/>
          <w:noProof w:val="0"/>
          <w:sz w:val="24"/>
          <w:szCs w:val="24"/>
        </w:rPr>
        <w:t xml:space="preserve">The </w:t>
      </w:r>
      <w:r w:rsidR="00CE1096">
        <w:rPr>
          <w:rFonts w:ascii="Times New Roman" w:eastAsia="Times New Roman" w:hAnsi="Times New Roman" w:cs="Times New Roman"/>
          <w:noProof w:val="0"/>
          <w:sz w:val="24"/>
          <w:szCs w:val="24"/>
        </w:rPr>
        <w:t>IHCHR</w:t>
      </w:r>
      <w:r w:rsidR="00CE1096" w:rsidRPr="00223B7A">
        <w:rPr>
          <w:rFonts w:ascii="Times New Roman" w:eastAsia="Times New Roman" w:hAnsi="Times New Roman" w:cs="Times New Roman"/>
          <w:noProof w:val="0"/>
          <w:sz w:val="24"/>
          <w:szCs w:val="24"/>
        </w:rPr>
        <w:t xml:space="preserve"> </w:t>
      </w:r>
      <w:r w:rsidRPr="00223B7A">
        <w:rPr>
          <w:rFonts w:ascii="Times New Roman" w:eastAsia="Times New Roman" w:hAnsi="Times New Roman" w:cs="Times New Roman"/>
          <w:noProof w:val="0"/>
          <w:sz w:val="24"/>
          <w:szCs w:val="24"/>
        </w:rPr>
        <w:t>appreciates the draft’s recognition that the right to freedom of association extends to both formal and informal entities and that the exercise of this right should not be contingent upon prior authorization.</w:t>
      </w:r>
      <w:r w:rsidR="00CE1096">
        <w:rPr>
          <w:rFonts w:ascii="Times New Roman" w:eastAsia="Times New Roman" w:hAnsi="Times New Roman" w:cs="Times New Roman"/>
          <w:noProof w:val="0"/>
          <w:sz w:val="24"/>
          <w:szCs w:val="24"/>
        </w:rPr>
        <w:t xml:space="preserve"> </w:t>
      </w:r>
    </w:p>
    <w:p w:rsidR="00CE1096" w:rsidRPr="00CE1096" w:rsidRDefault="00CE1096" w:rsidP="00CE1096">
      <w:pPr>
        <w:bidi w:val="0"/>
        <w:spacing w:before="100" w:beforeAutospacing="1" w:after="100" w:afterAutospacing="1"/>
        <w:jc w:val="both"/>
        <w:rPr>
          <w:rFonts w:ascii="Times New Roman" w:eastAsia="Times New Roman" w:hAnsi="Times New Roman" w:cs="Times New Roman"/>
          <w:noProof w:val="0"/>
          <w:sz w:val="4"/>
          <w:szCs w:val="4"/>
        </w:rPr>
      </w:pPr>
    </w:p>
    <w:p w:rsidR="00223B7A" w:rsidRPr="00CE1096" w:rsidRDefault="00223B7A" w:rsidP="00CE1096">
      <w:pPr>
        <w:pStyle w:val="ListParagraph"/>
        <w:numPr>
          <w:ilvl w:val="0"/>
          <w:numId w:val="4"/>
        </w:numPr>
        <w:bidi w:val="0"/>
        <w:spacing w:before="100" w:beforeAutospacing="1" w:after="100" w:afterAutospacing="1"/>
        <w:jc w:val="both"/>
        <w:rPr>
          <w:rFonts w:ascii="Times New Roman" w:eastAsia="Times New Roman" w:hAnsi="Times New Roman" w:cs="Times New Roman"/>
          <w:noProof w:val="0"/>
          <w:sz w:val="24"/>
          <w:szCs w:val="24"/>
        </w:rPr>
      </w:pPr>
      <w:r w:rsidRPr="00CE1096">
        <w:rPr>
          <w:rFonts w:ascii="Times New Roman" w:eastAsia="Times New Roman" w:hAnsi="Times New Roman" w:cs="Times New Roman"/>
          <w:b/>
          <w:bCs/>
          <w:noProof w:val="0"/>
          <w:sz w:val="24"/>
          <w:szCs w:val="24"/>
        </w:rPr>
        <w:t>Protection of Human Rights Defenders and Civil Society Organizations</w:t>
      </w:r>
    </w:p>
    <w:p w:rsidR="00CE1096" w:rsidRDefault="00223B7A" w:rsidP="005301FC">
      <w:pPr>
        <w:bidi w:val="0"/>
        <w:spacing w:before="100" w:beforeAutospacing="1" w:after="100" w:afterAutospacing="1"/>
        <w:jc w:val="both"/>
        <w:rPr>
          <w:rFonts w:ascii="Times New Roman" w:eastAsia="Times New Roman" w:hAnsi="Times New Roman" w:cs="Times New Roman"/>
          <w:noProof w:val="0"/>
          <w:sz w:val="24"/>
          <w:szCs w:val="24"/>
        </w:rPr>
      </w:pPr>
      <w:r w:rsidRPr="00223B7A">
        <w:rPr>
          <w:rFonts w:ascii="Times New Roman" w:eastAsia="Times New Roman" w:hAnsi="Times New Roman" w:cs="Times New Roman"/>
          <w:noProof w:val="0"/>
          <w:sz w:val="24"/>
          <w:szCs w:val="24"/>
        </w:rPr>
        <w:t xml:space="preserve">The </w:t>
      </w:r>
      <w:r w:rsidR="005301FC">
        <w:rPr>
          <w:rFonts w:ascii="Times New Roman" w:eastAsia="Times New Roman" w:hAnsi="Times New Roman" w:cs="Times New Roman"/>
          <w:noProof w:val="0"/>
          <w:sz w:val="24"/>
          <w:szCs w:val="24"/>
        </w:rPr>
        <w:t>IHCHR</w:t>
      </w:r>
      <w:r w:rsidRPr="00223B7A">
        <w:rPr>
          <w:rFonts w:ascii="Times New Roman" w:eastAsia="Times New Roman" w:hAnsi="Times New Roman" w:cs="Times New Roman"/>
          <w:noProof w:val="0"/>
          <w:sz w:val="24"/>
          <w:szCs w:val="24"/>
        </w:rPr>
        <w:t xml:space="preserve"> welcomes the draft’s emphasis on the necessity of protecting human rights defenders, journalists, trade unionists, and members of civil society organizations from all forms of harassment, intimidation, reprisals, or unjustified restrictions.</w:t>
      </w:r>
    </w:p>
    <w:p w:rsidR="001B2D8F" w:rsidRDefault="001B2D8F" w:rsidP="001B2D8F">
      <w:pPr>
        <w:bidi w:val="0"/>
        <w:spacing w:before="100" w:beforeAutospacing="1" w:after="100" w:afterAutospacing="1"/>
        <w:jc w:val="both"/>
        <w:rPr>
          <w:rFonts w:ascii="Times New Roman" w:eastAsia="Times New Roman" w:hAnsi="Times New Roman" w:cs="Times New Roman"/>
          <w:noProof w:val="0"/>
          <w:sz w:val="24"/>
          <w:szCs w:val="24"/>
        </w:rPr>
      </w:pPr>
    </w:p>
    <w:p w:rsidR="00CE1096" w:rsidRDefault="00CE1096" w:rsidP="00CE1096">
      <w:pPr>
        <w:bidi w:val="0"/>
        <w:spacing w:before="100" w:beforeAutospacing="1" w:after="100" w:afterAutospacing="1"/>
        <w:jc w:val="both"/>
        <w:rPr>
          <w:rFonts w:ascii="Times New Roman" w:eastAsia="Times New Roman" w:hAnsi="Times New Roman" w:cs="Times New Roman"/>
          <w:noProof w:val="0"/>
          <w:sz w:val="24"/>
          <w:szCs w:val="24"/>
        </w:rPr>
      </w:pPr>
    </w:p>
    <w:p w:rsidR="001B2D8F" w:rsidRPr="00CE1096" w:rsidRDefault="001B2D8F" w:rsidP="001B2D8F">
      <w:pPr>
        <w:bidi w:val="0"/>
        <w:spacing w:before="100" w:beforeAutospacing="1" w:after="100" w:afterAutospacing="1"/>
        <w:jc w:val="both"/>
        <w:rPr>
          <w:rFonts w:ascii="Times New Roman" w:eastAsia="Times New Roman" w:hAnsi="Times New Roman" w:cs="Times New Roman"/>
          <w:noProof w:val="0"/>
          <w:sz w:val="4"/>
          <w:szCs w:val="4"/>
        </w:rPr>
      </w:pPr>
    </w:p>
    <w:p w:rsidR="00223B7A" w:rsidRPr="00CE1096" w:rsidRDefault="00223B7A" w:rsidP="00CE1096">
      <w:pPr>
        <w:pStyle w:val="ListParagraph"/>
        <w:numPr>
          <w:ilvl w:val="0"/>
          <w:numId w:val="4"/>
        </w:numPr>
        <w:bidi w:val="0"/>
        <w:spacing w:before="100" w:beforeAutospacing="1" w:after="100" w:afterAutospacing="1"/>
        <w:jc w:val="both"/>
        <w:rPr>
          <w:rFonts w:ascii="Times New Roman" w:eastAsia="Times New Roman" w:hAnsi="Times New Roman" w:cs="Times New Roman"/>
          <w:noProof w:val="0"/>
          <w:sz w:val="24"/>
          <w:szCs w:val="24"/>
        </w:rPr>
      </w:pPr>
      <w:r w:rsidRPr="00CE1096">
        <w:rPr>
          <w:rFonts w:ascii="Times New Roman" w:eastAsia="Times New Roman" w:hAnsi="Times New Roman" w:cs="Times New Roman"/>
          <w:b/>
          <w:bCs/>
          <w:noProof w:val="0"/>
          <w:sz w:val="24"/>
          <w:szCs w:val="24"/>
        </w:rPr>
        <w:t>Recognition of the Digital Civic Space</w:t>
      </w:r>
    </w:p>
    <w:p w:rsidR="00CE1096" w:rsidRDefault="00223B7A" w:rsidP="005301FC">
      <w:pPr>
        <w:bidi w:val="0"/>
        <w:spacing w:before="100" w:beforeAutospacing="1" w:after="100" w:afterAutospacing="1"/>
        <w:jc w:val="both"/>
        <w:rPr>
          <w:rFonts w:ascii="Times New Roman" w:eastAsia="Times New Roman" w:hAnsi="Times New Roman" w:cs="Times New Roman"/>
          <w:noProof w:val="0"/>
          <w:sz w:val="24"/>
          <w:szCs w:val="24"/>
        </w:rPr>
      </w:pPr>
      <w:r w:rsidRPr="00223B7A">
        <w:rPr>
          <w:rFonts w:ascii="Times New Roman" w:eastAsia="Times New Roman" w:hAnsi="Times New Roman" w:cs="Times New Roman"/>
          <w:noProof w:val="0"/>
          <w:sz w:val="24"/>
          <w:szCs w:val="24"/>
        </w:rPr>
        <w:t xml:space="preserve">The </w:t>
      </w:r>
      <w:r w:rsidR="005301FC">
        <w:rPr>
          <w:rFonts w:ascii="Times New Roman" w:eastAsia="Times New Roman" w:hAnsi="Times New Roman" w:cs="Times New Roman"/>
          <w:noProof w:val="0"/>
          <w:sz w:val="24"/>
          <w:szCs w:val="24"/>
        </w:rPr>
        <w:t>IHCHR</w:t>
      </w:r>
      <w:r w:rsidRPr="00223B7A">
        <w:rPr>
          <w:rFonts w:ascii="Times New Roman" w:eastAsia="Times New Roman" w:hAnsi="Times New Roman" w:cs="Times New Roman"/>
          <w:noProof w:val="0"/>
          <w:sz w:val="24"/>
          <w:szCs w:val="24"/>
        </w:rPr>
        <w:t xml:space="preserve"> commends the extension of protection to civic activities conducted through digital platforms and the Internet, including the draft’s treatment of risks associated with digital surveillance and the unjustified disruption of Internet services or restrictions on online platforms.</w:t>
      </w:r>
    </w:p>
    <w:p w:rsidR="00CE1096" w:rsidRPr="00CE1096" w:rsidRDefault="00CE1096" w:rsidP="00CE1096">
      <w:pPr>
        <w:bidi w:val="0"/>
        <w:spacing w:before="100" w:beforeAutospacing="1" w:after="100" w:afterAutospacing="1"/>
        <w:jc w:val="both"/>
        <w:rPr>
          <w:rFonts w:ascii="Times New Roman" w:eastAsia="Times New Roman" w:hAnsi="Times New Roman" w:cs="Times New Roman"/>
          <w:noProof w:val="0"/>
          <w:sz w:val="4"/>
          <w:szCs w:val="4"/>
        </w:rPr>
      </w:pPr>
    </w:p>
    <w:p w:rsidR="00223B7A" w:rsidRPr="00CE1096" w:rsidRDefault="00223B7A" w:rsidP="00CE1096">
      <w:pPr>
        <w:pStyle w:val="ListParagraph"/>
        <w:numPr>
          <w:ilvl w:val="0"/>
          <w:numId w:val="4"/>
        </w:numPr>
        <w:bidi w:val="0"/>
        <w:spacing w:before="100" w:beforeAutospacing="1" w:after="100" w:afterAutospacing="1"/>
        <w:jc w:val="both"/>
        <w:rPr>
          <w:rFonts w:ascii="Times New Roman" w:eastAsia="Times New Roman" w:hAnsi="Times New Roman" w:cs="Times New Roman"/>
          <w:noProof w:val="0"/>
          <w:sz w:val="24"/>
          <w:szCs w:val="24"/>
        </w:rPr>
      </w:pPr>
      <w:r w:rsidRPr="00CE1096">
        <w:rPr>
          <w:rFonts w:ascii="Times New Roman" w:eastAsia="Times New Roman" w:hAnsi="Times New Roman" w:cs="Times New Roman"/>
          <w:b/>
          <w:bCs/>
          <w:noProof w:val="0"/>
          <w:sz w:val="24"/>
          <w:szCs w:val="24"/>
        </w:rPr>
        <w:t>Affirmation of the Right of Associations to Access Resources and Funding</w:t>
      </w:r>
    </w:p>
    <w:p w:rsidR="00CE1096" w:rsidRPr="00413698" w:rsidRDefault="00223B7A" w:rsidP="00413698">
      <w:pPr>
        <w:bidi w:val="0"/>
        <w:spacing w:before="100" w:beforeAutospacing="1" w:after="100" w:afterAutospacing="1"/>
        <w:jc w:val="both"/>
        <w:rPr>
          <w:rFonts w:ascii="Times New Roman" w:eastAsia="Times New Roman" w:hAnsi="Times New Roman" w:cs="Times New Roman"/>
          <w:noProof w:val="0"/>
          <w:sz w:val="24"/>
          <w:szCs w:val="24"/>
          <w:rtl/>
        </w:rPr>
      </w:pPr>
      <w:r w:rsidRPr="00223B7A">
        <w:rPr>
          <w:rFonts w:ascii="Times New Roman" w:eastAsia="Times New Roman" w:hAnsi="Times New Roman" w:cs="Times New Roman"/>
          <w:noProof w:val="0"/>
          <w:sz w:val="24"/>
          <w:szCs w:val="24"/>
        </w:rPr>
        <w:t xml:space="preserve">The </w:t>
      </w:r>
      <w:r w:rsidR="00413698">
        <w:rPr>
          <w:rFonts w:ascii="Times New Roman" w:eastAsia="Times New Roman" w:hAnsi="Times New Roman" w:cs="Times New Roman"/>
          <w:noProof w:val="0"/>
          <w:sz w:val="24"/>
          <w:szCs w:val="24"/>
        </w:rPr>
        <w:t>IHCHR</w:t>
      </w:r>
      <w:r w:rsidRPr="00223B7A">
        <w:rPr>
          <w:rFonts w:ascii="Times New Roman" w:eastAsia="Times New Roman" w:hAnsi="Times New Roman" w:cs="Times New Roman"/>
          <w:noProof w:val="0"/>
          <w:sz w:val="24"/>
          <w:szCs w:val="24"/>
        </w:rPr>
        <w:t xml:space="preserve"> welcomes the recognition that access to resources and funding, including legitimate foreign funding, constitutes an integral component of the right to freedom of association, as it is essential for ensuring the sustainability and independence of associations.</w:t>
      </w:r>
    </w:p>
    <w:p w:rsidR="00CE1096" w:rsidRPr="001B2D8F" w:rsidRDefault="00CE1096" w:rsidP="00CE1096">
      <w:pPr>
        <w:bidi w:val="0"/>
        <w:spacing w:before="100" w:beforeAutospacing="1" w:after="100" w:afterAutospacing="1"/>
        <w:jc w:val="both"/>
        <w:rPr>
          <w:rFonts w:ascii="Times New Roman" w:eastAsia="Times New Roman" w:hAnsi="Times New Roman" w:cs="Times New Roman"/>
          <w:noProof w:val="0"/>
          <w:sz w:val="2"/>
          <w:szCs w:val="2"/>
        </w:rPr>
      </w:pPr>
    </w:p>
    <w:p w:rsidR="00223B7A" w:rsidRPr="00223B7A" w:rsidRDefault="00223B7A" w:rsidP="00413698">
      <w:pPr>
        <w:shd w:val="clear" w:color="auto" w:fill="DBE5F1" w:themeFill="accent1" w:themeFillTint="33"/>
        <w:bidi w:val="0"/>
        <w:spacing w:before="100" w:beforeAutospacing="1" w:after="100" w:afterAutospacing="1"/>
        <w:jc w:val="both"/>
        <w:outlineLvl w:val="2"/>
        <w:rPr>
          <w:rFonts w:ascii="Times New Roman" w:eastAsia="Times New Roman" w:hAnsi="Times New Roman" w:cs="Times New Roman"/>
          <w:b/>
          <w:bCs/>
          <w:noProof w:val="0"/>
          <w:sz w:val="24"/>
          <w:szCs w:val="24"/>
        </w:rPr>
      </w:pPr>
      <w:r w:rsidRPr="00223B7A">
        <w:rPr>
          <w:rFonts w:ascii="Times New Roman" w:eastAsia="Times New Roman" w:hAnsi="Times New Roman" w:cs="Times New Roman"/>
          <w:b/>
          <w:bCs/>
          <w:noProof w:val="0"/>
          <w:sz w:val="24"/>
          <w:szCs w:val="24"/>
        </w:rPr>
        <w:t>II. Observations and Recommendations</w:t>
      </w:r>
    </w:p>
    <w:p w:rsidR="00223B7A" w:rsidRPr="00A47507" w:rsidRDefault="00223B7A" w:rsidP="00A47507">
      <w:pPr>
        <w:pStyle w:val="ListParagraph"/>
        <w:numPr>
          <w:ilvl w:val="0"/>
          <w:numId w:val="5"/>
        </w:numPr>
        <w:bidi w:val="0"/>
        <w:spacing w:before="100" w:beforeAutospacing="1" w:after="100" w:afterAutospacing="1"/>
        <w:jc w:val="both"/>
        <w:rPr>
          <w:rFonts w:ascii="Times New Roman" w:eastAsia="Times New Roman" w:hAnsi="Times New Roman" w:cs="Times New Roman"/>
          <w:noProof w:val="0"/>
          <w:sz w:val="24"/>
          <w:szCs w:val="24"/>
        </w:rPr>
      </w:pPr>
      <w:r w:rsidRPr="00A47507">
        <w:rPr>
          <w:rFonts w:ascii="Times New Roman" w:eastAsia="Times New Roman" w:hAnsi="Times New Roman" w:cs="Times New Roman"/>
          <w:b/>
          <w:bCs/>
          <w:noProof w:val="0"/>
          <w:sz w:val="24"/>
          <w:szCs w:val="24"/>
        </w:rPr>
        <w:t>Strengthening References to the Role of National Human Rights Institutions</w:t>
      </w:r>
    </w:p>
    <w:p w:rsidR="00223B7A" w:rsidRPr="00223B7A" w:rsidRDefault="00223B7A" w:rsidP="00A40EEF">
      <w:pPr>
        <w:bidi w:val="0"/>
        <w:spacing w:before="100" w:beforeAutospacing="1" w:after="100" w:afterAutospacing="1"/>
        <w:jc w:val="both"/>
        <w:rPr>
          <w:rFonts w:ascii="Times New Roman" w:eastAsia="Times New Roman" w:hAnsi="Times New Roman" w:cs="Times New Roman"/>
          <w:noProof w:val="0"/>
          <w:sz w:val="24"/>
          <w:szCs w:val="24"/>
        </w:rPr>
      </w:pPr>
      <w:r w:rsidRPr="00223B7A">
        <w:rPr>
          <w:rFonts w:ascii="Times New Roman" w:eastAsia="Times New Roman" w:hAnsi="Times New Roman" w:cs="Times New Roman"/>
          <w:noProof w:val="0"/>
          <w:sz w:val="24"/>
          <w:szCs w:val="24"/>
        </w:rPr>
        <w:t xml:space="preserve">The Commission recommends the inclusion of explicit </w:t>
      </w:r>
      <w:r w:rsidR="00A40EEF">
        <w:rPr>
          <w:rFonts w:ascii="Times New Roman" w:eastAsia="Times New Roman" w:hAnsi="Times New Roman" w:cs="Times New Roman"/>
          <w:noProof w:val="0"/>
          <w:sz w:val="24"/>
          <w:szCs w:val="24"/>
        </w:rPr>
        <w:t xml:space="preserve">text </w:t>
      </w:r>
      <w:r w:rsidRPr="00223B7A">
        <w:rPr>
          <w:rFonts w:ascii="Times New Roman" w:eastAsia="Times New Roman" w:hAnsi="Times New Roman" w:cs="Times New Roman"/>
          <w:noProof w:val="0"/>
          <w:sz w:val="24"/>
          <w:szCs w:val="24"/>
        </w:rPr>
        <w:t>highlighting the role of National Human Rights Institutions established in accordance with the Paris Principles in:</w:t>
      </w:r>
    </w:p>
    <w:p w:rsidR="00223B7A" w:rsidRPr="00223B7A" w:rsidRDefault="00223B7A" w:rsidP="00223B7A">
      <w:pPr>
        <w:numPr>
          <w:ilvl w:val="0"/>
          <w:numId w:val="1"/>
        </w:numPr>
        <w:bidi w:val="0"/>
        <w:spacing w:before="100" w:beforeAutospacing="1" w:after="100" w:afterAutospacing="1"/>
        <w:jc w:val="both"/>
        <w:rPr>
          <w:rFonts w:ascii="Times New Roman" w:eastAsia="Times New Roman" w:hAnsi="Times New Roman" w:cs="Times New Roman"/>
          <w:noProof w:val="0"/>
          <w:sz w:val="24"/>
          <w:szCs w:val="24"/>
        </w:rPr>
      </w:pPr>
      <w:r w:rsidRPr="00223B7A">
        <w:rPr>
          <w:rFonts w:ascii="Times New Roman" w:eastAsia="Times New Roman" w:hAnsi="Times New Roman" w:cs="Times New Roman"/>
          <w:noProof w:val="0"/>
          <w:sz w:val="24"/>
          <w:szCs w:val="24"/>
        </w:rPr>
        <w:t>Protecting and promoting civic space;</w:t>
      </w:r>
    </w:p>
    <w:p w:rsidR="00223B7A" w:rsidRPr="00223B7A" w:rsidRDefault="00223B7A" w:rsidP="00223B7A">
      <w:pPr>
        <w:numPr>
          <w:ilvl w:val="0"/>
          <w:numId w:val="1"/>
        </w:numPr>
        <w:bidi w:val="0"/>
        <w:spacing w:before="100" w:beforeAutospacing="1" w:after="100" w:afterAutospacing="1"/>
        <w:jc w:val="both"/>
        <w:rPr>
          <w:rFonts w:ascii="Times New Roman" w:eastAsia="Times New Roman" w:hAnsi="Times New Roman" w:cs="Times New Roman"/>
          <w:noProof w:val="0"/>
          <w:sz w:val="24"/>
          <w:szCs w:val="24"/>
        </w:rPr>
      </w:pPr>
      <w:r w:rsidRPr="00223B7A">
        <w:rPr>
          <w:rFonts w:ascii="Times New Roman" w:eastAsia="Times New Roman" w:hAnsi="Times New Roman" w:cs="Times New Roman"/>
          <w:noProof w:val="0"/>
          <w:sz w:val="24"/>
          <w:szCs w:val="24"/>
        </w:rPr>
        <w:t>Monitoring violations related to freedom of association;</w:t>
      </w:r>
    </w:p>
    <w:p w:rsidR="00223B7A" w:rsidRPr="00223B7A" w:rsidRDefault="00223B7A" w:rsidP="00223B7A">
      <w:pPr>
        <w:numPr>
          <w:ilvl w:val="0"/>
          <w:numId w:val="1"/>
        </w:numPr>
        <w:bidi w:val="0"/>
        <w:spacing w:before="100" w:beforeAutospacing="1" w:after="100" w:afterAutospacing="1"/>
        <w:jc w:val="both"/>
        <w:rPr>
          <w:rFonts w:ascii="Times New Roman" w:eastAsia="Times New Roman" w:hAnsi="Times New Roman" w:cs="Times New Roman"/>
          <w:noProof w:val="0"/>
          <w:sz w:val="24"/>
          <w:szCs w:val="24"/>
        </w:rPr>
      </w:pPr>
      <w:r w:rsidRPr="00223B7A">
        <w:rPr>
          <w:rFonts w:ascii="Times New Roman" w:eastAsia="Times New Roman" w:hAnsi="Times New Roman" w:cs="Times New Roman"/>
          <w:noProof w:val="0"/>
          <w:sz w:val="24"/>
          <w:szCs w:val="24"/>
        </w:rPr>
        <w:t>Receiving and investigating complaints in accordance with their legally mandated powers; and</w:t>
      </w:r>
    </w:p>
    <w:p w:rsidR="00223B7A" w:rsidRPr="00223B7A" w:rsidRDefault="00223B7A" w:rsidP="00223B7A">
      <w:pPr>
        <w:numPr>
          <w:ilvl w:val="0"/>
          <w:numId w:val="1"/>
        </w:numPr>
        <w:bidi w:val="0"/>
        <w:spacing w:before="100" w:beforeAutospacing="1" w:after="100" w:afterAutospacing="1"/>
        <w:jc w:val="both"/>
        <w:rPr>
          <w:rFonts w:ascii="Times New Roman" w:eastAsia="Times New Roman" w:hAnsi="Times New Roman" w:cs="Times New Roman"/>
          <w:noProof w:val="0"/>
          <w:sz w:val="24"/>
          <w:szCs w:val="24"/>
        </w:rPr>
      </w:pPr>
      <w:r w:rsidRPr="00223B7A">
        <w:rPr>
          <w:rFonts w:ascii="Times New Roman" w:eastAsia="Times New Roman" w:hAnsi="Times New Roman" w:cs="Times New Roman"/>
          <w:noProof w:val="0"/>
          <w:sz w:val="24"/>
          <w:szCs w:val="24"/>
        </w:rPr>
        <w:t>Providing advice and recommendations to public authorities regarding relevant legislation and policies.</w:t>
      </w:r>
    </w:p>
    <w:p w:rsidR="00A47507" w:rsidRDefault="00223B7A" w:rsidP="009A3D3B">
      <w:pPr>
        <w:bidi w:val="0"/>
        <w:spacing w:before="100" w:beforeAutospacing="1" w:after="100" w:afterAutospacing="1"/>
        <w:jc w:val="both"/>
        <w:rPr>
          <w:rFonts w:ascii="Times New Roman" w:eastAsia="Times New Roman" w:hAnsi="Times New Roman" w:cs="Times New Roman"/>
          <w:noProof w:val="0"/>
          <w:sz w:val="24"/>
          <w:szCs w:val="24"/>
        </w:rPr>
      </w:pPr>
      <w:r w:rsidRPr="00223B7A">
        <w:rPr>
          <w:rFonts w:ascii="Times New Roman" w:eastAsia="Times New Roman" w:hAnsi="Times New Roman" w:cs="Times New Roman"/>
          <w:noProof w:val="0"/>
          <w:sz w:val="24"/>
          <w:szCs w:val="24"/>
        </w:rPr>
        <w:t>This recommendation is consistent with the growing recognition of the role of National Human Rights Institutions within the United Nations human rights system.</w:t>
      </w:r>
    </w:p>
    <w:p w:rsidR="00223B7A" w:rsidRPr="009A3D3B" w:rsidRDefault="00223B7A" w:rsidP="009A3D3B">
      <w:pPr>
        <w:pStyle w:val="ListParagraph"/>
        <w:numPr>
          <w:ilvl w:val="0"/>
          <w:numId w:val="5"/>
        </w:numPr>
        <w:bidi w:val="0"/>
        <w:spacing w:before="100" w:beforeAutospacing="1" w:after="100" w:afterAutospacing="1"/>
        <w:jc w:val="both"/>
        <w:rPr>
          <w:rFonts w:ascii="Times New Roman" w:eastAsia="Times New Roman" w:hAnsi="Times New Roman" w:cs="Times New Roman"/>
          <w:noProof w:val="0"/>
          <w:sz w:val="24"/>
          <w:szCs w:val="24"/>
        </w:rPr>
      </w:pPr>
      <w:r w:rsidRPr="009A3D3B">
        <w:rPr>
          <w:rFonts w:ascii="Times New Roman" w:eastAsia="Times New Roman" w:hAnsi="Times New Roman" w:cs="Times New Roman"/>
          <w:b/>
          <w:bCs/>
          <w:noProof w:val="0"/>
          <w:sz w:val="24"/>
          <w:szCs w:val="24"/>
        </w:rPr>
        <w:t>Enhancing Protection for Human Rights Defenders</w:t>
      </w:r>
    </w:p>
    <w:p w:rsidR="00223B7A" w:rsidRPr="00223B7A" w:rsidRDefault="00223B7A" w:rsidP="00223B7A">
      <w:pPr>
        <w:bidi w:val="0"/>
        <w:spacing w:before="100" w:beforeAutospacing="1" w:after="100" w:afterAutospacing="1"/>
        <w:jc w:val="both"/>
        <w:rPr>
          <w:rFonts w:ascii="Times New Roman" w:eastAsia="Times New Roman" w:hAnsi="Times New Roman" w:cs="Times New Roman"/>
          <w:noProof w:val="0"/>
          <w:sz w:val="24"/>
          <w:szCs w:val="24"/>
        </w:rPr>
      </w:pPr>
      <w:r w:rsidRPr="00223B7A">
        <w:rPr>
          <w:rFonts w:ascii="Times New Roman" w:eastAsia="Times New Roman" w:hAnsi="Times New Roman" w:cs="Times New Roman"/>
          <w:noProof w:val="0"/>
          <w:sz w:val="24"/>
          <w:szCs w:val="24"/>
        </w:rPr>
        <w:t xml:space="preserve">The Commission recommends a more explicit reference to the </w:t>
      </w:r>
      <w:r w:rsidRPr="00C93E4C">
        <w:rPr>
          <w:rFonts w:ascii="Times New Roman" w:eastAsia="Times New Roman" w:hAnsi="Times New Roman" w:cs="Times New Roman"/>
          <w:noProof w:val="0"/>
          <w:sz w:val="24"/>
          <w:szCs w:val="24"/>
        </w:rPr>
        <w:t>United Nations Declaration on Human Rights Defenders (1998)</w:t>
      </w:r>
      <w:r w:rsidRPr="00223B7A">
        <w:rPr>
          <w:rFonts w:ascii="Times New Roman" w:eastAsia="Times New Roman" w:hAnsi="Times New Roman" w:cs="Times New Roman"/>
          <w:noProof w:val="0"/>
          <w:sz w:val="24"/>
          <w:szCs w:val="24"/>
        </w:rPr>
        <w:t xml:space="preserve"> as a complementary interpretative framework to Article 22, thereby strengthening the legal and practical protection afforded to human rights activists and defenders.</w:t>
      </w:r>
    </w:p>
    <w:p w:rsidR="00223B7A" w:rsidRPr="00C93E4C" w:rsidRDefault="00223B7A" w:rsidP="00C93E4C">
      <w:pPr>
        <w:pStyle w:val="ListParagraph"/>
        <w:numPr>
          <w:ilvl w:val="0"/>
          <w:numId w:val="5"/>
        </w:numPr>
        <w:bidi w:val="0"/>
        <w:spacing w:before="100" w:beforeAutospacing="1" w:after="100" w:afterAutospacing="1"/>
        <w:jc w:val="both"/>
        <w:rPr>
          <w:rFonts w:ascii="Times New Roman" w:eastAsia="Times New Roman" w:hAnsi="Times New Roman" w:cs="Times New Roman"/>
          <w:noProof w:val="0"/>
          <w:sz w:val="24"/>
          <w:szCs w:val="24"/>
        </w:rPr>
      </w:pPr>
      <w:r w:rsidRPr="00C93E4C">
        <w:rPr>
          <w:rFonts w:ascii="Times New Roman" w:eastAsia="Times New Roman" w:hAnsi="Times New Roman" w:cs="Times New Roman"/>
          <w:b/>
          <w:bCs/>
          <w:noProof w:val="0"/>
          <w:sz w:val="24"/>
          <w:szCs w:val="24"/>
        </w:rPr>
        <w:t>Safeguards Relating to Funding and Financial Oversight</w:t>
      </w:r>
    </w:p>
    <w:p w:rsidR="009A3D3B" w:rsidRPr="00223B7A" w:rsidRDefault="00223B7A" w:rsidP="006E06B0">
      <w:pPr>
        <w:bidi w:val="0"/>
        <w:spacing w:before="100" w:beforeAutospacing="1" w:after="100" w:afterAutospacing="1"/>
        <w:jc w:val="both"/>
        <w:rPr>
          <w:rFonts w:ascii="Times New Roman" w:eastAsia="Times New Roman" w:hAnsi="Times New Roman" w:cs="Times New Roman"/>
          <w:noProof w:val="0"/>
          <w:sz w:val="24"/>
          <w:szCs w:val="24"/>
        </w:rPr>
      </w:pPr>
      <w:r w:rsidRPr="00223B7A">
        <w:rPr>
          <w:rFonts w:ascii="Times New Roman" w:eastAsia="Times New Roman" w:hAnsi="Times New Roman" w:cs="Times New Roman"/>
          <w:noProof w:val="0"/>
          <w:sz w:val="24"/>
          <w:szCs w:val="24"/>
        </w:rPr>
        <w:t xml:space="preserve">The Commission considers it important to expressly state that legitimate financial oversight and regulatory measures should not be used as a means of restricting the activities of associations or interfering with their independence, and that any restrictions imposed must </w:t>
      </w:r>
      <w:r w:rsidRPr="00223B7A">
        <w:rPr>
          <w:rFonts w:ascii="Times New Roman" w:eastAsia="Times New Roman" w:hAnsi="Times New Roman" w:cs="Times New Roman"/>
          <w:noProof w:val="0"/>
          <w:sz w:val="24"/>
          <w:szCs w:val="24"/>
        </w:rPr>
        <w:lastRenderedPageBreak/>
        <w:t>comply with the principles of necessity and proportionality in accordance with international standards.</w:t>
      </w:r>
    </w:p>
    <w:p w:rsidR="00223B7A" w:rsidRPr="00E673F9" w:rsidRDefault="00223B7A" w:rsidP="00E673F9">
      <w:pPr>
        <w:pStyle w:val="ListParagraph"/>
        <w:numPr>
          <w:ilvl w:val="0"/>
          <w:numId w:val="5"/>
        </w:numPr>
        <w:bidi w:val="0"/>
        <w:spacing w:before="100" w:beforeAutospacing="1" w:after="100" w:afterAutospacing="1"/>
        <w:jc w:val="both"/>
        <w:rPr>
          <w:rFonts w:ascii="Times New Roman" w:eastAsia="Times New Roman" w:hAnsi="Times New Roman" w:cs="Times New Roman"/>
          <w:noProof w:val="0"/>
          <w:sz w:val="24"/>
          <w:szCs w:val="24"/>
        </w:rPr>
      </w:pPr>
      <w:r w:rsidRPr="00E673F9">
        <w:rPr>
          <w:rFonts w:ascii="Times New Roman" w:eastAsia="Times New Roman" w:hAnsi="Times New Roman" w:cs="Times New Roman"/>
          <w:b/>
          <w:bCs/>
          <w:noProof w:val="0"/>
          <w:sz w:val="24"/>
          <w:szCs w:val="24"/>
        </w:rPr>
        <w:t>Consideration of the Circumstances of Post-Conflict States</w:t>
      </w:r>
    </w:p>
    <w:p w:rsidR="00223B7A" w:rsidRPr="00223B7A" w:rsidRDefault="00223B7A" w:rsidP="001B6131">
      <w:pPr>
        <w:bidi w:val="0"/>
        <w:spacing w:before="100" w:beforeAutospacing="1" w:after="100" w:afterAutospacing="1"/>
        <w:jc w:val="both"/>
        <w:rPr>
          <w:rFonts w:ascii="Times New Roman" w:eastAsia="Times New Roman" w:hAnsi="Times New Roman" w:cs="Times New Roman"/>
          <w:noProof w:val="0"/>
          <w:sz w:val="24"/>
          <w:szCs w:val="24"/>
        </w:rPr>
      </w:pPr>
      <w:r w:rsidRPr="00223B7A">
        <w:rPr>
          <w:rFonts w:ascii="Times New Roman" w:eastAsia="Times New Roman" w:hAnsi="Times New Roman" w:cs="Times New Roman"/>
          <w:noProof w:val="0"/>
          <w:sz w:val="24"/>
          <w:szCs w:val="24"/>
        </w:rPr>
        <w:t xml:space="preserve">The Commission </w:t>
      </w:r>
      <w:r w:rsidR="00A221CE">
        <w:rPr>
          <w:rFonts w:ascii="Times New Roman" w:eastAsia="Times New Roman" w:hAnsi="Times New Roman" w:cs="Times New Roman"/>
          <w:noProof w:val="0"/>
          <w:sz w:val="24"/>
          <w:szCs w:val="24"/>
        </w:rPr>
        <w:t>recommends</w:t>
      </w:r>
      <w:r w:rsidRPr="00223B7A">
        <w:rPr>
          <w:rFonts w:ascii="Times New Roman" w:eastAsia="Times New Roman" w:hAnsi="Times New Roman" w:cs="Times New Roman"/>
          <w:noProof w:val="0"/>
          <w:sz w:val="24"/>
          <w:szCs w:val="24"/>
        </w:rPr>
        <w:t xml:space="preserve"> the inclusion of provisions addressing the important role played by civil society in post-conflict and transitional contexts, particularly in promoting social reconciliation, strengthening social cohesion, supporting peacebuilding efforts, and contributing to institution-building processes.</w:t>
      </w:r>
    </w:p>
    <w:p w:rsidR="00223B7A" w:rsidRPr="00E673F9" w:rsidRDefault="00223B7A" w:rsidP="00E673F9">
      <w:pPr>
        <w:pStyle w:val="ListParagraph"/>
        <w:numPr>
          <w:ilvl w:val="0"/>
          <w:numId w:val="5"/>
        </w:numPr>
        <w:bidi w:val="0"/>
        <w:spacing w:before="100" w:beforeAutospacing="1" w:after="100" w:afterAutospacing="1"/>
        <w:jc w:val="both"/>
        <w:rPr>
          <w:rFonts w:ascii="Times New Roman" w:eastAsia="Times New Roman" w:hAnsi="Times New Roman" w:cs="Times New Roman"/>
          <w:noProof w:val="0"/>
          <w:sz w:val="24"/>
          <w:szCs w:val="24"/>
        </w:rPr>
      </w:pPr>
      <w:r w:rsidRPr="00E673F9">
        <w:rPr>
          <w:rFonts w:ascii="Times New Roman" w:eastAsia="Times New Roman" w:hAnsi="Times New Roman" w:cs="Times New Roman"/>
          <w:b/>
          <w:bCs/>
          <w:noProof w:val="0"/>
          <w:sz w:val="24"/>
          <w:szCs w:val="24"/>
        </w:rPr>
        <w:t>Clarifying the Elements of an Enabling Environment for Civil Society</w:t>
      </w:r>
    </w:p>
    <w:p w:rsidR="00223B7A" w:rsidRPr="00223B7A" w:rsidRDefault="00223B7A" w:rsidP="00223B7A">
      <w:pPr>
        <w:bidi w:val="0"/>
        <w:spacing w:before="100" w:beforeAutospacing="1" w:after="100" w:afterAutospacing="1"/>
        <w:jc w:val="both"/>
        <w:rPr>
          <w:rFonts w:ascii="Times New Roman" w:eastAsia="Times New Roman" w:hAnsi="Times New Roman" w:cs="Times New Roman"/>
          <w:noProof w:val="0"/>
          <w:sz w:val="24"/>
          <w:szCs w:val="24"/>
        </w:rPr>
      </w:pPr>
      <w:r w:rsidRPr="00223B7A">
        <w:rPr>
          <w:rFonts w:ascii="Times New Roman" w:eastAsia="Times New Roman" w:hAnsi="Times New Roman" w:cs="Times New Roman"/>
          <w:noProof w:val="0"/>
          <w:sz w:val="24"/>
          <w:szCs w:val="24"/>
        </w:rPr>
        <w:t>The Commission recommends expanding the concept of an “enabling environment” to explicitly include:</w:t>
      </w:r>
    </w:p>
    <w:p w:rsidR="00223B7A" w:rsidRPr="00223B7A" w:rsidRDefault="00223B7A" w:rsidP="00223B7A">
      <w:pPr>
        <w:numPr>
          <w:ilvl w:val="0"/>
          <w:numId w:val="2"/>
        </w:numPr>
        <w:bidi w:val="0"/>
        <w:spacing w:before="100" w:beforeAutospacing="1" w:after="100" w:afterAutospacing="1"/>
        <w:jc w:val="both"/>
        <w:rPr>
          <w:rFonts w:ascii="Times New Roman" w:eastAsia="Times New Roman" w:hAnsi="Times New Roman" w:cs="Times New Roman"/>
          <w:noProof w:val="0"/>
          <w:sz w:val="24"/>
          <w:szCs w:val="24"/>
        </w:rPr>
      </w:pPr>
      <w:r w:rsidRPr="00223B7A">
        <w:rPr>
          <w:rFonts w:ascii="Times New Roman" w:eastAsia="Times New Roman" w:hAnsi="Times New Roman" w:cs="Times New Roman"/>
          <w:noProof w:val="0"/>
          <w:sz w:val="24"/>
          <w:szCs w:val="24"/>
        </w:rPr>
        <w:t>Ensuring access to information;</w:t>
      </w:r>
    </w:p>
    <w:p w:rsidR="00223B7A" w:rsidRPr="00223B7A" w:rsidRDefault="00223B7A" w:rsidP="00223B7A">
      <w:pPr>
        <w:numPr>
          <w:ilvl w:val="0"/>
          <w:numId w:val="2"/>
        </w:numPr>
        <w:bidi w:val="0"/>
        <w:spacing w:before="100" w:beforeAutospacing="1" w:after="100" w:afterAutospacing="1"/>
        <w:jc w:val="both"/>
        <w:rPr>
          <w:rFonts w:ascii="Times New Roman" w:eastAsia="Times New Roman" w:hAnsi="Times New Roman" w:cs="Times New Roman"/>
          <w:noProof w:val="0"/>
          <w:sz w:val="24"/>
          <w:szCs w:val="24"/>
        </w:rPr>
      </w:pPr>
      <w:r w:rsidRPr="00223B7A">
        <w:rPr>
          <w:rFonts w:ascii="Times New Roman" w:eastAsia="Times New Roman" w:hAnsi="Times New Roman" w:cs="Times New Roman"/>
          <w:noProof w:val="0"/>
          <w:sz w:val="24"/>
          <w:szCs w:val="24"/>
        </w:rPr>
        <w:t>Protecting human rights defenders;</w:t>
      </w:r>
    </w:p>
    <w:p w:rsidR="00223B7A" w:rsidRPr="00223B7A" w:rsidRDefault="00223B7A" w:rsidP="00223B7A">
      <w:pPr>
        <w:numPr>
          <w:ilvl w:val="0"/>
          <w:numId w:val="2"/>
        </w:numPr>
        <w:bidi w:val="0"/>
        <w:spacing w:before="100" w:beforeAutospacing="1" w:after="100" w:afterAutospacing="1"/>
        <w:jc w:val="both"/>
        <w:rPr>
          <w:rFonts w:ascii="Times New Roman" w:eastAsia="Times New Roman" w:hAnsi="Times New Roman" w:cs="Times New Roman"/>
          <w:noProof w:val="0"/>
          <w:sz w:val="24"/>
          <w:szCs w:val="24"/>
        </w:rPr>
      </w:pPr>
      <w:r w:rsidRPr="00223B7A">
        <w:rPr>
          <w:rFonts w:ascii="Times New Roman" w:eastAsia="Times New Roman" w:hAnsi="Times New Roman" w:cs="Times New Roman"/>
          <w:noProof w:val="0"/>
          <w:sz w:val="24"/>
          <w:szCs w:val="24"/>
        </w:rPr>
        <w:t>Facilitating meaningful participation in decision-making processes;</w:t>
      </w:r>
    </w:p>
    <w:p w:rsidR="00223B7A" w:rsidRPr="00223B7A" w:rsidRDefault="00223B7A" w:rsidP="00223B7A">
      <w:pPr>
        <w:numPr>
          <w:ilvl w:val="0"/>
          <w:numId w:val="2"/>
        </w:numPr>
        <w:bidi w:val="0"/>
        <w:spacing w:before="100" w:beforeAutospacing="1" w:after="100" w:afterAutospacing="1"/>
        <w:jc w:val="both"/>
        <w:rPr>
          <w:rFonts w:ascii="Times New Roman" w:eastAsia="Times New Roman" w:hAnsi="Times New Roman" w:cs="Times New Roman"/>
          <w:noProof w:val="0"/>
          <w:sz w:val="24"/>
          <w:szCs w:val="24"/>
        </w:rPr>
      </w:pPr>
      <w:r w:rsidRPr="00223B7A">
        <w:rPr>
          <w:rFonts w:ascii="Times New Roman" w:eastAsia="Times New Roman" w:hAnsi="Times New Roman" w:cs="Times New Roman"/>
          <w:noProof w:val="0"/>
          <w:sz w:val="24"/>
          <w:szCs w:val="24"/>
        </w:rPr>
        <w:t>Providing effective remedies and access to justice; and</w:t>
      </w:r>
    </w:p>
    <w:p w:rsidR="006E06B0" w:rsidRPr="00957951" w:rsidRDefault="00223B7A" w:rsidP="00957951">
      <w:pPr>
        <w:numPr>
          <w:ilvl w:val="0"/>
          <w:numId w:val="2"/>
        </w:numPr>
        <w:bidi w:val="0"/>
        <w:spacing w:before="100" w:beforeAutospacing="1" w:after="100" w:afterAutospacing="1"/>
        <w:jc w:val="both"/>
        <w:rPr>
          <w:rFonts w:ascii="Times New Roman" w:eastAsia="Times New Roman" w:hAnsi="Times New Roman" w:cs="Times New Roman"/>
          <w:noProof w:val="0"/>
          <w:sz w:val="24"/>
          <w:szCs w:val="24"/>
        </w:rPr>
      </w:pPr>
      <w:r w:rsidRPr="00223B7A">
        <w:rPr>
          <w:rFonts w:ascii="Times New Roman" w:eastAsia="Times New Roman" w:hAnsi="Times New Roman" w:cs="Times New Roman"/>
          <w:noProof w:val="0"/>
          <w:sz w:val="24"/>
          <w:szCs w:val="24"/>
        </w:rPr>
        <w:t>Protecting freedom of expression and peaceful assembly as rights that are closely interconnected with freedom of association.</w:t>
      </w:r>
    </w:p>
    <w:p w:rsidR="00223B7A" w:rsidRPr="00223B7A" w:rsidRDefault="00223B7A" w:rsidP="00555CD7">
      <w:pPr>
        <w:shd w:val="clear" w:color="auto" w:fill="DBE5F1" w:themeFill="accent1" w:themeFillTint="33"/>
        <w:bidi w:val="0"/>
        <w:spacing w:before="100" w:beforeAutospacing="1" w:after="100" w:afterAutospacing="1"/>
        <w:jc w:val="both"/>
        <w:outlineLvl w:val="2"/>
        <w:rPr>
          <w:rFonts w:ascii="Times New Roman" w:eastAsia="Times New Roman" w:hAnsi="Times New Roman" w:cs="Times New Roman"/>
          <w:b/>
          <w:bCs/>
          <w:noProof w:val="0"/>
          <w:sz w:val="24"/>
          <w:szCs w:val="24"/>
        </w:rPr>
      </w:pPr>
      <w:r w:rsidRPr="00223B7A">
        <w:rPr>
          <w:rFonts w:ascii="Times New Roman" w:eastAsia="Times New Roman" w:hAnsi="Times New Roman" w:cs="Times New Roman"/>
          <w:b/>
          <w:bCs/>
          <w:noProof w:val="0"/>
          <w:sz w:val="24"/>
          <w:szCs w:val="24"/>
        </w:rPr>
        <w:t>III. Relevance of the Draft General Comment to Iraq’s International Obligations</w:t>
      </w:r>
    </w:p>
    <w:p w:rsidR="00223B7A" w:rsidRPr="00223B7A" w:rsidRDefault="00223B7A" w:rsidP="00223B7A">
      <w:pPr>
        <w:bidi w:val="0"/>
        <w:spacing w:before="100" w:beforeAutospacing="1" w:after="100" w:afterAutospacing="1"/>
        <w:jc w:val="both"/>
        <w:rPr>
          <w:rFonts w:ascii="Times New Roman" w:eastAsia="Times New Roman" w:hAnsi="Times New Roman" w:cs="Times New Roman"/>
          <w:noProof w:val="0"/>
          <w:sz w:val="24"/>
          <w:szCs w:val="24"/>
        </w:rPr>
      </w:pPr>
      <w:r w:rsidRPr="00223B7A">
        <w:rPr>
          <w:rFonts w:ascii="Times New Roman" w:eastAsia="Times New Roman" w:hAnsi="Times New Roman" w:cs="Times New Roman"/>
          <w:noProof w:val="0"/>
          <w:sz w:val="24"/>
          <w:szCs w:val="24"/>
        </w:rPr>
        <w:t>The Commission considers that the adoption of General Comment No. 38 will provide an important interpretative framework for Iraq as a State Party to the International Covenant on Civil and Political Rights and will contribute to:</w:t>
      </w:r>
    </w:p>
    <w:p w:rsidR="00223B7A" w:rsidRPr="00223B7A" w:rsidRDefault="00223B7A" w:rsidP="00223B7A">
      <w:pPr>
        <w:numPr>
          <w:ilvl w:val="0"/>
          <w:numId w:val="3"/>
        </w:numPr>
        <w:bidi w:val="0"/>
        <w:spacing w:before="100" w:beforeAutospacing="1" w:after="100" w:afterAutospacing="1"/>
        <w:jc w:val="both"/>
        <w:rPr>
          <w:rFonts w:ascii="Times New Roman" w:eastAsia="Times New Roman" w:hAnsi="Times New Roman" w:cs="Times New Roman"/>
          <w:noProof w:val="0"/>
          <w:sz w:val="24"/>
          <w:szCs w:val="24"/>
        </w:rPr>
      </w:pPr>
      <w:r w:rsidRPr="00223B7A">
        <w:rPr>
          <w:rFonts w:ascii="Times New Roman" w:eastAsia="Times New Roman" w:hAnsi="Times New Roman" w:cs="Times New Roman"/>
          <w:noProof w:val="0"/>
          <w:sz w:val="24"/>
          <w:szCs w:val="24"/>
        </w:rPr>
        <w:t>Further developing the legislative framework governing the work of civil society organizations;</w:t>
      </w:r>
    </w:p>
    <w:p w:rsidR="00223B7A" w:rsidRPr="00223B7A" w:rsidRDefault="00223B7A" w:rsidP="00223B7A">
      <w:pPr>
        <w:numPr>
          <w:ilvl w:val="0"/>
          <w:numId w:val="3"/>
        </w:numPr>
        <w:bidi w:val="0"/>
        <w:spacing w:before="100" w:beforeAutospacing="1" w:after="100" w:afterAutospacing="1"/>
        <w:jc w:val="both"/>
        <w:rPr>
          <w:rFonts w:ascii="Times New Roman" w:eastAsia="Times New Roman" w:hAnsi="Times New Roman" w:cs="Times New Roman"/>
          <w:noProof w:val="0"/>
          <w:sz w:val="24"/>
          <w:szCs w:val="24"/>
        </w:rPr>
      </w:pPr>
      <w:r w:rsidRPr="00223B7A">
        <w:rPr>
          <w:rFonts w:ascii="Times New Roman" w:eastAsia="Times New Roman" w:hAnsi="Times New Roman" w:cs="Times New Roman"/>
          <w:noProof w:val="0"/>
          <w:sz w:val="24"/>
          <w:szCs w:val="24"/>
        </w:rPr>
        <w:t>Strengthening the protection of human rights defenders;</w:t>
      </w:r>
    </w:p>
    <w:p w:rsidR="00223B7A" w:rsidRPr="00223B7A" w:rsidRDefault="00223B7A" w:rsidP="00223B7A">
      <w:pPr>
        <w:numPr>
          <w:ilvl w:val="0"/>
          <w:numId w:val="3"/>
        </w:numPr>
        <w:bidi w:val="0"/>
        <w:spacing w:before="100" w:beforeAutospacing="1" w:after="100" w:afterAutospacing="1"/>
        <w:jc w:val="both"/>
        <w:rPr>
          <w:rFonts w:ascii="Times New Roman" w:eastAsia="Times New Roman" w:hAnsi="Times New Roman" w:cs="Times New Roman"/>
          <w:noProof w:val="0"/>
          <w:sz w:val="24"/>
          <w:szCs w:val="24"/>
        </w:rPr>
      </w:pPr>
      <w:r w:rsidRPr="00223B7A">
        <w:rPr>
          <w:rFonts w:ascii="Times New Roman" w:eastAsia="Times New Roman" w:hAnsi="Times New Roman" w:cs="Times New Roman"/>
          <w:noProof w:val="0"/>
          <w:sz w:val="24"/>
          <w:szCs w:val="24"/>
        </w:rPr>
        <w:t>Supporting the implementation of recommendations issued by United Nations human rights mechanisms;</w:t>
      </w:r>
    </w:p>
    <w:p w:rsidR="00223B7A" w:rsidRPr="00223B7A" w:rsidRDefault="00223B7A" w:rsidP="00223B7A">
      <w:pPr>
        <w:numPr>
          <w:ilvl w:val="0"/>
          <w:numId w:val="3"/>
        </w:numPr>
        <w:bidi w:val="0"/>
        <w:spacing w:before="100" w:beforeAutospacing="1" w:after="100" w:afterAutospacing="1"/>
        <w:jc w:val="both"/>
        <w:rPr>
          <w:rFonts w:ascii="Times New Roman" w:eastAsia="Times New Roman" w:hAnsi="Times New Roman" w:cs="Times New Roman"/>
          <w:noProof w:val="0"/>
          <w:sz w:val="24"/>
          <w:szCs w:val="24"/>
        </w:rPr>
      </w:pPr>
      <w:r w:rsidRPr="00223B7A">
        <w:rPr>
          <w:rFonts w:ascii="Times New Roman" w:eastAsia="Times New Roman" w:hAnsi="Times New Roman" w:cs="Times New Roman"/>
          <w:noProof w:val="0"/>
          <w:sz w:val="24"/>
          <w:szCs w:val="24"/>
        </w:rPr>
        <w:t>Enhancing Iraq’s implementation of its commitments within the framework of the Human Rights Council and the Universal Periodic Review (UPR); and</w:t>
      </w:r>
    </w:p>
    <w:p w:rsidR="00555CD7" w:rsidRPr="001B2D8F" w:rsidRDefault="00223B7A" w:rsidP="001B2D8F">
      <w:pPr>
        <w:numPr>
          <w:ilvl w:val="0"/>
          <w:numId w:val="3"/>
        </w:numPr>
        <w:bidi w:val="0"/>
        <w:spacing w:before="100" w:beforeAutospacing="1" w:after="100" w:afterAutospacing="1"/>
        <w:jc w:val="both"/>
        <w:rPr>
          <w:rFonts w:ascii="Times New Roman" w:eastAsia="Times New Roman" w:hAnsi="Times New Roman" w:cs="Times New Roman"/>
          <w:noProof w:val="0"/>
          <w:sz w:val="24"/>
          <w:szCs w:val="24"/>
        </w:rPr>
      </w:pPr>
      <w:r w:rsidRPr="00223B7A">
        <w:rPr>
          <w:rFonts w:ascii="Times New Roman" w:eastAsia="Times New Roman" w:hAnsi="Times New Roman" w:cs="Times New Roman"/>
          <w:noProof w:val="0"/>
          <w:sz w:val="24"/>
          <w:szCs w:val="24"/>
        </w:rPr>
        <w:t>Promoting the development of a legal and institutional environment that is more consistent with human rights principles.</w:t>
      </w:r>
    </w:p>
    <w:p w:rsidR="00223B7A" w:rsidRPr="00223B7A" w:rsidRDefault="00223B7A" w:rsidP="008B7A18">
      <w:pPr>
        <w:bidi w:val="0"/>
        <w:spacing w:before="100" w:beforeAutospacing="1" w:after="100" w:afterAutospacing="1"/>
        <w:jc w:val="both"/>
        <w:rPr>
          <w:rFonts w:ascii="Times New Roman" w:eastAsia="Times New Roman" w:hAnsi="Times New Roman" w:cs="Times New Roman"/>
          <w:noProof w:val="0"/>
          <w:sz w:val="24"/>
          <w:szCs w:val="24"/>
        </w:rPr>
      </w:pPr>
      <w:r w:rsidRPr="00223B7A">
        <w:rPr>
          <w:rFonts w:ascii="Times New Roman" w:eastAsia="Times New Roman" w:hAnsi="Times New Roman" w:cs="Times New Roman"/>
          <w:noProof w:val="0"/>
          <w:sz w:val="24"/>
          <w:szCs w:val="24"/>
        </w:rPr>
        <w:t xml:space="preserve">The </w:t>
      </w:r>
      <w:r w:rsidR="008B7A18">
        <w:rPr>
          <w:rFonts w:ascii="Times New Roman" w:eastAsia="Times New Roman" w:hAnsi="Times New Roman" w:cs="Times New Roman"/>
          <w:noProof w:val="0"/>
          <w:sz w:val="24"/>
          <w:szCs w:val="24"/>
        </w:rPr>
        <w:t>IHCHR</w:t>
      </w:r>
      <w:r w:rsidRPr="00223B7A">
        <w:rPr>
          <w:rFonts w:ascii="Times New Roman" w:eastAsia="Times New Roman" w:hAnsi="Times New Roman" w:cs="Times New Roman"/>
          <w:noProof w:val="0"/>
          <w:sz w:val="24"/>
          <w:szCs w:val="24"/>
        </w:rPr>
        <w:t xml:space="preserve"> welcomes Draft General Comment No. 38 and considers it an important step towards strengthening the international protection of the right to freedom of association. The Commission further emphasizes the importance of taking into account the views and comments of National Human Rights Institutions and civil society organizations when adopting the final version of the General Comment, with a view to ensuring more comprehensive protection of civic space and promoting democratic participation and the rule of law.</w:t>
      </w:r>
    </w:p>
    <w:p w:rsidR="00F50F52" w:rsidRDefault="00F50F52" w:rsidP="00333A7B">
      <w:pPr>
        <w:jc w:val="both"/>
        <w:rPr>
          <w:rFonts w:asciiTheme="majorBidi" w:hAnsiTheme="majorBidi" w:cstheme="majorBidi"/>
          <w:b/>
          <w:bCs/>
          <w:sz w:val="32"/>
          <w:szCs w:val="32"/>
          <w:rtl/>
        </w:rPr>
      </w:pPr>
    </w:p>
    <w:p w:rsidR="00333A7B" w:rsidRPr="001B2D8F" w:rsidRDefault="00333A7B" w:rsidP="001B2D8F">
      <w:pPr>
        <w:jc w:val="center"/>
        <w:rPr>
          <w:rFonts w:asciiTheme="majorBidi" w:hAnsiTheme="majorBidi" w:cstheme="majorBidi"/>
          <w:b/>
          <w:bCs/>
          <w:color w:val="244061" w:themeColor="accent1" w:themeShade="80"/>
          <w:sz w:val="28"/>
          <w:szCs w:val="28"/>
          <w:rtl/>
        </w:rPr>
      </w:pPr>
      <w:r w:rsidRPr="001B2D8F">
        <w:rPr>
          <w:rFonts w:asciiTheme="majorBidi" w:hAnsiTheme="majorBidi" w:cstheme="majorBidi"/>
          <w:b/>
          <w:bCs/>
          <w:color w:val="244061" w:themeColor="accent1" w:themeShade="80"/>
          <w:sz w:val="28"/>
          <w:szCs w:val="28"/>
          <w:rtl/>
        </w:rPr>
        <w:t xml:space="preserve">ملاحظات المفوضية العليا لحقوق الإنسان في جمهورية العراق بشأن مشروع التعليق العام رقم (38) للجنة حقوق الإنسان حول المادة (22) من العهد الدولي </w:t>
      </w:r>
      <w:r w:rsidR="009A3607" w:rsidRPr="001B2D8F">
        <w:rPr>
          <w:rFonts w:asciiTheme="majorBidi" w:hAnsiTheme="majorBidi" w:cstheme="majorBidi"/>
          <w:b/>
          <w:bCs/>
          <w:color w:val="244061" w:themeColor="accent1" w:themeShade="80"/>
          <w:sz w:val="28"/>
          <w:szCs w:val="28"/>
          <w:rtl/>
        </w:rPr>
        <w:t>الخاص بالحقوق المدنية والسياسية</w:t>
      </w:r>
    </w:p>
    <w:p w:rsidR="00333A7B" w:rsidRPr="001B2D8F" w:rsidRDefault="00333A7B" w:rsidP="00333A7B">
      <w:pPr>
        <w:jc w:val="both"/>
        <w:rPr>
          <w:rFonts w:asciiTheme="majorBidi" w:hAnsiTheme="majorBidi" w:cstheme="majorBidi"/>
          <w:sz w:val="28"/>
          <w:szCs w:val="28"/>
          <w:rtl/>
        </w:rPr>
      </w:pPr>
      <w:r w:rsidRPr="001B2D8F">
        <w:rPr>
          <w:rFonts w:asciiTheme="majorBidi" w:hAnsiTheme="majorBidi" w:cstheme="majorBidi"/>
          <w:sz w:val="28"/>
          <w:szCs w:val="28"/>
          <w:rtl/>
        </w:rPr>
        <w:t>ترحب المفوضية العليا لحقوق الإنسان في جمهورية العراق بمشروع التعليق العام رقم (38) الصادر عن لجنة حقوق الإنسان التابعة للأمم المتحدة بشأن المادة (22) من العهد الدولي الخاص بالحقوق المدنية والسياسية، وتثمن الجهود المبذولة لتطوير التفسير المعياري للحق في حرية تكوين الجمعيات بما ينسجم مع التطورات المعاصرة والتحديات التي تواجه الفضاء المدني على المستويين الوطني والدولي.</w:t>
      </w:r>
    </w:p>
    <w:p w:rsidR="00333A7B" w:rsidRPr="001B2D8F" w:rsidRDefault="00333A7B" w:rsidP="00333A7B">
      <w:pPr>
        <w:jc w:val="both"/>
        <w:rPr>
          <w:rFonts w:asciiTheme="majorBidi" w:hAnsiTheme="majorBidi" w:cstheme="majorBidi"/>
          <w:sz w:val="28"/>
          <w:szCs w:val="28"/>
          <w:rtl/>
        </w:rPr>
      </w:pPr>
      <w:r w:rsidRPr="001B2D8F">
        <w:rPr>
          <w:rFonts w:asciiTheme="majorBidi" w:hAnsiTheme="majorBidi" w:cstheme="majorBidi"/>
          <w:sz w:val="28"/>
          <w:szCs w:val="28"/>
          <w:rtl/>
        </w:rPr>
        <w:t>وترى المفوضية أن المشروع يشكل مرجعاً تفسيرياً مهماً لتعزيز حماية هذا الحق الأساسي وضمان ممارسته بصورة فعالة ومتوافقة مع المعايير الدولية لحقوق الإنسان.</w:t>
      </w:r>
    </w:p>
    <w:p w:rsidR="00333A7B" w:rsidRPr="001B2D8F" w:rsidRDefault="00333A7B" w:rsidP="00333A7B">
      <w:pPr>
        <w:jc w:val="both"/>
        <w:rPr>
          <w:rFonts w:asciiTheme="majorBidi" w:hAnsiTheme="majorBidi" w:cstheme="majorBidi"/>
          <w:b/>
          <w:bCs/>
          <w:sz w:val="28"/>
          <w:szCs w:val="28"/>
          <w:rtl/>
        </w:rPr>
      </w:pPr>
      <w:r w:rsidRPr="001B2D8F">
        <w:rPr>
          <w:rFonts w:asciiTheme="majorBidi" w:hAnsiTheme="majorBidi" w:cstheme="majorBidi"/>
          <w:b/>
          <w:bCs/>
          <w:sz w:val="28"/>
          <w:szCs w:val="28"/>
          <w:rtl/>
        </w:rPr>
        <w:t>أولاً: الجوانب الإيجابية في مشروع التعليق العام</w:t>
      </w:r>
    </w:p>
    <w:p w:rsidR="00333A7B" w:rsidRPr="001B2D8F" w:rsidRDefault="00333A7B" w:rsidP="00333A7B">
      <w:pPr>
        <w:jc w:val="both"/>
        <w:rPr>
          <w:rFonts w:asciiTheme="majorBidi" w:hAnsiTheme="majorBidi" w:cstheme="majorBidi"/>
          <w:b/>
          <w:bCs/>
          <w:sz w:val="28"/>
          <w:szCs w:val="28"/>
          <w:rtl/>
        </w:rPr>
      </w:pPr>
      <w:r w:rsidRPr="001B2D8F">
        <w:rPr>
          <w:rFonts w:asciiTheme="majorBidi" w:hAnsiTheme="majorBidi" w:cstheme="majorBidi"/>
          <w:b/>
          <w:bCs/>
          <w:sz w:val="28"/>
          <w:szCs w:val="28"/>
          <w:rtl/>
        </w:rPr>
        <w:t>1. التأكيد على الأهمية الجوهرية لحرية تكوين الجمعيات</w:t>
      </w:r>
    </w:p>
    <w:p w:rsidR="00333A7B" w:rsidRPr="001B2D8F" w:rsidRDefault="00333A7B" w:rsidP="00333A7B">
      <w:pPr>
        <w:jc w:val="both"/>
        <w:rPr>
          <w:rFonts w:asciiTheme="majorBidi" w:hAnsiTheme="majorBidi" w:cstheme="majorBidi"/>
          <w:sz w:val="28"/>
          <w:szCs w:val="28"/>
          <w:rtl/>
        </w:rPr>
      </w:pPr>
      <w:r w:rsidRPr="001B2D8F">
        <w:rPr>
          <w:rFonts w:asciiTheme="majorBidi" w:hAnsiTheme="majorBidi" w:cstheme="majorBidi"/>
          <w:sz w:val="28"/>
          <w:szCs w:val="28"/>
          <w:rtl/>
        </w:rPr>
        <w:t>ترحب المفوضية بتأكيد المشروع أن حرية تكوين الجمعيات تمثل أحد الركائز الأساسية للمجتمعات الديمقراطية، وأنها ترتبط ارتباطاً وثيقاً بالمشاركة العامة وسيادة القانون وحماية حقوق الإنسان والتنمية المستدامة.</w:t>
      </w:r>
    </w:p>
    <w:p w:rsidR="00333A7B" w:rsidRPr="001B2D8F" w:rsidRDefault="00333A7B" w:rsidP="00333A7B">
      <w:pPr>
        <w:jc w:val="both"/>
        <w:rPr>
          <w:rFonts w:asciiTheme="majorBidi" w:hAnsiTheme="majorBidi" w:cstheme="majorBidi"/>
          <w:b/>
          <w:bCs/>
          <w:sz w:val="28"/>
          <w:szCs w:val="28"/>
          <w:rtl/>
        </w:rPr>
      </w:pPr>
      <w:r w:rsidRPr="001B2D8F">
        <w:rPr>
          <w:rFonts w:asciiTheme="majorBidi" w:hAnsiTheme="majorBidi" w:cstheme="majorBidi"/>
          <w:b/>
          <w:bCs/>
          <w:sz w:val="28"/>
          <w:szCs w:val="28"/>
          <w:rtl/>
        </w:rPr>
        <w:t>2. شمول الحماية للجمعيات الرسمية وغير الرسمية</w:t>
      </w:r>
    </w:p>
    <w:p w:rsidR="00333A7B" w:rsidRPr="001B2D8F" w:rsidRDefault="00333A7B" w:rsidP="00333A7B">
      <w:pPr>
        <w:jc w:val="both"/>
        <w:rPr>
          <w:rFonts w:asciiTheme="majorBidi" w:hAnsiTheme="majorBidi" w:cstheme="majorBidi"/>
          <w:sz w:val="28"/>
          <w:szCs w:val="28"/>
          <w:rtl/>
        </w:rPr>
      </w:pPr>
      <w:r w:rsidRPr="001B2D8F">
        <w:rPr>
          <w:rFonts w:asciiTheme="majorBidi" w:hAnsiTheme="majorBidi" w:cstheme="majorBidi"/>
          <w:sz w:val="28"/>
          <w:szCs w:val="28"/>
          <w:rtl/>
        </w:rPr>
        <w:t>تثمن المفوضية تأكيد المشروع أن الحق في حرية تكوين الجمعيات يشمل الكيانات الرسمية وغير الرسمية على حد سواء، وأن ممارسة هذا الحق لا ينبغي أن تكون مرهونة بالحصول على ترخيص مسبق.</w:t>
      </w:r>
    </w:p>
    <w:p w:rsidR="00333A7B" w:rsidRPr="001B2D8F" w:rsidRDefault="00333A7B" w:rsidP="00333A7B">
      <w:pPr>
        <w:jc w:val="both"/>
        <w:rPr>
          <w:rFonts w:asciiTheme="majorBidi" w:hAnsiTheme="majorBidi" w:cstheme="majorBidi"/>
          <w:b/>
          <w:bCs/>
          <w:sz w:val="28"/>
          <w:szCs w:val="28"/>
          <w:rtl/>
        </w:rPr>
      </w:pPr>
      <w:r w:rsidRPr="001B2D8F">
        <w:rPr>
          <w:rFonts w:asciiTheme="majorBidi" w:hAnsiTheme="majorBidi" w:cstheme="majorBidi"/>
          <w:b/>
          <w:bCs/>
          <w:sz w:val="28"/>
          <w:szCs w:val="28"/>
          <w:rtl/>
        </w:rPr>
        <w:t>3. حماية المدافعين عن حقوق الإنسان ومنظمات المجتمع المدني</w:t>
      </w:r>
    </w:p>
    <w:p w:rsidR="00EF526C" w:rsidRPr="001B2D8F" w:rsidRDefault="00333A7B" w:rsidP="00333A7B">
      <w:pPr>
        <w:jc w:val="both"/>
        <w:rPr>
          <w:rFonts w:asciiTheme="majorBidi" w:hAnsiTheme="majorBidi" w:cstheme="majorBidi"/>
          <w:sz w:val="28"/>
          <w:szCs w:val="28"/>
        </w:rPr>
      </w:pPr>
      <w:r w:rsidRPr="001B2D8F">
        <w:rPr>
          <w:rFonts w:asciiTheme="majorBidi" w:hAnsiTheme="majorBidi" w:cstheme="majorBidi"/>
          <w:sz w:val="28"/>
          <w:szCs w:val="28"/>
          <w:rtl/>
        </w:rPr>
        <w:t>ترحب المفوضية بما تضمنه المشروع من تأكيد ضرورة حماية المدافعين عن حقوق الإنسان والصحفيين والنقابيين وأعضاء منظمات المجتمع المدني من جميع أشكال المضايقة أو الترهيب أو الانتقام أو القيود غير المبررة.</w:t>
      </w:r>
    </w:p>
    <w:p w:rsidR="009A3607" w:rsidRPr="001B2D8F" w:rsidRDefault="009A3607" w:rsidP="00333A7B">
      <w:pPr>
        <w:jc w:val="both"/>
        <w:rPr>
          <w:rFonts w:asciiTheme="majorBidi" w:hAnsiTheme="majorBidi" w:cstheme="majorBidi"/>
          <w:sz w:val="28"/>
          <w:szCs w:val="28"/>
          <w:rtl/>
        </w:rPr>
      </w:pPr>
    </w:p>
    <w:p w:rsidR="00333A7B" w:rsidRPr="001B2D8F" w:rsidRDefault="00333A7B" w:rsidP="00333A7B">
      <w:pPr>
        <w:jc w:val="both"/>
        <w:rPr>
          <w:rFonts w:asciiTheme="majorBidi" w:hAnsiTheme="majorBidi" w:cstheme="majorBidi"/>
          <w:b/>
          <w:bCs/>
          <w:sz w:val="28"/>
          <w:szCs w:val="28"/>
          <w:rtl/>
        </w:rPr>
      </w:pPr>
      <w:r w:rsidRPr="001B2D8F">
        <w:rPr>
          <w:rFonts w:asciiTheme="majorBidi" w:hAnsiTheme="majorBidi" w:cstheme="majorBidi"/>
          <w:b/>
          <w:bCs/>
          <w:sz w:val="28"/>
          <w:szCs w:val="28"/>
          <w:rtl/>
        </w:rPr>
        <w:t>٤. الاعتراف بالفضاء المدني الرقمي</w:t>
      </w:r>
    </w:p>
    <w:p w:rsidR="00333A7B" w:rsidRPr="001B2D8F" w:rsidRDefault="00333A7B" w:rsidP="00333A7B">
      <w:pPr>
        <w:jc w:val="both"/>
        <w:rPr>
          <w:rFonts w:asciiTheme="majorBidi" w:hAnsiTheme="majorBidi" w:cstheme="majorBidi"/>
          <w:sz w:val="28"/>
          <w:szCs w:val="28"/>
          <w:rtl/>
        </w:rPr>
      </w:pPr>
      <w:r w:rsidRPr="001B2D8F">
        <w:rPr>
          <w:rFonts w:asciiTheme="majorBidi" w:hAnsiTheme="majorBidi" w:cstheme="majorBidi"/>
          <w:sz w:val="28"/>
          <w:szCs w:val="28"/>
          <w:rtl/>
        </w:rPr>
        <w:t>تشيد المفوضية بتوسيع نطاق الحماية ليشمل الأنشطة المدنية عبر الوسائط الرقمية والإنترنت، وما تضمنه المشروع من معالجة للمخاطر المرتبطة بالمراقبة الرقمية وقطع خدمات الإنترنت أو تقييد المنصات الإلكترونية بصورة غير مبررة.</w:t>
      </w:r>
    </w:p>
    <w:p w:rsidR="00333A7B" w:rsidRDefault="00333A7B" w:rsidP="00333A7B">
      <w:pPr>
        <w:jc w:val="both"/>
        <w:rPr>
          <w:rFonts w:asciiTheme="majorBidi" w:hAnsiTheme="majorBidi" w:cstheme="majorBidi"/>
          <w:sz w:val="28"/>
          <w:szCs w:val="28"/>
        </w:rPr>
      </w:pPr>
    </w:p>
    <w:p w:rsidR="001B2D8F" w:rsidRPr="001B2D8F" w:rsidRDefault="001B2D8F" w:rsidP="00333A7B">
      <w:pPr>
        <w:jc w:val="both"/>
        <w:rPr>
          <w:rFonts w:asciiTheme="majorBidi" w:hAnsiTheme="majorBidi" w:cstheme="majorBidi"/>
          <w:sz w:val="28"/>
          <w:szCs w:val="28"/>
          <w:rtl/>
        </w:rPr>
      </w:pPr>
    </w:p>
    <w:p w:rsidR="00333A7B" w:rsidRPr="001B2D8F" w:rsidRDefault="00333A7B" w:rsidP="00333A7B">
      <w:pPr>
        <w:jc w:val="both"/>
        <w:rPr>
          <w:rFonts w:asciiTheme="majorBidi" w:hAnsiTheme="majorBidi" w:cstheme="majorBidi"/>
          <w:b/>
          <w:bCs/>
          <w:sz w:val="28"/>
          <w:szCs w:val="28"/>
          <w:rtl/>
        </w:rPr>
      </w:pPr>
      <w:r w:rsidRPr="001B2D8F">
        <w:rPr>
          <w:rFonts w:asciiTheme="majorBidi" w:hAnsiTheme="majorBidi" w:cstheme="majorBidi"/>
          <w:b/>
          <w:bCs/>
          <w:sz w:val="28"/>
          <w:szCs w:val="28"/>
          <w:rtl/>
        </w:rPr>
        <w:lastRenderedPageBreak/>
        <w:t>٥. التأكيد على حق الجمعيات في الوصول إلى الموارد والتمويل</w:t>
      </w:r>
    </w:p>
    <w:p w:rsidR="00333A7B" w:rsidRPr="001B2D8F" w:rsidRDefault="00333A7B" w:rsidP="00333A7B">
      <w:pPr>
        <w:jc w:val="both"/>
        <w:rPr>
          <w:rFonts w:asciiTheme="majorBidi" w:hAnsiTheme="majorBidi" w:cstheme="majorBidi"/>
          <w:sz w:val="28"/>
          <w:szCs w:val="28"/>
          <w:rtl/>
        </w:rPr>
      </w:pPr>
      <w:r w:rsidRPr="001B2D8F">
        <w:rPr>
          <w:rFonts w:asciiTheme="majorBidi" w:hAnsiTheme="majorBidi" w:cstheme="majorBidi"/>
          <w:sz w:val="28"/>
          <w:szCs w:val="28"/>
          <w:rtl/>
        </w:rPr>
        <w:t>ترحب المفوضية باعتبار الحصول على الموارد والتمويل، بما في ذلك التمويل الأجنبي المشروع، جزءاً لا يتجزأ من الحق في حرية تكوين الجمعيات، باعتباره عنصراً أساسياً لضمان استدامة عمل الجمعيات واستقلاليتها.</w:t>
      </w:r>
    </w:p>
    <w:p w:rsidR="00333A7B" w:rsidRPr="001B2D8F" w:rsidRDefault="00333A7B" w:rsidP="00333A7B">
      <w:pPr>
        <w:jc w:val="both"/>
        <w:rPr>
          <w:rFonts w:asciiTheme="majorBidi" w:hAnsiTheme="majorBidi" w:cstheme="majorBidi"/>
          <w:b/>
          <w:bCs/>
          <w:sz w:val="28"/>
          <w:szCs w:val="28"/>
          <w:rtl/>
        </w:rPr>
      </w:pPr>
      <w:r w:rsidRPr="001B2D8F">
        <w:rPr>
          <w:rFonts w:asciiTheme="majorBidi" w:hAnsiTheme="majorBidi" w:cstheme="majorBidi"/>
          <w:b/>
          <w:bCs/>
          <w:sz w:val="28"/>
          <w:szCs w:val="28"/>
          <w:rtl/>
        </w:rPr>
        <w:t>ثانياً: الملاحظات والتوصيات</w:t>
      </w:r>
    </w:p>
    <w:p w:rsidR="00333A7B" w:rsidRPr="001B2D8F" w:rsidRDefault="00333A7B" w:rsidP="00333A7B">
      <w:pPr>
        <w:jc w:val="both"/>
        <w:rPr>
          <w:rFonts w:asciiTheme="majorBidi" w:hAnsiTheme="majorBidi" w:cstheme="majorBidi"/>
          <w:b/>
          <w:bCs/>
          <w:sz w:val="28"/>
          <w:szCs w:val="28"/>
          <w:rtl/>
        </w:rPr>
      </w:pPr>
      <w:r w:rsidRPr="001B2D8F">
        <w:rPr>
          <w:rFonts w:asciiTheme="majorBidi" w:hAnsiTheme="majorBidi" w:cstheme="majorBidi"/>
          <w:b/>
          <w:bCs/>
          <w:sz w:val="28"/>
          <w:szCs w:val="28"/>
          <w:rtl/>
        </w:rPr>
        <w:t>١. تعزيز الإشارة إلى دور المؤسسات الوطنية لحقوق الإنسان</w:t>
      </w:r>
    </w:p>
    <w:p w:rsidR="00333A7B" w:rsidRPr="001B2D8F" w:rsidRDefault="00333A7B" w:rsidP="00333A7B">
      <w:pPr>
        <w:jc w:val="both"/>
        <w:rPr>
          <w:rFonts w:asciiTheme="majorBidi" w:hAnsiTheme="majorBidi" w:cstheme="majorBidi"/>
          <w:sz w:val="28"/>
          <w:szCs w:val="28"/>
          <w:rtl/>
        </w:rPr>
      </w:pPr>
      <w:r w:rsidRPr="001B2D8F">
        <w:rPr>
          <w:rFonts w:asciiTheme="majorBidi" w:hAnsiTheme="majorBidi" w:cstheme="majorBidi"/>
          <w:sz w:val="28"/>
          <w:szCs w:val="28"/>
          <w:rtl/>
        </w:rPr>
        <w:t>تقترح المفوضية تضمين نص صريح يبرز الدور الذي تضطلع به المؤسسات الوطنية لحقوق الإنسان المنشأة وفقاً لمبادئ باريس في:</w:t>
      </w:r>
    </w:p>
    <w:p w:rsidR="00333A7B" w:rsidRPr="001B2D8F" w:rsidRDefault="00333A7B" w:rsidP="00333A7B">
      <w:pPr>
        <w:jc w:val="both"/>
        <w:rPr>
          <w:rFonts w:asciiTheme="majorBidi" w:hAnsiTheme="majorBidi" w:cstheme="majorBidi"/>
          <w:sz w:val="28"/>
          <w:szCs w:val="28"/>
          <w:rtl/>
        </w:rPr>
      </w:pPr>
      <w:r w:rsidRPr="001B2D8F">
        <w:rPr>
          <w:rFonts w:asciiTheme="majorBidi" w:hAnsiTheme="majorBidi" w:cstheme="majorBidi"/>
          <w:sz w:val="28"/>
          <w:szCs w:val="28"/>
          <w:rtl/>
        </w:rPr>
        <w:t>• حماية وتعزيز الفضاء المدني.</w:t>
      </w:r>
    </w:p>
    <w:p w:rsidR="00333A7B" w:rsidRPr="001B2D8F" w:rsidRDefault="00333A7B" w:rsidP="00333A7B">
      <w:pPr>
        <w:jc w:val="both"/>
        <w:rPr>
          <w:rFonts w:asciiTheme="majorBidi" w:hAnsiTheme="majorBidi" w:cstheme="majorBidi"/>
          <w:sz w:val="28"/>
          <w:szCs w:val="28"/>
          <w:rtl/>
        </w:rPr>
      </w:pPr>
      <w:r w:rsidRPr="001B2D8F">
        <w:rPr>
          <w:rFonts w:asciiTheme="majorBidi" w:hAnsiTheme="majorBidi" w:cstheme="majorBidi"/>
          <w:sz w:val="28"/>
          <w:szCs w:val="28"/>
          <w:rtl/>
        </w:rPr>
        <w:t>• رصد الانتهاكات المرتبطة بحرية تكوين الجمعيات.</w:t>
      </w:r>
    </w:p>
    <w:p w:rsidR="00333A7B" w:rsidRPr="001B2D8F" w:rsidRDefault="00333A7B" w:rsidP="00333A7B">
      <w:pPr>
        <w:jc w:val="both"/>
        <w:rPr>
          <w:rFonts w:asciiTheme="majorBidi" w:hAnsiTheme="majorBidi" w:cstheme="majorBidi"/>
          <w:sz w:val="28"/>
          <w:szCs w:val="28"/>
          <w:rtl/>
        </w:rPr>
      </w:pPr>
      <w:r w:rsidRPr="001B2D8F">
        <w:rPr>
          <w:rFonts w:asciiTheme="majorBidi" w:hAnsiTheme="majorBidi" w:cstheme="majorBidi"/>
          <w:sz w:val="28"/>
          <w:szCs w:val="28"/>
          <w:rtl/>
        </w:rPr>
        <w:t>• تلقي الشكاوى والتحقيق فيها وفقاً للولاية القانونية الممنوحة لها.</w:t>
      </w:r>
    </w:p>
    <w:p w:rsidR="00333A7B" w:rsidRPr="001B2D8F" w:rsidRDefault="00333A7B" w:rsidP="00333A7B">
      <w:pPr>
        <w:jc w:val="both"/>
        <w:rPr>
          <w:rFonts w:asciiTheme="majorBidi" w:hAnsiTheme="majorBidi" w:cstheme="majorBidi"/>
          <w:sz w:val="28"/>
          <w:szCs w:val="28"/>
          <w:rtl/>
        </w:rPr>
      </w:pPr>
      <w:r w:rsidRPr="001B2D8F">
        <w:rPr>
          <w:rFonts w:asciiTheme="majorBidi" w:hAnsiTheme="majorBidi" w:cstheme="majorBidi"/>
          <w:sz w:val="28"/>
          <w:szCs w:val="28"/>
          <w:rtl/>
        </w:rPr>
        <w:t>• تقديم المشورة والتوصيات للسلطات العامة بشأن التشريعات والسياسات ذات الصلة.</w:t>
      </w:r>
    </w:p>
    <w:p w:rsidR="00333A7B" w:rsidRPr="001B2D8F" w:rsidRDefault="00333A7B" w:rsidP="00333A7B">
      <w:pPr>
        <w:jc w:val="both"/>
        <w:rPr>
          <w:rFonts w:asciiTheme="majorBidi" w:hAnsiTheme="majorBidi" w:cstheme="majorBidi"/>
          <w:sz w:val="28"/>
          <w:szCs w:val="28"/>
          <w:rtl/>
        </w:rPr>
      </w:pPr>
      <w:r w:rsidRPr="001B2D8F">
        <w:rPr>
          <w:rFonts w:asciiTheme="majorBidi" w:hAnsiTheme="majorBidi" w:cstheme="majorBidi"/>
          <w:sz w:val="28"/>
          <w:szCs w:val="28"/>
          <w:rtl/>
        </w:rPr>
        <w:t>ويأتي ذلك انسجاماً مع الاعتراف المتزايد بدور المؤسسات الوطنية ضمن منظومة الأمم المتحدة لحقوق الإنسان.</w:t>
      </w:r>
    </w:p>
    <w:p w:rsidR="00333A7B" w:rsidRPr="001B2D8F" w:rsidRDefault="00333A7B" w:rsidP="00333A7B">
      <w:pPr>
        <w:jc w:val="both"/>
        <w:rPr>
          <w:rFonts w:asciiTheme="majorBidi" w:hAnsiTheme="majorBidi" w:cstheme="majorBidi"/>
          <w:b/>
          <w:bCs/>
          <w:sz w:val="28"/>
          <w:szCs w:val="28"/>
          <w:rtl/>
        </w:rPr>
      </w:pPr>
      <w:r w:rsidRPr="001B2D8F">
        <w:rPr>
          <w:rFonts w:asciiTheme="majorBidi" w:hAnsiTheme="majorBidi" w:cstheme="majorBidi"/>
          <w:b/>
          <w:bCs/>
          <w:sz w:val="28"/>
          <w:szCs w:val="28"/>
          <w:rtl/>
        </w:rPr>
        <w:t>٢. تعزيز الحماية المخصصة للمدافعين عن حقوق الإنسان</w:t>
      </w:r>
    </w:p>
    <w:p w:rsidR="00333A7B" w:rsidRPr="001B2D8F" w:rsidRDefault="00333A7B" w:rsidP="00333A7B">
      <w:pPr>
        <w:jc w:val="both"/>
        <w:rPr>
          <w:rFonts w:asciiTheme="majorBidi" w:hAnsiTheme="majorBidi" w:cstheme="majorBidi"/>
          <w:sz w:val="28"/>
          <w:szCs w:val="28"/>
        </w:rPr>
      </w:pPr>
      <w:r w:rsidRPr="001B2D8F">
        <w:rPr>
          <w:rFonts w:asciiTheme="majorBidi" w:hAnsiTheme="majorBidi" w:cstheme="majorBidi"/>
          <w:sz w:val="28"/>
          <w:szCs w:val="28"/>
          <w:rtl/>
        </w:rPr>
        <w:t>تقترح المفوضية الإشارة بصورة أوضح إلى إعلان الأمم المتحدة الخاص بالمدافعين عن حقوق الإنسان لعام 1998 باعتباره إطاراً تفسيرياً مكملاً للمادة (22)، وبما يعزز الحماية القانونية والعملية للنشطاء والعاملين في مجال حقوق الإنسان.</w:t>
      </w:r>
    </w:p>
    <w:p w:rsidR="009A3607" w:rsidRPr="001B2D8F" w:rsidRDefault="009A3607" w:rsidP="00333A7B">
      <w:pPr>
        <w:jc w:val="both"/>
        <w:rPr>
          <w:rFonts w:asciiTheme="majorBidi" w:hAnsiTheme="majorBidi" w:cstheme="majorBidi"/>
          <w:sz w:val="28"/>
          <w:szCs w:val="28"/>
          <w:rtl/>
        </w:rPr>
      </w:pPr>
      <w:bookmarkStart w:id="0" w:name="_GoBack"/>
      <w:bookmarkEnd w:id="0"/>
    </w:p>
    <w:p w:rsidR="00333A7B" w:rsidRPr="001B2D8F" w:rsidRDefault="00333A7B" w:rsidP="00333A7B">
      <w:pPr>
        <w:jc w:val="both"/>
        <w:rPr>
          <w:rFonts w:asciiTheme="majorBidi" w:hAnsiTheme="majorBidi" w:cstheme="majorBidi"/>
          <w:b/>
          <w:bCs/>
          <w:sz w:val="28"/>
          <w:szCs w:val="28"/>
          <w:rtl/>
        </w:rPr>
      </w:pPr>
      <w:r w:rsidRPr="001B2D8F">
        <w:rPr>
          <w:rFonts w:asciiTheme="majorBidi" w:hAnsiTheme="majorBidi" w:cstheme="majorBidi"/>
          <w:b/>
          <w:bCs/>
          <w:sz w:val="28"/>
          <w:szCs w:val="28"/>
          <w:rtl/>
        </w:rPr>
        <w:t>٣. الضمانات المتعلقة بالتمويل والرقابة المالية</w:t>
      </w:r>
    </w:p>
    <w:p w:rsidR="00333A7B" w:rsidRPr="001B2D8F" w:rsidRDefault="00333A7B" w:rsidP="00333A7B">
      <w:pPr>
        <w:jc w:val="both"/>
        <w:rPr>
          <w:rFonts w:asciiTheme="majorBidi" w:hAnsiTheme="majorBidi" w:cstheme="majorBidi"/>
          <w:sz w:val="28"/>
          <w:szCs w:val="28"/>
          <w:rtl/>
        </w:rPr>
      </w:pPr>
      <w:r w:rsidRPr="001B2D8F">
        <w:rPr>
          <w:rFonts w:asciiTheme="majorBidi" w:hAnsiTheme="majorBidi" w:cstheme="majorBidi"/>
          <w:sz w:val="28"/>
          <w:szCs w:val="28"/>
          <w:rtl/>
        </w:rPr>
        <w:t>ترى المفوضية أهمية النص صراحةً على أن التدابير الرقابية والمالية المشروعة يجب ألا تُستخدم كوسيلة للحد من عمل الجمعيات أو التدخل في استقلاليتها، وأن تخضع جميع القيود المفروضة لاختباري الضرورة والتناسب وفقاً للمعايير الدولية.</w:t>
      </w:r>
    </w:p>
    <w:p w:rsidR="00333A7B" w:rsidRPr="001B2D8F" w:rsidRDefault="00333A7B">
      <w:pPr>
        <w:bidi w:val="0"/>
        <w:rPr>
          <w:rFonts w:asciiTheme="majorBidi" w:hAnsiTheme="majorBidi" w:cstheme="majorBidi"/>
          <w:b/>
          <w:bCs/>
          <w:sz w:val="28"/>
          <w:szCs w:val="28"/>
          <w:rtl/>
        </w:rPr>
      </w:pPr>
    </w:p>
    <w:p w:rsidR="00333A7B" w:rsidRPr="001B2D8F" w:rsidRDefault="00333A7B" w:rsidP="00333A7B">
      <w:pPr>
        <w:jc w:val="both"/>
        <w:rPr>
          <w:rFonts w:asciiTheme="majorBidi" w:hAnsiTheme="majorBidi" w:cstheme="majorBidi"/>
          <w:sz w:val="28"/>
          <w:szCs w:val="28"/>
          <w:rtl/>
        </w:rPr>
      </w:pPr>
      <w:r w:rsidRPr="001B2D8F">
        <w:rPr>
          <w:rFonts w:asciiTheme="majorBidi" w:hAnsiTheme="majorBidi" w:cstheme="majorBidi"/>
          <w:b/>
          <w:bCs/>
          <w:sz w:val="28"/>
          <w:szCs w:val="28"/>
          <w:rtl/>
        </w:rPr>
        <w:t>٤. مراعاة أوضاع الدول الخارجة من النزاعات</w:t>
      </w:r>
    </w:p>
    <w:p w:rsidR="00333A7B" w:rsidRPr="001B2D8F" w:rsidRDefault="00333A7B" w:rsidP="00333A7B">
      <w:pPr>
        <w:jc w:val="both"/>
        <w:rPr>
          <w:rFonts w:asciiTheme="majorBidi" w:hAnsiTheme="majorBidi" w:cstheme="majorBidi"/>
          <w:sz w:val="28"/>
          <w:szCs w:val="28"/>
          <w:rtl/>
        </w:rPr>
      </w:pPr>
      <w:r w:rsidRPr="001B2D8F">
        <w:rPr>
          <w:rFonts w:asciiTheme="majorBidi" w:hAnsiTheme="majorBidi" w:cstheme="majorBidi"/>
          <w:sz w:val="28"/>
          <w:szCs w:val="28"/>
          <w:rtl/>
        </w:rPr>
        <w:t>تقترح المفوضية إضافة فقرات تتناول أهمية دور المجتمع المدني في الدول الخارجة من النزاعات أو التي تمر بمراحل انتقالية، لما يؤديه من دور محوري في المصالحة المجتمعية وتعزيز السلم الأهلي ودعم عمليات بناء المؤسسات.</w:t>
      </w:r>
    </w:p>
    <w:p w:rsidR="00333A7B" w:rsidRPr="001B2D8F" w:rsidRDefault="00333A7B" w:rsidP="00333A7B">
      <w:pPr>
        <w:jc w:val="both"/>
        <w:rPr>
          <w:rFonts w:asciiTheme="majorBidi" w:hAnsiTheme="majorBidi" w:cstheme="majorBidi"/>
          <w:b/>
          <w:bCs/>
          <w:sz w:val="28"/>
          <w:szCs w:val="28"/>
          <w:rtl/>
        </w:rPr>
      </w:pPr>
      <w:r w:rsidRPr="001B2D8F">
        <w:rPr>
          <w:rFonts w:asciiTheme="majorBidi" w:hAnsiTheme="majorBidi" w:cstheme="majorBidi"/>
          <w:b/>
          <w:bCs/>
          <w:sz w:val="28"/>
          <w:szCs w:val="28"/>
          <w:rtl/>
        </w:rPr>
        <w:lastRenderedPageBreak/>
        <w:t>٥. توضيح عناصر البيئة المواتية للمجتمع المدني</w:t>
      </w:r>
    </w:p>
    <w:p w:rsidR="00333A7B" w:rsidRPr="001B2D8F" w:rsidRDefault="00333A7B" w:rsidP="00333A7B">
      <w:pPr>
        <w:jc w:val="both"/>
        <w:rPr>
          <w:rFonts w:asciiTheme="majorBidi" w:hAnsiTheme="majorBidi" w:cstheme="majorBidi"/>
          <w:sz w:val="28"/>
          <w:szCs w:val="28"/>
          <w:rtl/>
        </w:rPr>
      </w:pPr>
      <w:r w:rsidRPr="001B2D8F">
        <w:rPr>
          <w:rFonts w:asciiTheme="majorBidi" w:hAnsiTheme="majorBidi" w:cstheme="majorBidi"/>
          <w:sz w:val="28"/>
          <w:szCs w:val="28"/>
          <w:rtl/>
        </w:rPr>
        <w:t>تقترح المفوضية توسيع مفهوم “البيئة المواتية” ليشمل بصورة صريحة:</w:t>
      </w:r>
    </w:p>
    <w:p w:rsidR="00333A7B" w:rsidRPr="001B2D8F" w:rsidRDefault="00333A7B" w:rsidP="00333A7B">
      <w:pPr>
        <w:jc w:val="both"/>
        <w:rPr>
          <w:rFonts w:asciiTheme="majorBidi" w:hAnsiTheme="majorBidi" w:cstheme="majorBidi"/>
          <w:sz w:val="28"/>
          <w:szCs w:val="28"/>
          <w:rtl/>
        </w:rPr>
      </w:pPr>
      <w:r w:rsidRPr="001B2D8F">
        <w:rPr>
          <w:rFonts w:asciiTheme="majorBidi" w:hAnsiTheme="majorBidi" w:cstheme="majorBidi"/>
          <w:sz w:val="28"/>
          <w:szCs w:val="28"/>
          <w:rtl/>
        </w:rPr>
        <w:tab/>
        <w:t>•</w:t>
      </w:r>
      <w:r w:rsidRPr="001B2D8F">
        <w:rPr>
          <w:rFonts w:asciiTheme="majorBidi" w:hAnsiTheme="majorBidi" w:cstheme="majorBidi"/>
          <w:sz w:val="28"/>
          <w:szCs w:val="28"/>
          <w:rtl/>
        </w:rPr>
        <w:tab/>
        <w:t>ضمان حرية الوصول إلى المعلومات.</w:t>
      </w:r>
    </w:p>
    <w:p w:rsidR="00333A7B" w:rsidRPr="001B2D8F" w:rsidRDefault="00333A7B" w:rsidP="00333A7B">
      <w:pPr>
        <w:jc w:val="both"/>
        <w:rPr>
          <w:rFonts w:asciiTheme="majorBidi" w:hAnsiTheme="majorBidi" w:cstheme="majorBidi"/>
          <w:sz w:val="28"/>
          <w:szCs w:val="28"/>
          <w:rtl/>
        </w:rPr>
      </w:pPr>
      <w:r w:rsidRPr="001B2D8F">
        <w:rPr>
          <w:rFonts w:asciiTheme="majorBidi" w:hAnsiTheme="majorBidi" w:cstheme="majorBidi"/>
          <w:sz w:val="28"/>
          <w:szCs w:val="28"/>
          <w:rtl/>
        </w:rPr>
        <w:tab/>
        <w:t>•</w:t>
      </w:r>
      <w:r w:rsidRPr="001B2D8F">
        <w:rPr>
          <w:rFonts w:asciiTheme="majorBidi" w:hAnsiTheme="majorBidi" w:cstheme="majorBidi"/>
          <w:sz w:val="28"/>
          <w:szCs w:val="28"/>
          <w:rtl/>
        </w:rPr>
        <w:tab/>
        <w:t>حماية المدافعين عن حقوق الإنسان.</w:t>
      </w:r>
    </w:p>
    <w:p w:rsidR="00333A7B" w:rsidRPr="001B2D8F" w:rsidRDefault="00333A7B" w:rsidP="00333A7B">
      <w:pPr>
        <w:jc w:val="both"/>
        <w:rPr>
          <w:rFonts w:asciiTheme="majorBidi" w:hAnsiTheme="majorBidi" w:cstheme="majorBidi"/>
          <w:sz w:val="28"/>
          <w:szCs w:val="28"/>
          <w:rtl/>
        </w:rPr>
      </w:pPr>
      <w:r w:rsidRPr="001B2D8F">
        <w:rPr>
          <w:rFonts w:asciiTheme="majorBidi" w:hAnsiTheme="majorBidi" w:cstheme="majorBidi"/>
          <w:sz w:val="28"/>
          <w:szCs w:val="28"/>
          <w:rtl/>
        </w:rPr>
        <w:tab/>
        <w:t>•</w:t>
      </w:r>
      <w:r w:rsidRPr="001B2D8F">
        <w:rPr>
          <w:rFonts w:asciiTheme="majorBidi" w:hAnsiTheme="majorBidi" w:cstheme="majorBidi"/>
          <w:sz w:val="28"/>
          <w:szCs w:val="28"/>
          <w:rtl/>
        </w:rPr>
        <w:tab/>
        <w:t>المشاركة الفاعلة في صنع القرار.</w:t>
      </w:r>
    </w:p>
    <w:p w:rsidR="00333A7B" w:rsidRPr="001B2D8F" w:rsidRDefault="00333A7B" w:rsidP="00333A7B">
      <w:pPr>
        <w:jc w:val="both"/>
        <w:rPr>
          <w:rFonts w:asciiTheme="majorBidi" w:hAnsiTheme="majorBidi" w:cstheme="majorBidi"/>
          <w:sz w:val="28"/>
          <w:szCs w:val="28"/>
          <w:rtl/>
        </w:rPr>
      </w:pPr>
      <w:r w:rsidRPr="001B2D8F">
        <w:rPr>
          <w:rFonts w:asciiTheme="majorBidi" w:hAnsiTheme="majorBidi" w:cstheme="majorBidi"/>
          <w:sz w:val="28"/>
          <w:szCs w:val="28"/>
          <w:rtl/>
        </w:rPr>
        <w:tab/>
        <w:t>•</w:t>
      </w:r>
      <w:r w:rsidRPr="001B2D8F">
        <w:rPr>
          <w:rFonts w:asciiTheme="majorBidi" w:hAnsiTheme="majorBidi" w:cstheme="majorBidi"/>
          <w:sz w:val="28"/>
          <w:szCs w:val="28"/>
          <w:rtl/>
        </w:rPr>
        <w:tab/>
        <w:t>توفير سبل الانتصاف والوصول إلى العدالة.</w:t>
      </w:r>
    </w:p>
    <w:p w:rsidR="00333A7B" w:rsidRPr="001B2D8F" w:rsidRDefault="00333A7B" w:rsidP="00333A7B">
      <w:pPr>
        <w:jc w:val="both"/>
        <w:rPr>
          <w:rFonts w:asciiTheme="majorBidi" w:hAnsiTheme="majorBidi" w:cstheme="majorBidi"/>
          <w:sz w:val="28"/>
          <w:szCs w:val="28"/>
          <w:rtl/>
        </w:rPr>
      </w:pPr>
      <w:r w:rsidRPr="001B2D8F">
        <w:rPr>
          <w:rFonts w:asciiTheme="majorBidi" w:hAnsiTheme="majorBidi" w:cstheme="majorBidi"/>
          <w:sz w:val="28"/>
          <w:szCs w:val="28"/>
          <w:rtl/>
        </w:rPr>
        <w:tab/>
        <w:t>•</w:t>
      </w:r>
      <w:r w:rsidRPr="001B2D8F">
        <w:rPr>
          <w:rFonts w:asciiTheme="majorBidi" w:hAnsiTheme="majorBidi" w:cstheme="majorBidi"/>
          <w:sz w:val="28"/>
          <w:szCs w:val="28"/>
          <w:rtl/>
        </w:rPr>
        <w:tab/>
        <w:t>حماية حرية التعبير والتجمع السلمي باعتبارهما حقين مترابطين مع حرية تكوين الجمعيات.</w:t>
      </w:r>
    </w:p>
    <w:p w:rsidR="00333A7B" w:rsidRPr="001B2D8F" w:rsidRDefault="00333A7B" w:rsidP="00333A7B">
      <w:pPr>
        <w:jc w:val="both"/>
        <w:rPr>
          <w:rFonts w:asciiTheme="majorBidi" w:hAnsiTheme="majorBidi" w:cstheme="majorBidi"/>
          <w:b/>
          <w:bCs/>
          <w:sz w:val="28"/>
          <w:szCs w:val="28"/>
          <w:rtl/>
        </w:rPr>
      </w:pPr>
      <w:r w:rsidRPr="001B2D8F">
        <w:rPr>
          <w:rFonts w:asciiTheme="majorBidi" w:hAnsiTheme="majorBidi" w:cstheme="majorBidi"/>
          <w:b/>
          <w:bCs/>
          <w:sz w:val="28"/>
          <w:szCs w:val="28"/>
          <w:rtl/>
        </w:rPr>
        <w:t>ثالثاً: ارتباط مشروع التعليق العام بالتزامات العراق الدولية</w:t>
      </w:r>
    </w:p>
    <w:p w:rsidR="00333A7B" w:rsidRPr="001B2D8F" w:rsidRDefault="00333A7B" w:rsidP="00333A7B">
      <w:pPr>
        <w:jc w:val="both"/>
        <w:rPr>
          <w:rFonts w:asciiTheme="majorBidi" w:hAnsiTheme="majorBidi" w:cstheme="majorBidi"/>
          <w:sz w:val="28"/>
          <w:szCs w:val="28"/>
          <w:rtl/>
        </w:rPr>
      </w:pPr>
      <w:r w:rsidRPr="001B2D8F">
        <w:rPr>
          <w:rFonts w:asciiTheme="majorBidi" w:hAnsiTheme="majorBidi" w:cstheme="majorBidi"/>
          <w:sz w:val="28"/>
          <w:szCs w:val="28"/>
          <w:rtl/>
        </w:rPr>
        <w:t>ترى المفوضية أن اعتماد التعليق العام رقم (38) سيوفر مرجعاً تفسيرياً مهماً للعراق بصفته دولة طرفاً في العهد الدولي الخاص بالحقوق المدنية والسياسية، وسيسهم في:</w:t>
      </w:r>
    </w:p>
    <w:p w:rsidR="00333A7B" w:rsidRPr="001B2D8F" w:rsidRDefault="00333A7B" w:rsidP="00333A7B">
      <w:pPr>
        <w:jc w:val="both"/>
        <w:rPr>
          <w:rFonts w:asciiTheme="majorBidi" w:hAnsiTheme="majorBidi" w:cstheme="majorBidi"/>
          <w:sz w:val="28"/>
          <w:szCs w:val="28"/>
          <w:rtl/>
        </w:rPr>
      </w:pPr>
      <w:r w:rsidRPr="001B2D8F">
        <w:rPr>
          <w:rFonts w:asciiTheme="majorBidi" w:hAnsiTheme="majorBidi" w:cstheme="majorBidi"/>
          <w:sz w:val="28"/>
          <w:szCs w:val="28"/>
          <w:rtl/>
        </w:rPr>
        <w:t>•</w:t>
      </w:r>
      <w:r w:rsidRPr="001B2D8F">
        <w:rPr>
          <w:rFonts w:asciiTheme="majorBidi" w:hAnsiTheme="majorBidi" w:cstheme="majorBidi"/>
          <w:sz w:val="28"/>
          <w:szCs w:val="28"/>
          <w:rtl/>
        </w:rPr>
        <w:tab/>
        <w:t>تطوير الإطار التشريعي المنظم لعمل منظمات المجتمع المدني.</w:t>
      </w:r>
    </w:p>
    <w:p w:rsidR="00333A7B" w:rsidRPr="001B2D8F" w:rsidRDefault="00333A7B" w:rsidP="00333A7B">
      <w:pPr>
        <w:jc w:val="both"/>
        <w:rPr>
          <w:rFonts w:asciiTheme="majorBidi" w:hAnsiTheme="majorBidi" w:cstheme="majorBidi"/>
          <w:sz w:val="28"/>
          <w:szCs w:val="28"/>
          <w:rtl/>
        </w:rPr>
      </w:pPr>
      <w:r w:rsidRPr="001B2D8F">
        <w:rPr>
          <w:rFonts w:asciiTheme="majorBidi" w:hAnsiTheme="majorBidi" w:cstheme="majorBidi"/>
          <w:sz w:val="28"/>
          <w:szCs w:val="28"/>
          <w:rtl/>
        </w:rPr>
        <w:t>•</w:t>
      </w:r>
      <w:r w:rsidRPr="001B2D8F">
        <w:rPr>
          <w:rFonts w:asciiTheme="majorBidi" w:hAnsiTheme="majorBidi" w:cstheme="majorBidi"/>
          <w:sz w:val="28"/>
          <w:szCs w:val="28"/>
          <w:rtl/>
        </w:rPr>
        <w:tab/>
        <w:t>تعزيز حماية المدافعين عن حقوق الإنسان.</w:t>
      </w:r>
    </w:p>
    <w:p w:rsidR="00333A7B" w:rsidRPr="001B2D8F" w:rsidRDefault="00333A7B" w:rsidP="00333A7B">
      <w:pPr>
        <w:jc w:val="both"/>
        <w:rPr>
          <w:rFonts w:asciiTheme="majorBidi" w:hAnsiTheme="majorBidi" w:cstheme="majorBidi"/>
          <w:sz w:val="28"/>
          <w:szCs w:val="28"/>
          <w:rtl/>
        </w:rPr>
      </w:pPr>
      <w:r w:rsidRPr="001B2D8F">
        <w:rPr>
          <w:rFonts w:asciiTheme="majorBidi" w:hAnsiTheme="majorBidi" w:cstheme="majorBidi"/>
          <w:sz w:val="28"/>
          <w:szCs w:val="28"/>
          <w:rtl/>
        </w:rPr>
        <w:t>•</w:t>
      </w:r>
      <w:r w:rsidRPr="001B2D8F">
        <w:rPr>
          <w:rFonts w:asciiTheme="majorBidi" w:hAnsiTheme="majorBidi" w:cstheme="majorBidi"/>
          <w:sz w:val="28"/>
          <w:szCs w:val="28"/>
          <w:rtl/>
        </w:rPr>
        <w:tab/>
        <w:t>دعم تنفيذ التوصيات الصادرة عن آليات الأمم المتحدة لحقوق الإنسان.</w:t>
      </w:r>
    </w:p>
    <w:p w:rsidR="00333A7B" w:rsidRPr="001B2D8F" w:rsidRDefault="00333A7B" w:rsidP="00333A7B">
      <w:pPr>
        <w:jc w:val="both"/>
        <w:rPr>
          <w:rFonts w:asciiTheme="majorBidi" w:hAnsiTheme="majorBidi" w:cstheme="majorBidi"/>
          <w:sz w:val="28"/>
          <w:szCs w:val="28"/>
          <w:rtl/>
        </w:rPr>
      </w:pPr>
      <w:r w:rsidRPr="001B2D8F">
        <w:rPr>
          <w:rFonts w:asciiTheme="majorBidi" w:hAnsiTheme="majorBidi" w:cstheme="majorBidi"/>
          <w:sz w:val="28"/>
          <w:szCs w:val="28"/>
          <w:rtl/>
        </w:rPr>
        <w:t>•</w:t>
      </w:r>
      <w:r w:rsidRPr="001B2D8F">
        <w:rPr>
          <w:rFonts w:asciiTheme="majorBidi" w:hAnsiTheme="majorBidi" w:cstheme="majorBidi"/>
          <w:sz w:val="28"/>
          <w:szCs w:val="28"/>
          <w:rtl/>
        </w:rPr>
        <w:tab/>
        <w:t>تعزيز تنفيذ التزامات العراق في إطار مجلس حقوق الإنسان والاستعراض الدوري الشامل.</w:t>
      </w:r>
    </w:p>
    <w:p w:rsidR="00333A7B" w:rsidRPr="001B2D8F" w:rsidRDefault="00333A7B" w:rsidP="00333A7B">
      <w:pPr>
        <w:jc w:val="both"/>
        <w:rPr>
          <w:rFonts w:asciiTheme="majorBidi" w:hAnsiTheme="majorBidi" w:cstheme="majorBidi"/>
          <w:sz w:val="28"/>
          <w:szCs w:val="28"/>
          <w:rtl/>
        </w:rPr>
      </w:pPr>
      <w:r w:rsidRPr="001B2D8F">
        <w:rPr>
          <w:rFonts w:asciiTheme="majorBidi" w:hAnsiTheme="majorBidi" w:cstheme="majorBidi"/>
          <w:sz w:val="28"/>
          <w:szCs w:val="28"/>
          <w:rtl/>
        </w:rPr>
        <w:t>•</w:t>
      </w:r>
      <w:r w:rsidRPr="001B2D8F">
        <w:rPr>
          <w:rFonts w:asciiTheme="majorBidi" w:hAnsiTheme="majorBidi" w:cstheme="majorBidi"/>
          <w:sz w:val="28"/>
          <w:szCs w:val="28"/>
          <w:rtl/>
        </w:rPr>
        <w:tab/>
        <w:t>دعم بناء بيئة قانونية ومؤسسية أكثر مواءمة لمبادئ حقوق الإنسان.</w:t>
      </w:r>
    </w:p>
    <w:p w:rsidR="00333A7B" w:rsidRPr="001B2D8F" w:rsidRDefault="00333A7B" w:rsidP="00333A7B">
      <w:pPr>
        <w:jc w:val="both"/>
        <w:rPr>
          <w:rFonts w:asciiTheme="majorBidi" w:hAnsiTheme="majorBidi" w:cstheme="majorBidi"/>
          <w:sz w:val="28"/>
          <w:szCs w:val="28"/>
        </w:rPr>
      </w:pPr>
      <w:r w:rsidRPr="001B2D8F">
        <w:rPr>
          <w:rFonts w:asciiTheme="majorBidi" w:hAnsiTheme="majorBidi" w:cstheme="majorBidi"/>
          <w:sz w:val="28"/>
          <w:szCs w:val="28"/>
          <w:rtl/>
        </w:rPr>
        <w:t>وترحب المفوضية العليا لحقوق الإنسان في جمهورية العراق بمشروع التعليق العام رقم (٣٨)، وتؤكد أنه يمثل خطوة مهمة نحو تعزيز الحماية الدولية للحق في حرية تكوين الجمعيات. كما تؤكد أهمية أخذ آراء وملاحظات المؤسسات الوطنية لحقوق الإنسان ومنظمات المجتمع المدني بعين الاعتبار عند اعتماد الصيغة النهائية للتعليق العام، بما يسهم في توفير حماية أشمل للفضاء المدني وتعزيز المشاركة الديمقراطية وسيادة القانون</w:t>
      </w:r>
    </w:p>
    <w:sectPr w:rsidR="00333A7B" w:rsidRPr="001B2D8F" w:rsidSect="00223B7A">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9" w:footer="709"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F0D42" w:rsidRDefault="005F0D42" w:rsidP="00223B7A">
      <w:pPr>
        <w:spacing w:after="0" w:line="240" w:lineRule="auto"/>
      </w:pPr>
      <w:r>
        <w:separator/>
      </w:r>
    </w:p>
  </w:endnote>
  <w:endnote w:type="continuationSeparator" w:id="0">
    <w:p w:rsidR="005F0D42" w:rsidRDefault="005F0D42" w:rsidP="00223B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0C19" w:rsidRDefault="00C30C1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val="0"/>
        <w:rtl/>
      </w:rPr>
      <w:id w:val="-488787682"/>
      <w:docPartObj>
        <w:docPartGallery w:val="Page Numbers (Bottom of Page)"/>
        <w:docPartUnique/>
      </w:docPartObj>
    </w:sdtPr>
    <w:sdtEndPr>
      <w:rPr>
        <w:noProof/>
      </w:rPr>
    </w:sdtEndPr>
    <w:sdtContent>
      <w:p w:rsidR="00223B7A" w:rsidRDefault="00223B7A">
        <w:pPr>
          <w:pStyle w:val="Footer"/>
          <w:jc w:val="center"/>
        </w:pPr>
        <w:r>
          <w:rPr>
            <w:noProof w:val="0"/>
          </w:rPr>
          <w:fldChar w:fldCharType="begin"/>
        </w:r>
        <w:r>
          <w:instrText xml:space="preserve"> PAGE   \* MERGEFORMAT </w:instrText>
        </w:r>
        <w:r>
          <w:rPr>
            <w:noProof w:val="0"/>
          </w:rPr>
          <w:fldChar w:fldCharType="separate"/>
        </w:r>
        <w:r w:rsidR="001B2D8F">
          <w:rPr>
            <w:rtl/>
          </w:rPr>
          <w:t>1</w:t>
        </w:r>
        <w:r>
          <w:fldChar w:fldCharType="end"/>
        </w:r>
      </w:p>
    </w:sdtContent>
  </w:sdt>
  <w:p w:rsidR="00223B7A" w:rsidRDefault="00223B7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0C19" w:rsidRDefault="00C30C1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F0D42" w:rsidRDefault="005F0D42" w:rsidP="00223B7A">
      <w:pPr>
        <w:spacing w:after="0" w:line="240" w:lineRule="auto"/>
      </w:pPr>
      <w:r>
        <w:separator/>
      </w:r>
    </w:p>
  </w:footnote>
  <w:footnote w:type="continuationSeparator" w:id="0">
    <w:p w:rsidR="005F0D42" w:rsidRDefault="005F0D42" w:rsidP="00223B7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0C19" w:rsidRDefault="00C30C19">
    <w:pPr>
      <w:pStyle w:val="Head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99938438" o:spid="_x0000_s2050" type="#_x0000_t75" style="position:absolute;left:0;text-align:left;margin-left:0;margin-top:0;width:450.7pt;height:450.7pt;z-index:-251657216;mso-position-horizontal:center;mso-position-horizontal-relative:margin;mso-position-vertical:center;mso-position-vertical-relative:margin" o:allowincell="f">
          <v:imagedata r:id="rId1" o:title="54371135_393496587871955_3761291148178489344_n" gain="19661f" blacklevel="22938f"/>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0C19" w:rsidRDefault="00C30C19">
    <w:pPr>
      <w:pStyle w:val="Head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99938439" o:spid="_x0000_s2051" type="#_x0000_t75" style="position:absolute;left:0;text-align:left;margin-left:0;margin-top:0;width:450.7pt;height:450.7pt;z-index:-251656192;mso-position-horizontal:center;mso-position-horizontal-relative:margin;mso-position-vertical:center;mso-position-vertical-relative:margin" o:allowincell="f">
          <v:imagedata r:id="rId1" o:title="54371135_393496587871955_3761291148178489344_n" gain="19661f" blacklevel="22938f"/>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0C19" w:rsidRDefault="00C30C19">
    <w:pPr>
      <w:pStyle w:val="Head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99938437" o:spid="_x0000_s2049" type="#_x0000_t75" style="position:absolute;left:0;text-align:left;margin-left:0;margin-top:0;width:450.7pt;height:450.7pt;z-index:-251658240;mso-position-horizontal:center;mso-position-horizontal-relative:margin;mso-position-vertical:center;mso-position-vertical-relative:margin" o:allowincell="f">
          <v:imagedata r:id="rId1" o:title="54371135_393496587871955_3761291148178489344_n" gain="19661f" blacklevel="22938f"/>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F5462A"/>
    <w:multiLevelType w:val="hybridMultilevel"/>
    <w:tmpl w:val="E406680A"/>
    <w:lvl w:ilvl="0" w:tplc="51C67C5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23158F"/>
    <w:multiLevelType w:val="multilevel"/>
    <w:tmpl w:val="9642F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6C857A2"/>
    <w:multiLevelType w:val="multilevel"/>
    <w:tmpl w:val="5E7E8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4BF1DD5"/>
    <w:multiLevelType w:val="multilevel"/>
    <w:tmpl w:val="75C6B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66F2E3C"/>
    <w:multiLevelType w:val="hybridMultilevel"/>
    <w:tmpl w:val="602280B6"/>
    <w:lvl w:ilvl="0" w:tplc="51C67C5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3A7B"/>
    <w:rsid w:val="000B4750"/>
    <w:rsid w:val="001006C5"/>
    <w:rsid w:val="001B2D8F"/>
    <w:rsid w:val="001B6131"/>
    <w:rsid w:val="00223B7A"/>
    <w:rsid w:val="002368A7"/>
    <w:rsid w:val="00244753"/>
    <w:rsid w:val="00333A7B"/>
    <w:rsid w:val="00413698"/>
    <w:rsid w:val="005301FC"/>
    <w:rsid w:val="00555CD7"/>
    <w:rsid w:val="005F0D42"/>
    <w:rsid w:val="006E06B0"/>
    <w:rsid w:val="00724E60"/>
    <w:rsid w:val="00730CA7"/>
    <w:rsid w:val="007D4932"/>
    <w:rsid w:val="008B7A18"/>
    <w:rsid w:val="00917981"/>
    <w:rsid w:val="00932650"/>
    <w:rsid w:val="00957951"/>
    <w:rsid w:val="009A3607"/>
    <w:rsid w:val="009A3D3B"/>
    <w:rsid w:val="009C057E"/>
    <w:rsid w:val="00A221CE"/>
    <w:rsid w:val="00A40EEF"/>
    <w:rsid w:val="00A47507"/>
    <w:rsid w:val="00AE3141"/>
    <w:rsid w:val="00B30814"/>
    <w:rsid w:val="00C30C19"/>
    <w:rsid w:val="00C32824"/>
    <w:rsid w:val="00C7013D"/>
    <w:rsid w:val="00C93E4C"/>
    <w:rsid w:val="00CE1096"/>
    <w:rsid w:val="00D462B6"/>
    <w:rsid w:val="00DE429F"/>
    <w:rsid w:val="00E673F9"/>
    <w:rsid w:val="00F50F5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docId w15:val="{A2E38AE7-7C8F-460C-B9AD-F61029DBB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rPr>
      <w:noProof/>
    </w:rPr>
  </w:style>
  <w:style w:type="paragraph" w:styleId="Heading3">
    <w:name w:val="heading 3"/>
    <w:basedOn w:val="Normal"/>
    <w:link w:val="Heading3Char"/>
    <w:uiPriority w:val="9"/>
    <w:qFormat/>
    <w:rsid w:val="00223B7A"/>
    <w:pPr>
      <w:bidi w:val="0"/>
      <w:spacing w:before="100" w:beforeAutospacing="1" w:after="100" w:afterAutospacing="1" w:line="240" w:lineRule="auto"/>
      <w:outlineLvl w:val="2"/>
    </w:pPr>
    <w:rPr>
      <w:rFonts w:ascii="Times New Roman" w:eastAsia="Times New Roman" w:hAnsi="Times New Roman" w:cs="Times New Roman"/>
      <w:b/>
      <w:bCs/>
      <w:noProof w:val="0"/>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23B7A"/>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223B7A"/>
    <w:pPr>
      <w:bidi w:val="0"/>
      <w:spacing w:before="100" w:beforeAutospacing="1" w:after="100" w:afterAutospacing="1" w:line="240" w:lineRule="auto"/>
    </w:pPr>
    <w:rPr>
      <w:rFonts w:ascii="Times New Roman" w:eastAsia="Times New Roman" w:hAnsi="Times New Roman" w:cs="Times New Roman"/>
      <w:noProof w:val="0"/>
      <w:sz w:val="24"/>
      <w:szCs w:val="24"/>
    </w:rPr>
  </w:style>
  <w:style w:type="character" w:styleId="Strong">
    <w:name w:val="Strong"/>
    <w:basedOn w:val="DefaultParagraphFont"/>
    <w:uiPriority w:val="22"/>
    <w:qFormat/>
    <w:rsid w:val="00223B7A"/>
    <w:rPr>
      <w:b/>
      <w:bCs/>
    </w:rPr>
  </w:style>
  <w:style w:type="paragraph" w:styleId="Header">
    <w:name w:val="header"/>
    <w:basedOn w:val="Normal"/>
    <w:link w:val="HeaderChar"/>
    <w:uiPriority w:val="99"/>
    <w:unhideWhenUsed/>
    <w:rsid w:val="00223B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3B7A"/>
    <w:rPr>
      <w:noProof/>
    </w:rPr>
  </w:style>
  <w:style w:type="paragraph" w:styleId="Footer">
    <w:name w:val="footer"/>
    <w:basedOn w:val="Normal"/>
    <w:link w:val="FooterChar"/>
    <w:uiPriority w:val="99"/>
    <w:unhideWhenUsed/>
    <w:rsid w:val="00223B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3B7A"/>
    <w:rPr>
      <w:noProof/>
    </w:rPr>
  </w:style>
  <w:style w:type="paragraph" w:styleId="ListParagraph">
    <w:name w:val="List Paragraph"/>
    <w:basedOn w:val="Normal"/>
    <w:uiPriority w:val="34"/>
    <w:qFormat/>
    <w:rsid w:val="00724E6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2771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5AB59289BFBAB4F9FD152C776C60BDD" ma:contentTypeVersion="18" ma:contentTypeDescription="Create a new document." ma:contentTypeScope="" ma:versionID="4f54f9f6a248e739f6b91f81e69a9bd9">
  <xsd:schema xmlns:xsd="http://www.w3.org/2001/XMLSchema" xmlns:xs="http://www.w3.org/2001/XMLSchema" xmlns:p="http://schemas.microsoft.com/office/2006/metadata/properties" xmlns:ns2="fa1020ff-48ad-4b90-98f4-7161a6f3b630" xmlns:ns3="985ec44e-1bab-4c0b-9df0-6ba128686fc9" xmlns:ns4="9c2e4527-2efa-4ade-b3d6-b2418af14986" targetNamespace="http://schemas.microsoft.com/office/2006/metadata/properties" ma:root="true" ma:fieldsID="79423660998357a52f4663bb061a1f51" ns2:_="" ns3:_="" ns4:_="">
    <xsd:import namespace="fa1020ff-48ad-4b90-98f4-7161a6f3b630"/>
    <xsd:import namespace="985ec44e-1bab-4c0b-9df0-6ba128686fc9"/>
    <xsd:import namespace="9c2e4527-2efa-4ade-b3d6-b2418af149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4:SharedWithUsers" minOccurs="0"/>
                <xsd:element ref="ns4:SharedWithDetails" minOccurs="0"/>
                <xsd:element ref="ns2:Emailsubject" minOccurs="0"/>
                <xsd:element ref="ns2:Sentby"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1020ff-48ad-4b90-98f4-7161a6f3b6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Emailsubject" ma:index="23" nillable="true" ma:displayName="Email subject" ma:format="Dropdown" ma:internalName="Emailsubject">
      <xsd:simpleType>
        <xsd:restriction base="dms:Note">
          <xsd:maxLength value="255"/>
        </xsd:restriction>
      </xsd:simpleType>
    </xsd:element>
    <xsd:element name="Sentby" ma:index="24" nillable="true" ma:displayName="Sent by" ma:format="Dropdown" ma:list="UserInfo" ma:SharePointGroup="0" ma:internalName="Sent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Original file 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fa1020ff-48ad-4b90-98f4-7161a6f3b630">
      <Terms xmlns="http://schemas.microsoft.com/office/infopath/2007/PartnerControls"/>
    </lcf76f155ced4ddcb4097134ff3c332f>
    <Emailsubject xmlns="fa1020ff-48ad-4b90-98f4-7161a6f3b630" xsi:nil="true"/>
    <Sentby xmlns="fa1020ff-48ad-4b90-98f4-7161a6f3b630">
      <UserInfo>
        <DisplayName/>
        <AccountId xsi:nil="true"/>
        <AccountType/>
      </UserInfo>
    </Sentby>
  </documentManagement>
</p:properties>
</file>

<file path=customXml/itemProps1.xml><?xml version="1.0" encoding="utf-8"?>
<ds:datastoreItem xmlns:ds="http://schemas.openxmlformats.org/officeDocument/2006/customXml" ds:itemID="{74C74679-E4A9-4078-B69D-719FDC9BED59}"/>
</file>

<file path=customXml/itemProps2.xml><?xml version="1.0" encoding="utf-8"?>
<ds:datastoreItem xmlns:ds="http://schemas.openxmlformats.org/officeDocument/2006/customXml" ds:itemID="{D6B9A6C2-9FF1-4C86-A27D-D0D388222CD4}"/>
</file>

<file path=customXml/itemProps3.xml><?xml version="1.0" encoding="utf-8"?>
<ds:datastoreItem xmlns:ds="http://schemas.openxmlformats.org/officeDocument/2006/customXml" ds:itemID="{B04D434F-90FC-483B-8AC7-DDC2CB229416}"/>
</file>

<file path=docProps/app.xml><?xml version="1.0" encoding="utf-8"?>
<Properties xmlns="http://schemas.openxmlformats.org/officeDocument/2006/extended-properties" xmlns:vt="http://schemas.openxmlformats.org/officeDocument/2006/docPropsVTypes">
  <Template>Normal</Template>
  <TotalTime>120</TotalTime>
  <Pages>7</Pages>
  <Words>1653</Words>
  <Characters>9428</Characters>
  <Application>Microsoft Office Word</Application>
  <DocSecurity>0</DocSecurity>
  <Lines>78</Lines>
  <Paragraphs>22</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11059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dc:creator>
  <cp:lastModifiedBy>Microsoft account</cp:lastModifiedBy>
  <cp:revision>6</cp:revision>
  <dcterms:created xsi:type="dcterms:W3CDTF">2026-06-17T07:18:00Z</dcterms:created>
  <dcterms:modified xsi:type="dcterms:W3CDTF">2026-06-22T05:38:00Z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0x010100F5AB59289BFBAB4F9FD152C776C60BDD</vt:lpwstr>
  </property>
  <property fmtid="{D5CDD505-2E9C-101B-9397-08002B2CF9AE}" pid="3" name="MediaServiceImageTags">
    <vt:lpwstr/>
  </property>
</Properties>
</file>