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8A157" w14:textId="77777777" w:rsidR="00D5100C" w:rsidRPr="00D5100C" w:rsidRDefault="00D5100C" w:rsidP="00D5100C"/>
    <w:p w14:paraId="0EB250CA" w14:textId="77777777" w:rsidR="00D5100C" w:rsidRPr="00D5100C" w:rsidRDefault="00D5100C" w:rsidP="00D5100C">
      <w:pPr>
        <w:rPr>
          <w:lang w:val="en-US"/>
        </w:rPr>
      </w:pPr>
      <w:r w:rsidRPr="00D5100C">
        <w:rPr>
          <w:lang w:val="en-US"/>
        </w:rPr>
        <w:t> </w:t>
      </w:r>
    </w:p>
    <w:p w14:paraId="69D2021D" w14:textId="77777777" w:rsidR="00D5100C" w:rsidRPr="00D5100C" w:rsidRDefault="00D5100C" w:rsidP="00D5100C">
      <w:pPr>
        <w:rPr>
          <w:lang w:val="en-US"/>
        </w:rPr>
      </w:pPr>
      <w:r w:rsidRPr="00D5100C">
        <w:rPr>
          <w:b/>
          <w:bCs/>
          <w:lang w:val="en-US"/>
        </w:rPr>
        <w:t>The Norwegian NHRI thanks the Human Rights Committee for the opportunity to comment on draft General Comment No. 38. </w:t>
      </w:r>
    </w:p>
    <w:p w14:paraId="38A7FD3C" w14:textId="77777777" w:rsidR="00D5100C" w:rsidRPr="00D5100C" w:rsidRDefault="00D5100C" w:rsidP="00D5100C">
      <w:pPr>
        <w:rPr>
          <w:lang w:val="en-US"/>
        </w:rPr>
      </w:pPr>
      <w:r w:rsidRPr="00D5100C">
        <w:rPr>
          <w:lang w:val="en-US"/>
        </w:rPr>
        <w:t> </w:t>
      </w:r>
    </w:p>
    <w:p w14:paraId="1FAAB373" w14:textId="77777777" w:rsidR="00D5100C" w:rsidRPr="00D5100C" w:rsidRDefault="00D5100C" w:rsidP="00D5100C">
      <w:pPr>
        <w:rPr>
          <w:lang w:val="en-US"/>
        </w:rPr>
      </w:pPr>
      <w:r w:rsidRPr="00D5100C">
        <w:rPr>
          <w:b/>
          <w:bCs/>
          <w:lang w:val="en-US"/>
        </w:rPr>
        <w:t xml:space="preserve">Para 17 states that "organizations covered by article 22 must be distinguished from groups of individuals who carry out lobbying activities, which are different from public and political </w:t>
      </w:r>
      <w:proofErr w:type="gramStart"/>
      <w:r w:rsidRPr="00D5100C">
        <w:rPr>
          <w:b/>
          <w:bCs/>
          <w:lang w:val="en-US"/>
        </w:rPr>
        <w:t>participation.»</w:t>
      </w:r>
      <w:proofErr w:type="gramEnd"/>
      <w:r w:rsidRPr="00D5100C">
        <w:rPr>
          <w:b/>
          <w:bCs/>
          <w:lang w:val="en-US"/>
        </w:rPr>
        <w:t xml:space="preserve"> The Norwegian NHRI questions whether this distinction can be drawn in a meaningful way. It is hard to separate an activist group, lobbying for a political case, from a lobbying group, doing </w:t>
      </w:r>
      <w:proofErr w:type="gramStart"/>
      <w:r w:rsidRPr="00D5100C">
        <w:rPr>
          <w:b/>
          <w:bCs/>
          <w:lang w:val="en-US"/>
        </w:rPr>
        <w:t>more or less the</w:t>
      </w:r>
      <w:proofErr w:type="gramEnd"/>
      <w:r w:rsidRPr="00D5100C">
        <w:rPr>
          <w:b/>
          <w:bCs/>
          <w:lang w:val="en-US"/>
        </w:rPr>
        <w:t xml:space="preserve"> same. It could moreover </w:t>
      </w:r>
      <w:proofErr w:type="gramStart"/>
      <w:r w:rsidRPr="00D5100C">
        <w:rPr>
          <w:b/>
          <w:bCs/>
          <w:lang w:val="en-US"/>
        </w:rPr>
        <w:t>incite</w:t>
      </w:r>
      <w:proofErr w:type="gramEnd"/>
      <w:r w:rsidRPr="00D5100C">
        <w:rPr>
          <w:b/>
          <w:bCs/>
          <w:lang w:val="en-US"/>
        </w:rPr>
        <w:t xml:space="preserve"> authorities to label political activists as lobbyists. It would also mean that openness about lobbying groups, such as lobby registers, could be undermined. </w:t>
      </w:r>
    </w:p>
    <w:p w14:paraId="72B315A5" w14:textId="77777777" w:rsidR="00D5100C" w:rsidRPr="00D5100C" w:rsidRDefault="00D5100C" w:rsidP="00D5100C">
      <w:pPr>
        <w:rPr>
          <w:lang w:val="en-US"/>
        </w:rPr>
      </w:pPr>
      <w:r w:rsidRPr="00D5100C">
        <w:rPr>
          <w:lang w:val="en-US"/>
        </w:rPr>
        <w:t> </w:t>
      </w:r>
    </w:p>
    <w:p w14:paraId="5B525719" w14:textId="77777777" w:rsidR="00D5100C" w:rsidRPr="00D5100C" w:rsidRDefault="00D5100C" w:rsidP="00D5100C">
      <w:pPr>
        <w:rPr>
          <w:lang w:val="en-US"/>
        </w:rPr>
      </w:pPr>
      <w:r w:rsidRPr="00D5100C">
        <w:rPr>
          <w:b/>
          <w:bCs/>
          <w:lang w:val="en-US"/>
        </w:rPr>
        <w:t xml:space="preserve">Part III needs to be updated </w:t>
      </w:r>
      <w:proofErr w:type="gramStart"/>
      <w:r w:rsidRPr="00D5100C">
        <w:rPr>
          <w:b/>
          <w:bCs/>
          <w:lang w:val="en-US"/>
        </w:rPr>
        <w:t>with regard to</w:t>
      </w:r>
      <w:proofErr w:type="gramEnd"/>
      <w:r w:rsidRPr="00D5100C">
        <w:rPr>
          <w:b/>
          <w:bCs/>
          <w:lang w:val="en-US"/>
        </w:rPr>
        <w:t xml:space="preserve"> the latest ICJ Advisory Opinion on ILO Convention 87.</w:t>
      </w:r>
    </w:p>
    <w:p w14:paraId="00E4332D" w14:textId="77777777" w:rsidR="00D5100C" w:rsidRPr="00D5100C" w:rsidRDefault="00D5100C" w:rsidP="00D5100C">
      <w:pPr>
        <w:rPr>
          <w:lang w:val="en-US"/>
        </w:rPr>
      </w:pPr>
      <w:r w:rsidRPr="00D5100C">
        <w:rPr>
          <w:lang w:val="en-US"/>
        </w:rPr>
        <w:t> </w:t>
      </w:r>
    </w:p>
    <w:p w14:paraId="4D8BF7B3" w14:textId="77777777" w:rsidR="00D5100C" w:rsidRPr="00D5100C" w:rsidRDefault="00D5100C" w:rsidP="00D5100C">
      <w:pPr>
        <w:rPr>
          <w:lang w:val="en-US"/>
        </w:rPr>
      </w:pPr>
      <w:r w:rsidRPr="00D5100C">
        <w:rPr>
          <w:b/>
          <w:bCs/>
          <w:lang w:val="en-US"/>
        </w:rPr>
        <w:t>The Norwegian NHRI questions whether para 31 is necessary. </w:t>
      </w:r>
    </w:p>
    <w:p w14:paraId="0DAA6A45" w14:textId="77777777" w:rsidR="00D5100C" w:rsidRPr="00D5100C" w:rsidRDefault="00D5100C" w:rsidP="00D5100C">
      <w:pPr>
        <w:rPr>
          <w:lang w:val="en-US"/>
        </w:rPr>
      </w:pPr>
      <w:r w:rsidRPr="00D5100C">
        <w:rPr>
          <w:lang w:val="en-US"/>
        </w:rPr>
        <w:t> </w:t>
      </w:r>
    </w:p>
    <w:p w14:paraId="5DBB88A5" w14:textId="003D84EE" w:rsidR="00D5100C" w:rsidRPr="00D5100C" w:rsidRDefault="00D5100C" w:rsidP="00D5100C">
      <w:pPr>
        <w:rPr>
          <w:lang w:val="en-US"/>
        </w:rPr>
      </w:pPr>
      <w:r w:rsidRPr="00D5100C">
        <w:rPr>
          <w:b/>
          <w:bCs/>
          <w:lang w:val="en-US"/>
        </w:rPr>
        <w:t xml:space="preserve">Regarding para 32, we think the wording could be more </w:t>
      </w:r>
      <w:r w:rsidR="00D22EF8" w:rsidRPr="00D5100C">
        <w:rPr>
          <w:b/>
          <w:bCs/>
          <w:lang w:val="en-US"/>
        </w:rPr>
        <w:t>precise</w:t>
      </w:r>
      <w:r w:rsidR="00D22EF8">
        <w:rPr>
          <w:b/>
          <w:bCs/>
          <w:lang w:val="en-US"/>
        </w:rPr>
        <w:t xml:space="preserve">, </w:t>
      </w:r>
      <w:r w:rsidR="00D22EF8" w:rsidRPr="00D5100C">
        <w:rPr>
          <w:b/>
          <w:bCs/>
          <w:lang w:val="en-US"/>
        </w:rPr>
        <w:t>for</w:t>
      </w:r>
      <w:r w:rsidRPr="00D5100C">
        <w:rPr>
          <w:b/>
          <w:bCs/>
          <w:lang w:val="en-US"/>
        </w:rPr>
        <w:t xml:space="preserve"> example </w:t>
      </w:r>
      <w:r w:rsidR="008545D6">
        <w:rPr>
          <w:b/>
          <w:bCs/>
          <w:lang w:val="en-US"/>
        </w:rPr>
        <w:t xml:space="preserve">by revising the first sentence to read as </w:t>
      </w:r>
      <w:r w:rsidR="00D22EF8">
        <w:rPr>
          <w:b/>
          <w:bCs/>
          <w:lang w:val="en-US"/>
        </w:rPr>
        <w:t>follows</w:t>
      </w:r>
      <w:r w:rsidR="00D22EF8" w:rsidRPr="00D5100C">
        <w:rPr>
          <w:b/>
          <w:bCs/>
          <w:lang w:val="en-US"/>
        </w:rPr>
        <w:t xml:space="preserve">: </w:t>
      </w:r>
      <w:r w:rsidRPr="00D5100C">
        <w:rPr>
          <w:b/>
          <w:bCs/>
          <w:lang w:val="en-US"/>
        </w:rPr>
        <w:t xml:space="preserve">As indicated above, in line with article 2 of the Covenant, the obligations to respect Covenant rights </w:t>
      </w:r>
      <w:r w:rsidR="008545D6">
        <w:rPr>
          <w:b/>
          <w:bCs/>
          <w:lang w:val="en-US"/>
        </w:rPr>
        <w:t>are</w:t>
      </w:r>
      <w:r w:rsidRPr="00D5100C">
        <w:rPr>
          <w:b/>
          <w:bCs/>
          <w:lang w:val="en-US"/>
        </w:rPr>
        <w:t>, as a point of departure, limited to a State Party’s territory. Nevertheless, when exercising jurisdiction or effective control outside its territory, a State Party can be held responsible for human rights violations, such as torturing…."</w:t>
      </w:r>
    </w:p>
    <w:p w14:paraId="7E7608E4" w14:textId="77777777" w:rsidR="00D5100C" w:rsidRPr="00D5100C" w:rsidRDefault="00D5100C" w:rsidP="00D5100C">
      <w:pPr>
        <w:rPr>
          <w:lang w:val="en-US"/>
        </w:rPr>
      </w:pPr>
      <w:r w:rsidRPr="00D5100C">
        <w:rPr>
          <w:lang w:val="en-US"/>
        </w:rPr>
        <w:t> </w:t>
      </w:r>
    </w:p>
    <w:p w14:paraId="114002B3" w14:textId="77777777" w:rsidR="00D5100C" w:rsidRPr="00D5100C" w:rsidRDefault="00D5100C" w:rsidP="00D5100C">
      <w:pPr>
        <w:rPr>
          <w:lang w:val="en-US"/>
        </w:rPr>
      </w:pPr>
      <w:r w:rsidRPr="00D5100C">
        <w:rPr>
          <w:b/>
          <w:bCs/>
          <w:lang w:val="en-US"/>
        </w:rPr>
        <w:t>The Norwegian NHRI would propose that the General Comment elaborates more in detail on the requirements that a restriction must be necessary in a democratic society. We thus propose that a new second sentence in para 50 of the draft, reads as follows:  In determining whether an interference is necessary in a democratic society, the adjective “necessary”, implies the existence of a “pressing social need”. Whether the refusal to register a political party or to prohibit such a party meet a “pressing social need,” the following points should be considered: (i) whether there was plausible evidence that the risk to democracy was sufficiently imminent; (ii) whether the leaders' acts and speeches taken into consideration in the case under review were imputable to the political party concerned; and (iii) whether the acts and speeches imputable to the political party formed a whole which gave a clear picture of a model of society conceived and advocated by the party which was incompatible with the concept of a “democratic society”.</w:t>
      </w:r>
    </w:p>
    <w:p w14:paraId="5A9A1B17" w14:textId="77777777" w:rsidR="00B96401" w:rsidRPr="00D5100C" w:rsidRDefault="00B96401">
      <w:pPr>
        <w:rPr>
          <w:lang w:val="en-US"/>
        </w:rPr>
      </w:pPr>
    </w:p>
    <w:sectPr w:rsidR="00B96401" w:rsidRPr="00D510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6339F" w14:textId="77777777" w:rsidR="00B64ADF" w:rsidRDefault="00B64ADF">
      <w:pPr>
        <w:spacing w:after="0" w:line="240" w:lineRule="auto"/>
      </w:pPr>
    </w:p>
  </w:endnote>
  <w:endnote w:type="continuationSeparator" w:id="0">
    <w:p w14:paraId="2E716C39" w14:textId="77777777" w:rsidR="00B64ADF" w:rsidRDefault="00B64A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A38F5" w14:textId="77777777" w:rsidR="00B64ADF" w:rsidRDefault="00B64ADF">
      <w:pPr>
        <w:spacing w:after="0" w:line="240" w:lineRule="auto"/>
      </w:pPr>
    </w:p>
  </w:footnote>
  <w:footnote w:type="continuationSeparator" w:id="0">
    <w:p w14:paraId="70FD0512" w14:textId="77777777" w:rsidR="00B64ADF" w:rsidRDefault="00B64AD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00C"/>
    <w:rsid w:val="006A0E82"/>
    <w:rsid w:val="00796A13"/>
    <w:rsid w:val="007B13CB"/>
    <w:rsid w:val="008545D6"/>
    <w:rsid w:val="00A06C89"/>
    <w:rsid w:val="00AB3F8D"/>
    <w:rsid w:val="00B64ADF"/>
    <w:rsid w:val="00B96401"/>
    <w:rsid w:val="00CA52D4"/>
    <w:rsid w:val="00D22EF8"/>
    <w:rsid w:val="00D5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0CA4B9"/>
  <w15:chartTrackingRefBased/>
  <w15:docId w15:val="{ADAC9A73-D997-40B5-A5F4-D536F5A8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10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0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0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0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0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0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0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0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0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0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0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0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0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0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0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0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0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0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0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0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0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10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0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0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0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0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0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0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00C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8545D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CA52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52D4"/>
  </w:style>
  <w:style w:type="paragraph" w:styleId="Footer">
    <w:name w:val="footer"/>
    <w:basedOn w:val="Normal"/>
    <w:link w:val="FooterChar"/>
    <w:uiPriority w:val="99"/>
    <w:semiHidden/>
    <w:unhideWhenUsed/>
    <w:rsid w:val="00CA52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52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fa1020ff-48ad-4b90-98f4-7161a6f3b630">
      <Terms xmlns="http://schemas.microsoft.com/office/infopath/2007/PartnerControls"/>
    </lcf76f155ced4ddcb4097134ff3c332f>
    <Emailsubject xmlns="fa1020ff-48ad-4b90-98f4-7161a6f3b630" xsi:nil="true"/>
    <Sentby xmlns="fa1020ff-48ad-4b90-98f4-7161a6f3b630">
      <UserInfo>
        <DisplayName/>
        <AccountId xsi:nil="true"/>
        <AccountType/>
      </UserInfo>
    </Sentb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8" ma:contentTypeDescription="Create a new document." ma:contentTypeScope="" ma:versionID="4f54f9f6a248e739f6b91f81e69a9bd9">
  <xsd:schema xmlns:xsd="http://www.w3.org/2001/XMLSchema" xmlns:xs="http://www.w3.org/2001/XMLSchema" xmlns:p="http://schemas.microsoft.com/office/2006/metadata/properties" xmlns:ns2="fa1020ff-48ad-4b90-98f4-7161a6f3b630" xmlns:ns3="985ec44e-1bab-4c0b-9df0-6ba128686fc9" xmlns:ns4="9c2e4527-2efa-4ade-b3d6-b2418af14986" targetNamespace="http://schemas.microsoft.com/office/2006/metadata/properties" ma:root="true" ma:fieldsID="79423660998357a52f4663bb061a1f51" ns2:_="" ns3:_="" ns4:_="">
    <xsd:import namespace="fa1020ff-48ad-4b90-98f4-7161a6f3b630"/>
    <xsd:import namespace="985ec44e-1bab-4c0b-9df0-6ba128686fc9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Emailsubject" minOccurs="0"/>
                <xsd:element ref="ns2:Sentby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mailsubject" ma:index="23" nillable="true" ma:displayName="Email subject" ma:format="Dropdown" ma:internalName="Emailsubject">
      <xsd:simpleType>
        <xsd:restriction base="dms:Note">
          <xsd:maxLength value="255"/>
        </xsd:restriction>
      </xsd:simpleType>
    </xsd:element>
    <xsd:element name="Sentby" ma:index="24" nillable="true" ma:displayName="Sent by" ma:format="Dropdown" ma:list="UserInfo" ma:SharePointGroup="0" ma:internalName="Sent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Original file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38A955-B5CA-4693-87A7-401AFE586DB1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11a6fe0c-d8de-4390-afb3-d9c7c54181f0"/>
    <ds:schemaRef ds:uri="b248d7e1-e1e1-4a8e-9310-749402edb8a9"/>
  </ds:schemaRefs>
</ds:datastoreItem>
</file>

<file path=customXml/itemProps2.xml><?xml version="1.0" encoding="utf-8"?>
<ds:datastoreItem xmlns:ds="http://schemas.openxmlformats.org/officeDocument/2006/customXml" ds:itemID="{80534AF2-1B23-4721-95EB-1DC0DFAFC1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0E2907-3E4D-436E-8828-CD75EC8017DE}"/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Petter Wille</dc:creator>
  <cp:keywords/>
  <dc:description/>
  <cp:lastModifiedBy>Cherry Balmaceda</cp:lastModifiedBy>
  <cp:revision>4</cp:revision>
  <dcterms:created xsi:type="dcterms:W3CDTF">2026-06-25T07:18:00Z</dcterms:created>
  <dcterms:modified xsi:type="dcterms:W3CDTF">2026-06-26T09:37:00Z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0x010100F5AB59289BFBAB4F9FD152C776C60BDD</vt:lpwstr>
  </property>
  <property fmtid="{D5CDD505-2E9C-101B-9397-08002B2CF9AE}" pid="3" name="MediaServiceImageTags">
    <vt:lpwstr/>
  </property>
</Properties>
</file>