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EA8775A" w14:textId="5B6D8012" w:rsidR="00AC0D6F" w:rsidRPr="00D90DFB" w:rsidRDefault="00D90DFB" w:rsidP="00D90DFB">
      <w:pPr>
        <w:spacing w:before="100" w:beforeAutospacing="1" w:after="100" w:afterAutospacing="1" w:line="240" w:lineRule="auto"/>
        <w:jc w:val="lowKashida"/>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Egypt</w:t>
      </w:r>
      <w:r w:rsidR="00AC0D6F" w:rsidRPr="00D90DFB">
        <w:rPr>
          <w:rFonts w:ascii="Times New Roman" w:eastAsia="Times New Roman" w:hAnsi="Times New Roman" w:cs="Times New Roman"/>
          <w:b/>
          <w:bCs/>
          <w:sz w:val="24"/>
          <w:szCs w:val="24"/>
        </w:rPr>
        <w:t xml:space="preserve"> National Council for Human Rights’ Contribution to the Draft General Comment No. 38 of the Human Rights Committee on Article 22 of the International Covenant on Civil and Political Rights</w:t>
      </w:r>
    </w:p>
    <w:p w14:paraId="034F9918" w14:textId="77777777" w:rsidR="000A35AF" w:rsidRPr="000A35AF" w:rsidRDefault="000A35AF" w:rsidP="000A35AF">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0A35AF">
        <w:rPr>
          <w:rFonts w:ascii="Times New Roman" w:eastAsia="Times New Roman" w:hAnsi="Times New Roman" w:cs="Times New Roman"/>
          <w:b/>
          <w:bCs/>
          <w:sz w:val="24"/>
          <w:szCs w:val="24"/>
        </w:rPr>
        <w:t>I. General Introduction</w:t>
      </w:r>
    </w:p>
    <w:p w14:paraId="1FB0EACA" w14:textId="77777777" w:rsidR="000A35AF" w:rsidRPr="000A35AF" w:rsidRDefault="000A35AF" w:rsidP="000A35AF">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0A35AF">
        <w:rPr>
          <w:rFonts w:ascii="Times New Roman" w:eastAsia="Times New Roman" w:hAnsi="Times New Roman" w:cs="Times New Roman"/>
          <w:sz w:val="24"/>
          <w:szCs w:val="24"/>
        </w:rPr>
        <w:t>The National Council for Human Rights (NCHR) welcomes the opportunity to submit comments on Draft General Comment No. 38 of the Human Rights Committee concerning Article 22 of the International Covenant on Civil and Political Rights (ICCPR), which guarantees the right to freedom of association. The Council considers the development of a dedicated General Comment on Article 22 to be both timely and important in light of the evolving legal, institutional, technological, and societal developments affecting civic space and the exercise of freedom of association across diverse national contexts. The General Comment provides an important opportunity to consolidate the Committee's jurisprudence, enhance legal certainty, and provide practical guidance to States Parties on the e</w:t>
      </w:r>
      <w:bookmarkStart w:id="0" w:name="_GoBack"/>
      <w:bookmarkEnd w:id="0"/>
      <w:r w:rsidRPr="000A35AF">
        <w:rPr>
          <w:rFonts w:ascii="Times New Roman" w:eastAsia="Times New Roman" w:hAnsi="Times New Roman" w:cs="Times New Roman"/>
          <w:sz w:val="24"/>
          <w:szCs w:val="24"/>
        </w:rPr>
        <w:t>ffective implementation of their obligations under the Covenant.</w:t>
      </w:r>
    </w:p>
    <w:p w14:paraId="612BFC48" w14:textId="77777777" w:rsidR="000A35AF" w:rsidRPr="000A35AF" w:rsidRDefault="000A35AF" w:rsidP="000A35AF">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0A35AF">
        <w:rPr>
          <w:rFonts w:ascii="Times New Roman" w:eastAsia="Times New Roman" w:hAnsi="Times New Roman" w:cs="Times New Roman"/>
          <w:sz w:val="24"/>
          <w:szCs w:val="24"/>
        </w:rPr>
        <w:t>The Council affirms that freedom of association is a fundamental human right that underpins democratic governance, pluralism, public participation, and the rule of law. It enables individuals and groups to pursue common objectives, express and advance their interests, participate in public life, and contribute to social, economic, cultural, and humanitarian development. The effective enjoyment of this right is closely interconnected with a range of other rights protected under the Covenant, including freedom of expression, freedom of peaceful assembly, participation in the conduct of public affairs, equality and non-discrimination, and the right to an effective remedy.</w:t>
      </w:r>
    </w:p>
    <w:p w14:paraId="6F7A5023" w14:textId="77777777" w:rsidR="000A35AF" w:rsidRPr="000A35AF" w:rsidRDefault="000A35AF" w:rsidP="000A35AF">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0A35AF">
        <w:rPr>
          <w:rFonts w:ascii="Times New Roman" w:eastAsia="Times New Roman" w:hAnsi="Times New Roman" w:cs="Times New Roman"/>
          <w:sz w:val="24"/>
          <w:szCs w:val="24"/>
        </w:rPr>
        <w:t>The Council welcomes the overall approach adopted in the Draft General Comment, particularly its recognition that the protection afforded by Article 22 extends throughout the entire life cycle of an association—from its establishment and acquisition of legal personality, through its operation, governance, and access to resources, to its suspension, dissolution, or voluntary termination. The Council also welcomes the attention given to the digital environment, labour rights, humanitarian action, and the particular challenges faced by groups that may experience disproportionate barriers to the effective exercise of the right to freedom of association.</w:t>
      </w:r>
    </w:p>
    <w:p w14:paraId="426143D4" w14:textId="77777777" w:rsidR="000A35AF" w:rsidRPr="000A35AF" w:rsidRDefault="000A35AF" w:rsidP="000A35AF">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0A35AF">
        <w:rPr>
          <w:rFonts w:ascii="Times New Roman" w:eastAsia="Times New Roman" w:hAnsi="Times New Roman" w:cs="Times New Roman"/>
          <w:sz w:val="24"/>
          <w:szCs w:val="24"/>
        </w:rPr>
        <w:t>The Council considers that the Draft General Comment provides a strong foundation for clarifying the scope and content of Article 22. The following observations are offered with a view to enhancing its clarity, coherence, and practical utility, while supporting a balanced interpretation that safeguards the effective enjoyment of the right to freedom of association and provides States Parties with clear guidance on implementing the Covenant in a manner consistent with its object and purpose.</w:t>
      </w:r>
    </w:p>
    <w:p w14:paraId="5F8E5E2B" w14:textId="77777777" w:rsidR="00AC0D6F" w:rsidRPr="00D90DFB" w:rsidRDefault="00AC0D6F" w:rsidP="00D90DFB">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D90DFB">
        <w:rPr>
          <w:rFonts w:ascii="Times New Roman" w:eastAsia="Times New Roman" w:hAnsi="Times New Roman" w:cs="Times New Roman"/>
          <w:b/>
          <w:bCs/>
          <w:sz w:val="24"/>
          <w:szCs w:val="24"/>
        </w:rPr>
        <w:t>II. General Observations on the Methodology of the Draft General Comment</w:t>
      </w:r>
    </w:p>
    <w:p w14:paraId="73BF7102" w14:textId="14549F02" w:rsidR="00AC0D6F" w:rsidRPr="00D90DFB" w:rsidRDefault="00AC0D6F" w:rsidP="008F5166">
      <w:pPr>
        <w:spacing w:before="100" w:beforeAutospacing="1" w:after="100" w:afterAutospacing="1" w:line="240" w:lineRule="auto"/>
        <w:jc w:val="lowKashida"/>
        <w:outlineLvl w:val="2"/>
        <w:rPr>
          <w:rFonts w:ascii="Times New Roman" w:eastAsia="Times New Roman" w:hAnsi="Times New Roman" w:cs="Times New Roman"/>
          <w:b/>
          <w:bCs/>
          <w:sz w:val="24"/>
          <w:szCs w:val="24"/>
        </w:rPr>
      </w:pPr>
      <w:r w:rsidRPr="00D90DFB">
        <w:rPr>
          <w:rFonts w:ascii="Times New Roman" w:eastAsia="Times New Roman" w:hAnsi="Times New Roman" w:cs="Times New Roman"/>
          <w:b/>
          <w:bCs/>
          <w:sz w:val="24"/>
          <w:szCs w:val="24"/>
        </w:rPr>
        <w:t xml:space="preserve">1. </w:t>
      </w:r>
      <w:r w:rsidR="008F5166" w:rsidRPr="008F5166">
        <w:rPr>
          <w:rFonts w:ascii="Times New Roman" w:eastAsia="Times New Roman" w:hAnsi="Times New Roman" w:cs="Times New Roman"/>
          <w:b/>
          <w:bCs/>
          <w:sz w:val="24"/>
          <w:szCs w:val="24"/>
        </w:rPr>
        <w:t>The Role of National Human Rights Institutions in the Implementation of Article 22</w:t>
      </w:r>
    </w:p>
    <w:p w14:paraId="71FCA1C7" w14:textId="77777777" w:rsidR="008F5166" w:rsidRPr="008F5166" w:rsidRDefault="008F5166" w:rsidP="008F516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F5166">
        <w:rPr>
          <w:rFonts w:ascii="Times New Roman" w:eastAsia="Times New Roman" w:hAnsi="Times New Roman" w:cs="Times New Roman"/>
          <w:sz w:val="24"/>
          <w:szCs w:val="24"/>
        </w:rPr>
        <w:lastRenderedPageBreak/>
        <w:t>The Council considers that the Draft General Comment would benefit from a more explicit recognition of the role that National Human Rights Institutions (NHRIs), established in accordance with the Paris Principles, can play in supporting the effective implementation of Article 22 of the Covenant. As independent national institutions mandated to promote and protect human rights, NHRIs contribute to creating and maintaining an enabling environment in which the right to freedom of association can be exercised effectively and without discrimination.</w:t>
      </w:r>
    </w:p>
    <w:p w14:paraId="03D74F46" w14:textId="77777777" w:rsidR="008F5166" w:rsidRPr="008F5166" w:rsidRDefault="008F5166" w:rsidP="008F516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F5166">
        <w:rPr>
          <w:rFonts w:ascii="Times New Roman" w:eastAsia="Times New Roman" w:hAnsi="Times New Roman" w:cs="Times New Roman"/>
          <w:sz w:val="24"/>
          <w:szCs w:val="24"/>
        </w:rPr>
        <w:t>In carrying out their mandates, NHRIs may monitor the state of civic space and the enjoyment of freedom of association, receive and examine complaints, review legislation and administrative practices for compatibility with international human rights standards, advise public authorities on proposed legal and policy reforms, facilitate dialogue between State institutions and civil society actors, and promote awareness of the rights and responsibilities arising under the Covenant. Their work can also contribute to preventing unnecessary restrictions on the exercise of freedom of association by identifying systemic challenges and encouraging legislative and administrative reforms consistent with Article 22.</w:t>
      </w:r>
    </w:p>
    <w:p w14:paraId="7608ED32" w14:textId="77777777" w:rsidR="008F5166" w:rsidRPr="008F5166" w:rsidRDefault="008F5166" w:rsidP="008F516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F5166">
        <w:rPr>
          <w:rFonts w:ascii="Times New Roman" w:eastAsia="Times New Roman" w:hAnsi="Times New Roman" w:cs="Times New Roman"/>
          <w:sz w:val="24"/>
          <w:szCs w:val="24"/>
        </w:rPr>
        <w:t>Accordingly, the Council recommends that the General Comment include an explicit reference to the contribution of NHRIs to the implementation of Article 22. States Parties should be encouraged to maintain an enabling environment in which NHRIs can exercise their mandates independently, contribute to legislative and policy development, monitor the enjoyment of freedom of association, and provide recommendations aimed at strengthening the protection of this right.</w:t>
      </w:r>
    </w:p>
    <w:p w14:paraId="2B249FC9" w14:textId="77777777"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b/>
          <w:bCs/>
          <w:sz w:val="24"/>
          <w:szCs w:val="24"/>
        </w:rPr>
      </w:pPr>
      <w:r w:rsidRPr="00831056">
        <w:rPr>
          <w:rFonts w:ascii="Times New Roman" w:eastAsia="Times New Roman" w:hAnsi="Times New Roman" w:cs="Times New Roman"/>
          <w:b/>
          <w:bCs/>
          <w:sz w:val="24"/>
          <w:szCs w:val="24"/>
        </w:rPr>
        <w:t>2. Regulation of Associations and the Protection of the Right to Freedom of Association</w:t>
      </w:r>
    </w:p>
    <w:p w14:paraId="3712A934" w14:textId="75073467"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 xml:space="preserve">The Council welcomes the Draft General Comment's emphasis on protecting freedom of association from arbitrary or unjustified interference. At the same time, it considers that the General Comment would benefit from further clarification that the regulation of associations, in itself, is not incompatible with Article 22 of the Covenant. States Parties </w:t>
      </w:r>
      <w:r>
        <w:rPr>
          <w:rFonts w:ascii="Times New Roman" w:eastAsia="Times New Roman" w:hAnsi="Times New Roman" w:cs="Times New Roman"/>
          <w:sz w:val="24"/>
          <w:szCs w:val="24"/>
        </w:rPr>
        <w:t>have the right to</w:t>
      </w:r>
      <w:r w:rsidRPr="00831056">
        <w:rPr>
          <w:rFonts w:ascii="Times New Roman" w:eastAsia="Times New Roman" w:hAnsi="Times New Roman" w:cs="Times New Roman"/>
          <w:sz w:val="24"/>
          <w:szCs w:val="24"/>
        </w:rPr>
        <w:t xml:space="preserve"> establish legal and administrative frameworks governing the establishment, operation, governance, financial management, and accountability of associations, provided that such frameworks are prescribed by law, pursue one or more of the legitimate aims recognized under Article 22(2), and comply with the principles of necessity, proportionality, transparency, and non-discrimination.</w:t>
      </w:r>
    </w:p>
    <w:p w14:paraId="61F1F8CB" w14:textId="77777777"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The Council further considers that the General Comment should clearly distinguish between legitimate regulatory measures designed to ensure legal certainty, transparency, accountability, and the protection of the rights of members and third parties, and measures that, in their purpose or effect, impose unnecessary or disproportionate burdens on associations, undermine their independence, or impede their lawful activities. Such clarification would assist States Parties in designing regulatory frameworks that are consistent with the Covenant while reinforcing that freedom of association is a fundamental right, not an administrative privilege.</w:t>
      </w:r>
    </w:p>
    <w:p w14:paraId="2AEC8A38" w14:textId="77777777" w:rsidR="00831056" w:rsidRPr="00831056" w:rsidRDefault="00831056" w:rsidP="00831056">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831056">
        <w:rPr>
          <w:rFonts w:ascii="Times New Roman" w:eastAsia="Times New Roman" w:hAnsi="Times New Roman" w:cs="Times New Roman"/>
          <w:b/>
          <w:bCs/>
          <w:sz w:val="24"/>
          <w:szCs w:val="24"/>
        </w:rPr>
        <w:t>3. Diversity of National Legal Frameworks and Common Standards of Protection</w:t>
      </w:r>
    </w:p>
    <w:p w14:paraId="4F7F47AE" w14:textId="77777777" w:rsidR="00831056" w:rsidRPr="00831056" w:rsidRDefault="00831056" w:rsidP="00831056">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lastRenderedPageBreak/>
        <w:t>The Council considers that the General Comment would benefit from recognizing that Article 22 does not prescribe a single institutional or legislative model for regulating freedom of association. States Parties may adopt different legal and administrative approaches reflecting their respective constitutional, legal, and institutional traditions, provided that these approaches ensure the effective enjoyment of the right and remain fully consistent with the obligations arising under the Covenant.</w:t>
      </w:r>
    </w:p>
    <w:p w14:paraId="60EDC709" w14:textId="55A6B2B0" w:rsidR="00831056" w:rsidRPr="00831056" w:rsidRDefault="00831056" w:rsidP="00831056">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Accordingly, the Council recommends that the General Comment clarify that the compatibility of a national legal framework with Article 22 should be assessed by whether its design and implementation comply with the requirements of legality, legitimate aim, necessity, proportionality, non-discrimination, and effective access to independent judicial review. Such clarification would promote greater consistency in the interpretation of Article 22 while recognizing the diversity of legal systems among States Parties.</w:t>
      </w:r>
    </w:p>
    <w:p w14:paraId="056D03AE" w14:textId="262F57F6" w:rsidR="00AC0D6F" w:rsidRPr="00831056" w:rsidRDefault="00AC0D6F" w:rsidP="00831056">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D90DFB">
        <w:rPr>
          <w:rFonts w:ascii="Times New Roman" w:eastAsia="Times New Roman" w:hAnsi="Times New Roman" w:cs="Times New Roman"/>
          <w:b/>
          <w:bCs/>
          <w:sz w:val="24"/>
          <w:szCs w:val="24"/>
        </w:rPr>
        <w:t>III. Scope of Protection under Article 22</w:t>
      </w:r>
    </w:p>
    <w:p w14:paraId="09A20754" w14:textId="1DA348DC"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w:t>
      </w:r>
      <w:r w:rsidRPr="00831056">
        <w:rPr>
          <w:rFonts w:ascii="Times New Roman" w:eastAsia="Times New Roman" w:hAnsi="Times New Roman" w:cs="Times New Roman"/>
          <w:b/>
          <w:bCs/>
          <w:sz w:val="24"/>
          <w:szCs w:val="24"/>
        </w:rPr>
        <w:t>. Registration Procedures and Procedural Safeguards (Paragraphs 13–15)</w:t>
      </w:r>
    </w:p>
    <w:p w14:paraId="27FFE88D" w14:textId="77777777"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The Council agrees with the Draft General Comment that registration procedures should not be burdensome, unduly complex, or subject to broad administrative discretion. It considers that the General Comment would benefit from further clarification regarding the procedural safeguards that should govern registration systems to ensure their compatibility with Article 22 of the Covenant.</w:t>
      </w:r>
    </w:p>
    <w:p w14:paraId="1F892432" w14:textId="77777777"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In particular, the Council recommends that the General Comment clarify that registration procedures should be based on clear and objective legal requirements, provide for reasonable and clearly defined timeframes for the determination of applications, require reasoned decisions in cases of refusal, and ensure access to prompt and effective review by an independent and impartial judicial authority. It should also emphasize that administrative delay, inaction, or the repeated request for unnecessary information should not be used, in purpose or effect, to prevent or unduly delay the establishment or operation of an association.</w:t>
      </w:r>
    </w:p>
    <w:p w14:paraId="6B3E43C4" w14:textId="77777777"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The Council further recommends that the General Comment reaffirm that the refusal of registration, suspension of activities, or dissolution of an association should occur only on the basis of clearly defined legal grounds, following procedures that fully respect due process guarantees, and through decisions that are subject to effective judicial review. Given the serious impact of such measures on the exercise of the right to freedom of association, they should be applied only where they are lawful, necessary, proportionate, and consistent with the requirements of Article 22 of the Covenant.</w:t>
      </w:r>
    </w:p>
    <w:p w14:paraId="4B709C76" w14:textId="4F8BBB5F" w:rsidR="00831056" w:rsidRPr="00831056" w:rsidRDefault="00831056" w:rsidP="00831056">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w:t>
      </w:r>
      <w:r w:rsidRPr="00831056">
        <w:rPr>
          <w:rFonts w:ascii="Times New Roman" w:eastAsia="Times New Roman" w:hAnsi="Times New Roman" w:cs="Times New Roman"/>
          <w:b/>
          <w:bCs/>
          <w:sz w:val="24"/>
          <w:szCs w:val="24"/>
        </w:rPr>
        <w:t>. Independence of Associations and the Limits of Regulatory Oversight (Paragraph 15)</w:t>
      </w:r>
    </w:p>
    <w:p w14:paraId="3A2F2725" w14:textId="77777777" w:rsidR="00831056" w:rsidRPr="00831056" w:rsidRDefault="00831056" w:rsidP="00831056">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 xml:space="preserve">The Council welcomes the Draft General Comment's affirmation that the independence and self-governance of associations are essential components of the right to freedom of association protected under Article 22 of the Covenant. At the same time, it considers that the General </w:t>
      </w:r>
      <w:r w:rsidRPr="00831056">
        <w:rPr>
          <w:rFonts w:ascii="Times New Roman" w:eastAsia="Times New Roman" w:hAnsi="Times New Roman" w:cs="Times New Roman"/>
          <w:sz w:val="24"/>
          <w:szCs w:val="24"/>
        </w:rPr>
        <w:lastRenderedPageBreak/>
        <w:t>Comment would benefit from further clarification regarding the relationship between the autonomy of associations and the legitimate regulatory functions of the State.</w:t>
      </w:r>
    </w:p>
    <w:p w14:paraId="3DFD8CD6" w14:textId="77777777" w:rsidR="00831056" w:rsidRPr="00831056" w:rsidRDefault="00831056" w:rsidP="00831056">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In particular, the Council considers that regulatory oversight, including measures relating to financial accountability, transparency, and compliance with applicable law, does not, in itself, constitute an interference with the right to freedom of association, provided that such oversight is prescribed by law, pursues a legitimate aim recognized under Article 22(2), and is necessary and proportionate to that aim. Regulatory measures should not confer powers that enable public authorities to direct the internal affairs of associations, influence the selection of their leadership, determine their objectives or activities, or otherwise interfere with their independence and self-governance.</w:t>
      </w:r>
    </w:p>
    <w:p w14:paraId="4310B1C7" w14:textId="77777777" w:rsidR="00831056" w:rsidRPr="00831056" w:rsidRDefault="00831056" w:rsidP="00831056">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Accordingly, the Council recommends that the General Comment articulate a clearer standard for distinguishing legitimate regulatory oversight from undue control or arbitrary interference. Such clarification would assist States Parties in designing oversight mechanisms that promote transparency and accountability while fully respecting the autonomy of associations and the effective exercise of the right to freedom of association.</w:t>
      </w:r>
    </w:p>
    <w:p w14:paraId="664170A0" w14:textId="77777777" w:rsidR="00AC0D6F" w:rsidRPr="00D90DFB" w:rsidRDefault="00AC0D6F" w:rsidP="00D90DFB">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D90DFB">
        <w:rPr>
          <w:rFonts w:ascii="Times New Roman" w:eastAsia="Times New Roman" w:hAnsi="Times New Roman" w:cs="Times New Roman"/>
          <w:b/>
          <w:bCs/>
          <w:sz w:val="24"/>
          <w:szCs w:val="24"/>
        </w:rPr>
        <w:t>IV. Funding and Resources</w:t>
      </w:r>
    </w:p>
    <w:p w14:paraId="68CEB038" w14:textId="77777777"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b/>
          <w:bCs/>
          <w:sz w:val="24"/>
          <w:szCs w:val="24"/>
        </w:rPr>
      </w:pPr>
      <w:r w:rsidRPr="00831056">
        <w:rPr>
          <w:rFonts w:ascii="Times New Roman" w:eastAsia="Times New Roman" w:hAnsi="Times New Roman" w:cs="Times New Roman"/>
          <w:b/>
          <w:bCs/>
          <w:sz w:val="24"/>
          <w:szCs w:val="24"/>
        </w:rPr>
        <w:t>1. Access to Funding and Resources (Paragraphs 14, 30, 44, and 49)</w:t>
      </w:r>
    </w:p>
    <w:p w14:paraId="5C4B561E" w14:textId="77777777"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The Council welcomes the Draft General Comment's recognition that the ability of associations to seek, receive, and use funding and other resources constitutes an integral component of the effective exercise of the right to freedom of association under Article 22 of the Covenant. Access to adequate resources enables associations to pursue their lawful objectives, sustain their activities, and participate meaningfully in public life. Accordingly, restrictions on access to resources should not have the purpose or effect of undermining the viability of associations or unduly restricting the exercise of the right to freedom of association.</w:t>
      </w:r>
    </w:p>
    <w:p w14:paraId="5133ADD1" w14:textId="77777777"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At the same time, the Council considers that the General Comment would benefit from further clarification that States Parties may adopt regulatory measures relating to financial transparency, disclosure obligations, accounting and auditing requirements, and the prevention of money laundering, the financing of terrorism, and other forms of financial crime, provided that such measures are prescribed by law, pursue a legitimate aim, and comply with the principles of necessity, proportionality, transparency, and non-discrimination. Such regulatory measures should not be used as a pretext for imposing unnecessary or disproportionate burdens on associations or for discriminating against them on the basis of the nature of their activities, their sources of funding, or the views they express.</w:t>
      </w:r>
    </w:p>
    <w:p w14:paraId="469FFA80" w14:textId="77777777" w:rsidR="00831056" w:rsidRPr="00831056" w:rsidRDefault="00831056" w:rsidP="00831056">
      <w:pPr>
        <w:spacing w:before="100" w:beforeAutospacing="1" w:after="100" w:afterAutospacing="1" w:line="240" w:lineRule="auto"/>
        <w:jc w:val="lowKashida"/>
        <w:outlineLvl w:val="2"/>
        <w:rPr>
          <w:rFonts w:ascii="Times New Roman" w:eastAsia="Times New Roman" w:hAnsi="Times New Roman" w:cs="Times New Roman"/>
          <w:sz w:val="24"/>
          <w:szCs w:val="24"/>
        </w:rPr>
      </w:pPr>
      <w:r w:rsidRPr="00831056">
        <w:rPr>
          <w:rFonts w:ascii="Times New Roman" w:eastAsia="Times New Roman" w:hAnsi="Times New Roman" w:cs="Times New Roman"/>
          <w:sz w:val="24"/>
          <w:szCs w:val="24"/>
        </w:rPr>
        <w:t>Accordingly, the Council recommends that the General Comment clarify that any restrictions on access to funding, including funding from foreign sources, must comply with the requirements of Article 22(2) of the Covenant. In particular, such restrictions should be based on clear and objective legal criteria, be necessary and proportionate to the legitimate aim pursued, be subject to effective judicial review, and should not, either individually or cumulatively, deprive associations of the resources necessary to carry out their lawful activities.</w:t>
      </w:r>
    </w:p>
    <w:p w14:paraId="148FA630"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lastRenderedPageBreak/>
        <w:t>V. Permissible Restrictions on the Right</w:t>
      </w:r>
    </w:p>
    <w:p w14:paraId="65E72E7E"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1. Restrictions under Article 22(2): Legality, Legitimate Aim, Necessity, and Proportionality (Paragraphs 41–50)</w:t>
      </w:r>
    </w:p>
    <w:p w14:paraId="70EF744F"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welcomes the Draft General Comment's reaffirmation that any restriction on the right to freedom of association must satisfy the cumulative requirements set forth in Article 22(2) of the Covenant. Restrictions must be prescribed by law, pursue one or more of the legitimate aims recognized in Article 22(2), and be necessary in a democratic society. The assessment of necessity should include an examination of whether the measure is proportionate to the legitimate aim pursued and whether less restrictive alternatives are available.</w:t>
      </w:r>
    </w:p>
    <w:p w14:paraId="2D4DE10E"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further considers that the General Comment should expressly affirm that the burden of demonstrating compliance with these requirements rests with the State Party. In particular, restrictions justified on grounds of national security, public safety, or public order should be supported by objective and specific evidence demonstrating a genuine and sufficiently serious risk, rather than by broad assumptions, speculative concerns, or vaguely defined considerations.</w:t>
      </w:r>
    </w:p>
    <w:p w14:paraId="1FBF8E5C"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2. National Security and Public Order (Paragraphs 45 and 46)</w:t>
      </w:r>
    </w:p>
    <w:p w14:paraId="12C522B6"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supports the Draft General Comment's emphasis that the concepts of national security and public order should be interpreted restrictively and should not be invoked to justify limitations on the peaceful activities of associations, including those engaged in the promotion of human rights, labour rights, democratic participation, or other lawful public interest objectives.</w:t>
      </w:r>
    </w:p>
    <w:p w14:paraId="2FD157F1" w14:textId="77777777" w:rsid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At the same time, the Council considers that the General Comment should recognize that States Parties may face genuine threats to national security or public order that require regulatory or other legal measures. Any such measures, however, must remain fully consistent with Article 22(2), be prescribed by law, pursue a legitimate aim, be necessary and proportionate to the risk addressed, and be accompanied by effective procedural safeguards and access to independent judicial review.</w:t>
      </w:r>
    </w:p>
    <w:p w14:paraId="47ABA31C" w14:textId="37133B39" w:rsidR="000A35AF" w:rsidRPr="00B359AA" w:rsidRDefault="000A35AF" w:rsidP="000A35AF">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0A35AF">
        <w:rPr>
          <w:rFonts w:ascii="Times New Roman" w:eastAsia="Times New Roman" w:hAnsi="Times New Roman" w:cs="Times New Roman"/>
          <w:sz w:val="24"/>
          <w:szCs w:val="24"/>
        </w:rPr>
        <w:t>The Council further considers that the General Comment could usefully clarify that the protection afforded by Article 22 does not preclude States Parties from adopting lawful measures to prohibit advocacy constituting incitement to discrimination, hostility, or violence, or other forms of conduct prohibited under the Covenant. Any such measures should be prescribed by law, pursue a legitimate aim, and comply with the principles of legality, necessity, and proportionality so as not to unduly restrict the lawful activities of associations.</w:t>
      </w:r>
    </w:p>
    <w:p w14:paraId="0D277865"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3. Dissolution and Suspension of Associations (Paragraphs 19 and 43)</w:t>
      </w:r>
    </w:p>
    <w:p w14:paraId="3E4264E0"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 xml:space="preserve">The Council welcomes the Draft General Comment's recognition that the dissolution or suspension of an association constitutes one of the most serious interferences with the exercise of the right to freedom of association. It considers that the General Comment should expressly affirm that such measures should be exceptional, applied only as a measure of last resort where </w:t>
      </w:r>
      <w:r w:rsidRPr="00B359AA">
        <w:rPr>
          <w:rFonts w:ascii="Times New Roman" w:eastAsia="Times New Roman" w:hAnsi="Times New Roman" w:cs="Times New Roman"/>
          <w:sz w:val="24"/>
          <w:szCs w:val="24"/>
        </w:rPr>
        <w:lastRenderedPageBreak/>
        <w:t>less restrictive alternatives are demonstrably insufficient, and imposed only through procedures that fully respect due process guarantees and are subject to effective judicial review.</w:t>
      </w:r>
    </w:p>
    <w:p w14:paraId="1424C955" w14:textId="77777777" w:rsid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further recommends that the General Comment distinguish between administrative or financial irregularities that may appropriately be addressed through corrective or proportionate administrative measures, and serious violations that may justify suspension or dissolution. Such measures should never be imposed automatically or as a punitive response to minor or technical non-compliance, but only where they are lawful, necessary, proportionate, and justified in light of the nature and gravity of the conduct concerned.</w:t>
      </w:r>
    </w:p>
    <w:p w14:paraId="15BED54F" w14:textId="356AFF91" w:rsidR="000A35AF" w:rsidRPr="00B359AA" w:rsidRDefault="000A35AF" w:rsidP="000A35AF">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0A35AF">
        <w:rPr>
          <w:rFonts w:ascii="Times New Roman" w:eastAsia="Times New Roman" w:hAnsi="Times New Roman" w:cs="Times New Roman"/>
          <w:sz w:val="24"/>
          <w:szCs w:val="24"/>
        </w:rPr>
        <w:t xml:space="preserve">The Council further considers that the General Comment may benefit from acknowledging examples of national legislative approaches that strengthen procedural safeguards against arbitrary dissolution or suspension of associations. In this regard, legislation in </w:t>
      </w:r>
      <w:r>
        <w:rPr>
          <w:rFonts w:ascii="Times New Roman" w:eastAsia="Times New Roman" w:hAnsi="Times New Roman" w:cs="Times New Roman"/>
          <w:sz w:val="24"/>
          <w:szCs w:val="24"/>
        </w:rPr>
        <w:t>Egypt</w:t>
      </w:r>
      <w:r w:rsidRPr="000A35AF">
        <w:rPr>
          <w:rFonts w:ascii="Times New Roman" w:eastAsia="Times New Roman" w:hAnsi="Times New Roman" w:cs="Times New Roman"/>
          <w:sz w:val="24"/>
          <w:szCs w:val="24"/>
        </w:rPr>
        <w:t xml:space="preserve"> provides that the dissolution or suspension of an association may only be ordered by a competent judicial authority upon application by the relevant administrative authority, rather than through an administrative decision. Such approaches may serve as useful examples of safeguards that reinforce judicial oversight, due process, and the protection of the right to freedom of association.</w:t>
      </w:r>
    </w:p>
    <w:p w14:paraId="1DF932A9"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VI. Trade Unions and Labour Rights</w:t>
      </w:r>
    </w:p>
    <w:p w14:paraId="7C19459F"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1. The Right to Organize and Join Trade Unions (Paragraphs 20–27)</w:t>
      </w:r>
    </w:p>
    <w:p w14:paraId="7090E8DC"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welcomes the Draft General Comment's affirmation that the right to form and join trade unions constitutes an integral component of the right to freedom of association under Article 22 of the Covenant and that this protection extends to all categories of workers without discrimination. The Council particularly welcomes the recognition of informal workers, domestic workers, platform workers, migrant workers, and other workers engaged in non-standard forms of employment, whose ability to exercise trade union rights may be limited by structural, legal, or practical barriers.</w:t>
      </w:r>
    </w:p>
    <w:p w14:paraId="024222C2"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considers that the General Comment would benefit from a more explicit reference to relevant International Labour Organization (ILO) principles and standards as an important source of guidance in interpreting the trade union dimensions of Article 22. In particular, the General Comment could emphasize the importance of protecting trade union pluralism, promoting collective bargaining, safeguarding workers against discrimination or retaliation on account of trade union membership or activities, and ensuring that workers engaged in emerging and non-standard forms of employment are able to organize and effectively represent their interests.</w:t>
      </w:r>
    </w:p>
    <w:p w14:paraId="3E3C1011"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2. Restrictions Applicable to Members of the Armed Forces and the Police (Paragraph 27)</w:t>
      </w:r>
    </w:p>
    <w:p w14:paraId="214140BC"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agrees with the Draft General Comment's recognition that Article 22 permits States Parties to impose lawful restrictions on the exercise of trade union rights by members of the armed forces and the police, while not excluding these groups from the scope of protection under the Covenant altogether.</w:t>
      </w:r>
    </w:p>
    <w:p w14:paraId="5F5D2DA2"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lastRenderedPageBreak/>
        <w:t>The Council considers that the General Comment should further clarify that any such restrictions remain subject to the requirements of Article 22(2) and must therefore be prescribed by law, pursue a legitimate aim, and be necessary and proportionate in light of the particular functions of the armed forces and the police. In applying these requirements, due regard may be given to the legitimate interests of discipline, operational effectiveness, political neutrality, and public security, while ensuring that any limitations do not exceed what is strictly necessary in a democratic society.</w:t>
      </w:r>
    </w:p>
    <w:p w14:paraId="661F3CA6"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VII. Digital Space and Technology</w:t>
      </w:r>
    </w:p>
    <w:p w14:paraId="5766A6D0"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1. Freedom of Association in the Digital Environment (Paragraphs 11 and 37)</w:t>
      </w:r>
    </w:p>
    <w:p w14:paraId="181A52BB"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welcomes the Draft General Comment's recognition that the right to freedom of association extends fully to the digital environment. As associations, trade unions, social movements, and other civil society actors increasingly rely on digital technologies to communicate, organize, mobilize, advocate, and deliver services, the effective enjoyment of Article 22 requires that States Parties respect and protect the exercise of this right both online and offline.</w:t>
      </w:r>
    </w:p>
    <w:p w14:paraId="44E48941"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considers that the General Comment would benefit from further guidance regarding States' obligations to protect associations against unlawful or arbitrary surveillance, cyber intrusions, internet shutdowns, unjustified blocking or filtering of online content or platforms, and online harassment or coordinated smear campaigns that interfere with the exercise of freedom of association. It should further clarify that measures relating to cybersecurity, digital governance, or online content regulation must comply with the requirements of Article 22(2), including the principles of legality, legitimate aim, necessity, proportionality, and effective judicial oversight.</w:t>
      </w:r>
    </w:p>
    <w:p w14:paraId="0E725ABB"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2. Digital Platforms and the Protection of Freedom of Association</w:t>
      </w:r>
    </w:p>
    <w:p w14:paraId="540F82C9"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further considers that the General Comment should elaborate on the role of States Parties in ensuring that the activities of digital platforms and other private technology companies do not unduly interfere with the exercise of freedom of association. In particular, the General Comment could encourage States to adopt legal and regulatory frameworks that promote transparency in content moderation policies, provide appropriate safeguards against the arbitrary removal or suppression of content relating to civic, trade union, or human rights activities, ensure access to effective grievance and appeal mechanisms, and protect the privacy and personal data of members of associations.</w:t>
      </w:r>
    </w:p>
    <w:p w14:paraId="72194477"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also recommends that the General Comment recognize the relevance of the UN Guiding Principles on Business and Human Rights in this context by encouraging States to promote human rights due diligence by digital companies. At the same time, it should emphasize that regulatory measures should not become a means of facilitating unlawful surveillance, arbitrary content restrictions, or other forms of undue interference with the activities of associations or their members.</w:t>
      </w:r>
    </w:p>
    <w:p w14:paraId="310693E7" w14:textId="77777777" w:rsidR="00AC0D6F" w:rsidRPr="00D90DFB" w:rsidRDefault="00AC0D6F" w:rsidP="00D90DFB">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D90DFB">
        <w:rPr>
          <w:rFonts w:ascii="Times New Roman" w:eastAsia="Times New Roman" w:hAnsi="Times New Roman" w:cs="Times New Roman"/>
          <w:b/>
          <w:bCs/>
          <w:sz w:val="24"/>
          <w:szCs w:val="24"/>
        </w:rPr>
        <w:lastRenderedPageBreak/>
        <w:t>VIII. Groups Disproportionately Affected by Restrictions</w:t>
      </w:r>
    </w:p>
    <w:p w14:paraId="22B2984B"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Non-Discrimination and Positive Measures (Paragraph 9)</w:t>
      </w:r>
    </w:p>
    <w:p w14:paraId="3889463F"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welcomes the Draft General Comment's recognition that restrictions on the right to freedom of association may have a disproportionate impact on certain individuals and groups, including women, persons with disabilities, children and young people, workers, migrants, asylum seekers, human rights defenders, and others who face structural, legal, social, or practical barriers to the effective exercise of this right.</w:t>
      </w:r>
    </w:p>
    <w:p w14:paraId="05589FEE"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considers that the General Comment would benefit from a more explicit affirmation that the obligation of States Parties extends beyond refraining from discriminatory restrictions to taking appropriate positive measures to ensure the effective and equal enjoyment of the right to freedom of association. Such measures should seek to identify and remove barriers that disproportionately affect particular groups and to ensure that legal and administrative frameworks are accessible, inclusive, and implemented without discrimination.</w:t>
      </w:r>
    </w:p>
    <w:p w14:paraId="33FC140D"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Such measures may include ensuring the accessibility of registration procedures and public services for persons with disabilities, facilitating the meaningful participation of children and young people in associations consistent with their evolving capacities, and protecting workers in informal, precarious, and other vulnerable forms of employment from discrimination or retaliation arising from the exercise of their associational rights.</w:t>
      </w:r>
    </w:p>
    <w:p w14:paraId="6BDCB196" w14:textId="77777777" w:rsidR="00AC0D6F" w:rsidRPr="00D90DFB" w:rsidRDefault="00AC0D6F" w:rsidP="00D90DFB">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D90DFB">
        <w:rPr>
          <w:rFonts w:ascii="Times New Roman" w:eastAsia="Times New Roman" w:hAnsi="Times New Roman" w:cs="Times New Roman"/>
          <w:b/>
          <w:bCs/>
          <w:sz w:val="24"/>
          <w:szCs w:val="24"/>
        </w:rPr>
        <w:t>IX. Effective Remedies and Procedural Safeguards</w:t>
      </w:r>
    </w:p>
    <w:p w14:paraId="54277907"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The Right to an Effective Remedy (Paragraphs 39 and 40)</w:t>
      </w:r>
    </w:p>
    <w:p w14:paraId="095AE008"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welcomes the Draft General Comment's emphasis on the importance of ensuring access to effective remedies in cases involving violations of Article 22 of the Covenant. Effective remedies constitute an essential safeguard for the practical and meaningful enjoyment of the right to freedom of association and play a critical role in ensuring accountability for unlawful restrictions.</w:t>
      </w:r>
    </w:p>
    <w:p w14:paraId="7E514840"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considers that the General Comment would benefit from more detailed guidance regarding the elements of an effective remedy in this context. Depending on the nature of the violation, such remedies may include interim measures, where appropriate, to prevent irreparable harm pending judicial review; the suspension or annulment of restrictive decisions; the reinstatement or re-registration of an association or the restoration of its legal status and activities; compensation for material or non-material harm, where appropriate; reimbursement of reasonable legal costs; and guarantees of non-repetition, including legislative or administrative reforms where systemic deficiencies have been identified.</w:t>
      </w:r>
    </w:p>
    <w:p w14:paraId="0F4DCC0B"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 xml:space="preserve">Accordingly, the Council recommends that the General Comment reaffirm that remedies must be practical, effective, and capable of providing timely relief, rather than merely theoretical or formal. Appeals should be determined within a reasonable timeframe by an independent and </w:t>
      </w:r>
      <w:r w:rsidRPr="00B359AA">
        <w:rPr>
          <w:rFonts w:ascii="Times New Roman" w:eastAsia="Times New Roman" w:hAnsi="Times New Roman" w:cs="Times New Roman"/>
          <w:sz w:val="24"/>
          <w:szCs w:val="24"/>
        </w:rPr>
        <w:lastRenderedPageBreak/>
        <w:t>impartial authority, particularly where delay could result in the disruption of an association's activities or otherwise render the protection afforded by Article 22 ineffective.</w:t>
      </w:r>
    </w:p>
    <w:p w14:paraId="36998129"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X. States of Emergency, Armed Conflict, and Humanitarian Action</w:t>
      </w:r>
    </w:p>
    <w:p w14:paraId="39FCE074"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1. Continuity of Obligations During States of Emergency (Paragraphs 52–56)</w:t>
      </w:r>
    </w:p>
    <w:p w14:paraId="353BA4D2"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welcomes the Draft General Comment's affirmation that States Parties remain bound by their obligations under the Covenant during states of emergency, armed conflict, situations of occupation, and public health emergencies, and that such circumstances should not be invoked as a justification for unnecessarily or disproportionately restricting civic space or the lawful activities of associations.</w:t>
      </w:r>
    </w:p>
    <w:p w14:paraId="4C2EEE98"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considers that the General Comment would benefit from further clarification that any exceptional measures affecting the exercise of the right to freedom of association must remain fully consistent with the requirements of the Covenant, including, where applicable, the conditions governing derogations under Article 4. Such measures should be temporary, prescribed by law, strictly required by the exigencies of the situation, non-discriminatory, proportionate, and subject to periodic review and effective judicial or other independent oversight. They should be withdrawn without undue delay once the circumstances justifying their adoption no longer exist.</w:t>
      </w:r>
    </w:p>
    <w:p w14:paraId="3F84230C"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b/>
          <w:bCs/>
          <w:sz w:val="24"/>
          <w:szCs w:val="24"/>
        </w:rPr>
      </w:pPr>
      <w:r w:rsidRPr="00B359AA">
        <w:rPr>
          <w:rFonts w:ascii="Times New Roman" w:eastAsia="Times New Roman" w:hAnsi="Times New Roman" w:cs="Times New Roman"/>
          <w:b/>
          <w:bCs/>
          <w:sz w:val="24"/>
          <w:szCs w:val="24"/>
        </w:rPr>
        <w:t>2. Humanitarian Associations</w:t>
      </w:r>
    </w:p>
    <w:p w14:paraId="4B41576E"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The Council welcomes the Draft General Comment's recognition of the essential role played by humanitarian associations in situations of armed conflict, disasters, and other humanitarian emergencies. It considers that the General Comment should further emphasize the obligation of States Parties to facilitate the lawful activities of such associations, consistent with the Covenant and, where applicable, international humanitarian law.</w:t>
      </w:r>
    </w:p>
    <w:p w14:paraId="24C3E929" w14:textId="77777777" w:rsidR="00B359AA" w:rsidRPr="00B359AA" w:rsidRDefault="00B359AA" w:rsidP="00B359AA">
      <w:pPr>
        <w:spacing w:before="100" w:beforeAutospacing="1" w:after="100" w:afterAutospacing="1" w:line="240" w:lineRule="auto"/>
        <w:jc w:val="lowKashida"/>
        <w:outlineLvl w:val="1"/>
        <w:rPr>
          <w:rFonts w:ascii="Times New Roman" w:eastAsia="Times New Roman" w:hAnsi="Times New Roman" w:cs="Times New Roman"/>
          <w:sz w:val="24"/>
          <w:szCs w:val="24"/>
        </w:rPr>
      </w:pPr>
      <w:r w:rsidRPr="00B359AA">
        <w:rPr>
          <w:rFonts w:ascii="Times New Roman" w:eastAsia="Times New Roman" w:hAnsi="Times New Roman" w:cs="Times New Roman"/>
          <w:sz w:val="24"/>
          <w:szCs w:val="24"/>
        </w:rPr>
        <w:t>Accordingly, the Council recommends that the General Comment clarify that financial, administrative, or security-related measures should not unnecessarily impede the impartial delivery of humanitarian assistance or the provision of essential services to affected populations. Any restrictions should comply with the requirements of legality, legitimate aim, necessity, and proportionality, while ensuring that humanitarian actors are able to carry out their lawful activities in accordance with applicable international law.</w:t>
      </w:r>
    </w:p>
    <w:p w14:paraId="464014F6" w14:textId="77777777" w:rsidR="000A35AF" w:rsidRPr="000A35AF" w:rsidRDefault="000A35AF" w:rsidP="000A35AF">
      <w:pPr>
        <w:jc w:val="lowKashida"/>
        <w:rPr>
          <w:rFonts w:ascii="Times New Roman" w:hAnsi="Times New Roman" w:cs="Times New Roman"/>
          <w:b/>
          <w:bCs/>
          <w:sz w:val="24"/>
          <w:szCs w:val="24"/>
        </w:rPr>
      </w:pPr>
      <w:r w:rsidRPr="000A35AF">
        <w:rPr>
          <w:rFonts w:ascii="Times New Roman" w:hAnsi="Times New Roman" w:cs="Times New Roman"/>
          <w:b/>
          <w:bCs/>
          <w:sz w:val="24"/>
          <w:szCs w:val="24"/>
        </w:rPr>
        <w:t>XI. Concluding Recommendations</w:t>
      </w:r>
    </w:p>
    <w:p w14:paraId="23710E64" w14:textId="77777777" w:rsidR="000A35AF" w:rsidRPr="000A35AF" w:rsidRDefault="000A35AF" w:rsidP="000A35AF">
      <w:pPr>
        <w:jc w:val="lowKashida"/>
        <w:rPr>
          <w:rFonts w:ascii="Times New Roman" w:hAnsi="Times New Roman" w:cs="Times New Roman"/>
          <w:sz w:val="24"/>
          <w:szCs w:val="24"/>
        </w:rPr>
      </w:pPr>
      <w:r w:rsidRPr="000A35AF">
        <w:rPr>
          <w:rFonts w:ascii="Times New Roman" w:hAnsi="Times New Roman" w:cs="Times New Roman"/>
          <w:sz w:val="24"/>
          <w:szCs w:val="24"/>
        </w:rPr>
        <w:t>In light of the foregoing, the Council respectfully recommends that the Human Rights Committee consider the following amendments and clarifications in the Draft General Comment:</w:t>
      </w:r>
    </w:p>
    <w:p w14:paraId="4341D0D2" w14:textId="77777777" w:rsidR="000A35AF" w:rsidRPr="000A35AF" w:rsidRDefault="000A35AF" w:rsidP="000A35AF">
      <w:pPr>
        <w:numPr>
          <w:ilvl w:val="0"/>
          <w:numId w:val="2"/>
        </w:numPr>
        <w:jc w:val="lowKashida"/>
        <w:rPr>
          <w:rFonts w:ascii="Times New Roman" w:hAnsi="Times New Roman" w:cs="Times New Roman"/>
          <w:sz w:val="24"/>
          <w:szCs w:val="24"/>
        </w:rPr>
      </w:pPr>
      <w:r w:rsidRPr="000A35AF">
        <w:rPr>
          <w:rFonts w:ascii="Times New Roman" w:hAnsi="Times New Roman" w:cs="Times New Roman"/>
          <w:b/>
          <w:bCs/>
          <w:sz w:val="24"/>
          <w:szCs w:val="24"/>
        </w:rPr>
        <w:t>Recognize the contribution of National Human Rights Institutions (NHRIs)</w:t>
      </w:r>
      <w:r w:rsidRPr="000A35AF">
        <w:rPr>
          <w:rFonts w:ascii="Times New Roman" w:hAnsi="Times New Roman" w:cs="Times New Roman"/>
          <w:sz w:val="24"/>
          <w:szCs w:val="24"/>
        </w:rPr>
        <w:t xml:space="preserve"> to the effective implementation of Article 22 and encourage States Parties to maintain an enabling environment in which NHRIs can exercise their mandates independently and contribute to legislative and policy development affecting freedom of association.</w:t>
      </w:r>
    </w:p>
    <w:p w14:paraId="20A2BF8C" w14:textId="77777777" w:rsidR="000A35AF" w:rsidRPr="000A35AF" w:rsidRDefault="000A35AF" w:rsidP="000A35AF">
      <w:pPr>
        <w:numPr>
          <w:ilvl w:val="0"/>
          <w:numId w:val="2"/>
        </w:numPr>
        <w:jc w:val="lowKashida"/>
        <w:rPr>
          <w:rFonts w:ascii="Times New Roman" w:hAnsi="Times New Roman" w:cs="Times New Roman"/>
          <w:sz w:val="24"/>
          <w:szCs w:val="24"/>
        </w:rPr>
      </w:pPr>
      <w:r w:rsidRPr="000A35AF">
        <w:rPr>
          <w:rFonts w:ascii="Times New Roman" w:hAnsi="Times New Roman" w:cs="Times New Roman"/>
          <w:b/>
          <w:bCs/>
          <w:sz w:val="24"/>
          <w:szCs w:val="24"/>
        </w:rPr>
        <w:lastRenderedPageBreak/>
        <w:t>Provide more detailed guidance on registration procedures</w:t>
      </w:r>
      <w:r w:rsidRPr="000A35AF">
        <w:rPr>
          <w:rFonts w:ascii="Times New Roman" w:hAnsi="Times New Roman" w:cs="Times New Roman"/>
          <w:sz w:val="24"/>
          <w:szCs w:val="24"/>
        </w:rPr>
        <w:t>, emphasizing that they should be based on clear and objective legal requirements, be accessible, transparent, non-discriminatory, and subject to reasonable timeframes, effective judicial review, and safeguards against administrative delay or abuse.</w:t>
      </w:r>
    </w:p>
    <w:p w14:paraId="1E9B166F" w14:textId="77777777" w:rsidR="000A35AF" w:rsidRPr="000A35AF" w:rsidRDefault="000A35AF" w:rsidP="000A35AF">
      <w:pPr>
        <w:numPr>
          <w:ilvl w:val="0"/>
          <w:numId w:val="2"/>
        </w:numPr>
        <w:jc w:val="lowKashida"/>
        <w:rPr>
          <w:rFonts w:ascii="Times New Roman" w:hAnsi="Times New Roman" w:cs="Times New Roman"/>
          <w:sz w:val="24"/>
          <w:szCs w:val="24"/>
        </w:rPr>
      </w:pPr>
      <w:r w:rsidRPr="000A35AF">
        <w:rPr>
          <w:rFonts w:ascii="Times New Roman" w:hAnsi="Times New Roman" w:cs="Times New Roman"/>
          <w:b/>
          <w:bCs/>
          <w:sz w:val="24"/>
          <w:szCs w:val="24"/>
        </w:rPr>
        <w:t>Clarify the relationship between regulatory oversight and the independence of associations</w:t>
      </w:r>
      <w:r w:rsidRPr="000A35AF">
        <w:rPr>
          <w:rFonts w:ascii="Times New Roman" w:hAnsi="Times New Roman" w:cs="Times New Roman"/>
          <w:sz w:val="24"/>
          <w:szCs w:val="24"/>
        </w:rPr>
        <w:t>, recognizing that legitimate measures relating to transparency, accountability, and financial integrity are compatible with Article 22 where they are prescribed by law, pursue a legitimate aim, and are necessary and proportionate, while safeguarding the autonomy and self-governance of associations.</w:t>
      </w:r>
    </w:p>
    <w:p w14:paraId="3EB8591F" w14:textId="77777777" w:rsidR="000A35AF" w:rsidRPr="000A35AF" w:rsidRDefault="000A35AF" w:rsidP="000A35AF">
      <w:pPr>
        <w:numPr>
          <w:ilvl w:val="0"/>
          <w:numId w:val="2"/>
        </w:numPr>
        <w:jc w:val="lowKashida"/>
        <w:rPr>
          <w:rFonts w:ascii="Times New Roman" w:hAnsi="Times New Roman" w:cs="Times New Roman"/>
          <w:sz w:val="24"/>
          <w:szCs w:val="24"/>
        </w:rPr>
      </w:pPr>
      <w:r w:rsidRPr="000A35AF">
        <w:rPr>
          <w:rFonts w:ascii="Times New Roman" w:hAnsi="Times New Roman" w:cs="Times New Roman"/>
          <w:b/>
          <w:bCs/>
          <w:sz w:val="24"/>
          <w:szCs w:val="24"/>
        </w:rPr>
        <w:t>Strengthen the guidance on access to funding and resources</w:t>
      </w:r>
      <w:r w:rsidRPr="000A35AF">
        <w:rPr>
          <w:rFonts w:ascii="Times New Roman" w:hAnsi="Times New Roman" w:cs="Times New Roman"/>
          <w:sz w:val="24"/>
          <w:szCs w:val="24"/>
        </w:rPr>
        <w:t>, affirming that associations should be able to seek, receive, and use funding, including from foreign sources, while recognizing that legitimate financial regulation must comply with the requirements of Article 22(2) and must not undermine the effective exercise of the right.</w:t>
      </w:r>
    </w:p>
    <w:p w14:paraId="413FC7F6" w14:textId="77777777" w:rsidR="000A35AF" w:rsidRPr="000A35AF" w:rsidRDefault="000A35AF" w:rsidP="000A35AF">
      <w:pPr>
        <w:numPr>
          <w:ilvl w:val="0"/>
          <w:numId w:val="2"/>
        </w:numPr>
        <w:jc w:val="lowKashida"/>
        <w:rPr>
          <w:rFonts w:ascii="Times New Roman" w:hAnsi="Times New Roman" w:cs="Times New Roman"/>
          <w:sz w:val="24"/>
          <w:szCs w:val="24"/>
        </w:rPr>
      </w:pPr>
      <w:r w:rsidRPr="000A35AF">
        <w:rPr>
          <w:rFonts w:ascii="Times New Roman" w:hAnsi="Times New Roman" w:cs="Times New Roman"/>
          <w:b/>
          <w:bCs/>
          <w:sz w:val="24"/>
          <w:szCs w:val="24"/>
        </w:rPr>
        <w:t>Further elaborate the application of Article 22 in the digital environment</w:t>
      </w:r>
      <w:r w:rsidRPr="000A35AF">
        <w:rPr>
          <w:rFonts w:ascii="Times New Roman" w:hAnsi="Times New Roman" w:cs="Times New Roman"/>
          <w:sz w:val="24"/>
          <w:szCs w:val="24"/>
        </w:rPr>
        <w:t>, including States' obligations to protect associations against unlawful surveillance, internet shutdowns, arbitrary restrictions on digital communications, and other forms of undue interference, while promoting human rights-consistent regulation of digital platforms.</w:t>
      </w:r>
    </w:p>
    <w:p w14:paraId="46E71011" w14:textId="77777777" w:rsidR="000A35AF" w:rsidRPr="000A35AF" w:rsidRDefault="000A35AF" w:rsidP="000A35AF">
      <w:pPr>
        <w:numPr>
          <w:ilvl w:val="0"/>
          <w:numId w:val="2"/>
        </w:numPr>
        <w:jc w:val="lowKashida"/>
        <w:rPr>
          <w:rFonts w:ascii="Times New Roman" w:hAnsi="Times New Roman" w:cs="Times New Roman"/>
          <w:sz w:val="24"/>
          <w:szCs w:val="24"/>
        </w:rPr>
      </w:pPr>
      <w:r w:rsidRPr="000A35AF">
        <w:rPr>
          <w:rFonts w:ascii="Times New Roman" w:hAnsi="Times New Roman" w:cs="Times New Roman"/>
          <w:b/>
          <w:bCs/>
          <w:sz w:val="24"/>
          <w:szCs w:val="24"/>
        </w:rPr>
        <w:t>Reinforce the principle of equality and non-discrimination</w:t>
      </w:r>
      <w:r w:rsidRPr="000A35AF">
        <w:rPr>
          <w:rFonts w:ascii="Times New Roman" w:hAnsi="Times New Roman" w:cs="Times New Roman"/>
          <w:sz w:val="24"/>
          <w:szCs w:val="24"/>
        </w:rPr>
        <w:t>, recognizing that the effective implementation of Article 22 may require positive measures to remove barriers that disproportionately affect particular individuals and groups and to ensure their equal enjoyment of the right to freedom of association.</w:t>
      </w:r>
    </w:p>
    <w:p w14:paraId="29604501" w14:textId="77777777" w:rsidR="000A35AF" w:rsidRPr="000A35AF" w:rsidRDefault="000A35AF" w:rsidP="000A35AF">
      <w:pPr>
        <w:numPr>
          <w:ilvl w:val="0"/>
          <w:numId w:val="2"/>
        </w:numPr>
        <w:jc w:val="lowKashida"/>
        <w:rPr>
          <w:rFonts w:ascii="Times New Roman" w:hAnsi="Times New Roman" w:cs="Times New Roman"/>
          <w:sz w:val="24"/>
          <w:szCs w:val="24"/>
        </w:rPr>
      </w:pPr>
      <w:r w:rsidRPr="000A35AF">
        <w:rPr>
          <w:rFonts w:ascii="Times New Roman" w:hAnsi="Times New Roman" w:cs="Times New Roman"/>
          <w:b/>
          <w:bCs/>
          <w:sz w:val="24"/>
          <w:szCs w:val="24"/>
        </w:rPr>
        <w:t>Reaffirm that dissolution or suspension of an association should remain an exceptional measure of last resort</w:t>
      </w:r>
      <w:r w:rsidRPr="000A35AF">
        <w:rPr>
          <w:rFonts w:ascii="Times New Roman" w:hAnsi="Times New Roman" w:cs="Times New Roman"/>
          <w:sz w:val="24"/>
          <w:szCs w:val="24"/>
        </w:rPr>
        <w:t>, to be imposed only where lawful, necessary, proportionate, and subject to due process and effective judicial review.</w:t>
      </w:r>
    </w:p>
    <w:p w14:paraId="6D43EF42" w14:textId="77777777" w:rsidR="000A35AF" w:rsidRPr="000A35AF" w:rsidRDefault="000A35AF" w:rsidP="000A35AF">
      <w:pPr>
        <w:numPr>
          <w:ilvl w:val="0"/>
          <w:numId w:val="2"/>
        </w:numPr>
        <w:jc w:val="lowKashida"/>
        <w:rPr>
          <w:rFonts w:ascii="Times New Roman" w:hAnsi="Times New Roman" w:cs="Times New Roman"/>
          <w:sz w:val="24"/>
          <w:szCs w:val="24"/>
        </w:rPr>
      </w:pPr>
      <w:r w:rsidRPr="000A35AF">
        <w:rPr>
          <w:rFonts w:ascii="Times New Roman" w:hAnsi="Times New Roman" w:cs="Times New Roman"/>
          <w:b/>
          <w:bCs/>
          <w:sz w:val="24"/>
          <w:szCs w:val="24"/>
        </w:rPr>
        <w:t>Provide more comprehensive guidance on effective remedies</w:t>
      </w:r>
      <w:r w:rsidRPr="000A35AF">
        <w:rPr>
          <w:rFonts w:ascii="Times New Roman" w:hAnsi="Times New Roman" w:cs="Times New Roman"/>
          <w:sz w:val="24"/>
          <w:szCs w:val="24"/>
        </w:rPr>
        <w:t>, including timely judicial review, interim measures where appropriate, reinstatement or re-registration, compensation where appropriate, and guarantees of non-repetition.</w:t>
      </w:r>
    </w:p>
    <w:p w14:paraId="7EC9F88A" w14:textId="77777777" w:rsidR="000A35AF" w:rsidRDefault="000A35AF" w:rsidP="000A35AF">
      <w:pPr>
        <w:numPr>
          <w:ilvl w:val="0"/>
          <w:numId w:val="2"/>
        </w:numPr>
        <w:jc w:val="lowKashida"/>
        <w:rPr>
          <w:rFonts w:ascii="Times New Roman" w:hAnsi="Times New Roman" w:cs="Times New Roman"/>
          <w:sz w:val="24"/>
          <w:szCs w:val="24"/>
        </w:rPr>
      </w:pPr>
      <w:r w:rsidRPr="000A35AF">
        <w:rPr>
          <w:rFonts w:ascii="Times New Roman" w:hAnsi="Times New Roman" w:cs="Times New Roman"/>
          <w:b/>
          <w:bCs/>
          <w:sz w:val="24"/>
          <w:szCs w:val="24"/>
        </w:rPr>
        <w:t>Clarify the continued application of Article 22 during states of emergency, armed conflict, and other exceptional circumstances</w:t>
      </w:r>
      <w:r w:rsidRPr="000A35AF">
        <w:rPr>
          <w:rFonts w:ascii="Times New Roman" w:hAnsi="Times New Roman" w:cs="Times New Roman"/>
          <w:sz w:val="24"/>
          <w:szCs w:val="24"/>
        </w:rPr>
        <w:t>, emphasizing that any restrictions must remain consistent with the Covenant, including, where applicable, the requirements governing derogations under Article 4.</w:t>
      </w:r>
    </w:p>
    <w:p w14:paraId="4D42FBB4" w14:textId="77777777" w:rsidR="000A35AF" w:rsidRDefault="000A35AF" w:rsidP="000A35AF">
      <w:pPr>
        <w:numPr>
          <w:ilvl w:val="0"/>
          <w:numId w:val="2"/>
        </w:numPr>
        <w:jc w:val="lowKashida"/>
        <w:rPr>
          <w:rFonts w:ascii="Times New Roman" w:hAnsi="Times New Roman" w:cs="Times New Roman"/>
          <w:sz w:val="24"/>
          <w:szCs w:val="24"/>
        </w:rPr>
      </w:pPr>
      <w:r w:rsidRPr="000A35AF">
        <w:rPr>
          <w:rFonts w:ascii="Times New Roman" w:eastAsia="Times New Roman" w:hAnsi="Times New Roman" w:cs="Times New Roman"/>
          <w:b/>
          <w:bCs/>
          <w:sz w:val="24"/>
          <w:szCs w:val="24"/>
        </w:rPr>
        <w:t>Encouraging procedural safeguards against the arbitrary dissolution or suspension of associations</w:t>
      </w:r>
      <w:r w:rsidRPr="000A35AF">
        <w:rPr>
          <w:rFonts w:ascii="Times New Roman" w:eastAsia="Times New Roman" w:hAnsi="Times New Roman" w:cs="Times New Roman"/>
          <w:sz w:val="24"/>
          <w:szCs w:val="24"/>
        </w:rPr>
        <w:t>, including approaches whereby such measures may only be ordered by a competent judicial authority upon application by the relevant administrative authority, rather than through an administrative decision, thereby reinforcing due process and effective judicial oversight.</w:t>
      </w:r>
    </w:p>
    <w:p w14:paraId="1253AB76" w14:textId="769F0300" w:rsidR="000A35AF" w:rsidRPr="000A35AF" w:rsidRDefault="000A35AF" w:rsidP="000A35AF">
      <w:pPr>
        <w:numPr>
          <w:ilvl w:val="0"/>
          <w:numId w:val="2"/>
        </w:numPr>
        <w:jc w:val="lowKashida"/>
        <w:rPr>
          <w:rFonts w:ascii="Times New Roman" w:hAnsi="Times New Roman" w:cs="Times New Roman"/>
          <w:sz w:val="24"/>
          <w:szCs w:val="24"/>
        </w:rPr>
      </w:pPr>
      <w:r w:rsidRPr="000A35AF">
        <w:rPr>
          <w:rFonts w:ascii="Times New Roman" w:eastAsia="Times New Roman" w:hAnsi="Times New Roman" w:cs="Times New Roman"/>
          <w:b/>
          <w:bCs/>
          <w:sz w:val="24"/>
          <w:szCs w:val="24"/>
        </w:rPr>
        <w:t xml:space="preserve">Clarifying that the protection of freedom of association is fully compatible with lawful measures prohibiting advocacy constituting incitement to discrimination, </w:t>
      </w:r>
      <w:r w:rsidRPr="000A35AF">
        <w:rPr>
          <w:rFonts w:ascii="Times New Roman" w:eastAsia="Times New Roman" w:hAnsi="Times New Roman" w:cs="Times New Roman"/>
          <w:b/>
          <w:bCs/>
          <w:sz w:val="24"/>
          <w:szCs w:val="24"/>
        </w:rPr>
        <w:lastRenderedPageBreak/>
        <w:t>hostility, or violence and other forms of conduct prohibited under the Covenant</w:t>
      </w:r>
      <w:r w:rsidRPr="000A35AF">
        <w:rPr>
          <w:rFonts w:ascii="Times New Roman" w:eastAsia="Times New Roman" w:hAnsi="Times New Roman" w:cs="Times New Roman"/>
          <w:sz w:val="24"/>
          <w:szCs w:val="24"/>
        </w:rPr>
        <w:t>, provided that any such measures are prescribed by law and comply with the requirements of legality, legitimate aim, necessity, and proportionality.</w:t>
      </w:r>
    </w:p>
    <w:p w14:paraId="182C124F" w14:textId="77777777" w:rsidR="000A35AF" w:rsidRPr="000A35AF" w:rsidRDefault="000A35AF" w:rsidP="000A35AF">
      <w:pPr>
        <w:jc w:val="lowKashida"/>
        <w:rPr>
          <w:rFonts w:ascii="Times New Roman" w:hAnsi="Times New Roman" w:cs="Times New Roman"/>
          <w:sz w:val="24"/>
          <w:szCs w:val="24"/>
        </w:rPr>
      </w:pPr>
      <w:r w:rsidRPr="000A35AF">
        <w:rPr>
          <w:rFonts w:ascii="Times New Roman" w:hAnsi="Times New Roman" w:cs="Times New Roman"/>
          <w:sz w:val="24"/>
          <w:szCs w:val="24"/>
        </w:rPr>
        <w:t>In conclusion, the Council reiterates the importance of adopting a General Comment that provides a coherent and practical interpretation of Article 22, consistent with the Covenant and the Human Rights Committee's jurisprudence. Such guidance should assist States Parties in fulfilling their obligations while preserving the essence of the right to freedom of association, promoting legal certainty, strengthening the rule of law, and fostering an enabling environment in which associations can contribute effectively to democratic governance, sustainable development, and the protection of human rights.</w:t>
      </w:r>
    </w:p>
    <w:p w14:paraId="3E92D34A" w14:textId="77777777" w:rsidR="00AC0D6F" w:rsidRPr="00D90DFB" w:rsidRDefault="00AC0D6F" w:rsidP="00D90DFB">
      <w:pPr>
        <w:jc w:val="lowKashida"/>
        <w:rPr>
          <w:rFonts w:ascii="Times New Roman" w:hAnsi="Times New Roman" w:cs="Times New Roman"/>
          <w:sz w:val="24"/>
          <w:szCs w:val="24"/>
        </w:rPr>
      </w:pPr>
    </w:p>
    <w:sectPr w:rsidR="00AC0D6F" w:rsidRPr="00D90DF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BE5F066" w14:textId="77777777" w:rsidR="00602ECC" w:rsidRDefault="00602ECC" w:rsidP="00AC0D6F">
      <w:pPr>
        <w:spacing w:after="0" w:line="240" w:lineRule="auto"/>
      </w:pPr>
      <w:r>
        <w:separator/>
      </w:r>
    </w:p>
  </w:endnote>
  <w:endnote w:type="continuationSeparator" w:id="0">
    <w:p w14:paraId="096F60EA" w14:textId="77777777" w:rsidR="00602ECC" w:rsidRDefault="00602ECC" w:rsidP="00AC0D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9064086"/>
      <w:docPartObj>
        <w:docPartGallery w:val="Page Numbers (Bottom of Page)"/>
        <w:docPartUnique/>
      </w:docPartObj>
    </w:sdtPr>
    <w:sdtEndPr>
      <w:rPr>
        <w:noProof/>
      </w:rPr>
    </w:sdtEndPr>
    <w:sdtContent>
      <w:p w14:paraId="62E8A5EB" w14:textId="24439B04" w:rsidR="00AC0D6F" w:rsidRDefault="00AC0D6F">
        <w:pPr>
          <w:pStyle w:val="Footer"/>
          <w:jc w:val="right"/>
        </w:pPr>
        <w:r>
          <w:fldChar w:fldCharType="begin"/>
        </w:r>
        <w:r>
          <w:instrText xml:space="preserve"> PAGE   \* MERGEFORMAT </w:instrText>
        </w:r>
        <w:r>
          <w:fldChar w:fldCharType="separate"/>
        </w:r>
        <w:r w:rsidR="00EF79BB">
          <w:rPr>
            <w:noProof/>
          </w:rPr>
          <w:t>11</w:t>
        </w:r>
        <w:r>
          <w:rPr>
            <w:noProof/>
          </w:rPr>
          <w:fldChar w:fldCharType="end"/>
        </w:r>
      </w:p>
    </w:sdtContent>
  </w:sdt>
  <w:p w14:paraId="65B59E95" w14:textId="77777777" w:rsidR="00AC0D6F" w:rsidRDefault="00AC0D6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DDE626" w14:textId="77777777" w:rsidR="00602ECC" w:rsidRDefault="00602ECC" w:rsidP="00AC0D6F">
      <w:pPr>
        <w:spacing w:after="0" w:line="240" w:lineRule="auto"/>
      </w:pPr>
      <w:r>
        <w:separator/>
      </w:r>
    </w:p>
  </w:footnote>
  <w:footnote w:type="continuationSeparator" w:id="0">
    <w:p w14:paraId="1B939256" w14:textId="77777777" w:rsidR="00602ECC" w:rsidRDefault="00602ECC" w:rsidP="00AC0D6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82A91"/>
    <w:multiLevelType w:val="multilevel"/>
    <w:tmpl w:val="8966A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BF3053"/>
    <w:multiLevelType w:val="multilevel"/>
    <w:tmpl w:val="8966A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71CD23CE"/>
    <w:multiLevelType w:val="multilevel"/>
    <w:tmpl w:val="7CAC78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447"/>
    <w:rsid w:val="000658F3"/>
    <w:rsid w:val="000A35AF"/>
    <w:rsid w:val="00231933"/>
    <w:rsid w:val="004573B3"/>
    <w:rsid w:val="00466227"/>
    <w:rsid w:val="00471E90"/>
    <w:rsid w:val="004D008D"/>
    <w:rsid w:val="00514462"/>
    <w:rsid w:val="005C2E92"/>
    <w:rsid w:val="00602ECC"/>
    <w:rsid w:val="006B18DC"/>
    <w:rsid w:val="007A7CC9"/>
    <w:rsid w:val="007F2C1D"/>
    <w:rsid w:val="008124B3"/>
    <w:rsid w:val="00831056"/>
    <w:rsid w:val="008F5166"/>
    <w:rsid w:val="008F66EA"/>
    <w:rsid w:val="00AC0D6F"/>
    <w:rsid w:val="00B359AA"/>
    <w:rsid w:val="00BA0447"/>
    <w:rsid w:val="00D00098"/>
    <w:rsid w:val="00D278B3"/>
    <w:rsid w:val="00D32A8A"/>
    <w:rsid w:val="00D61322"/>
    <w:rsid w:val="00D90DFB"/>
    <w:rsid w:val="00D95A0C"/>
    <w:rsid w:val="00EF79BB"/>
    <w:rsid w:val="00FF118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2A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D6F"/>
  </w:style>
  <w:style w:type="paragraph" w:styleId="Footer">
    <w:name w:val="footer"/>
    <w:basedOn w:val="Normal"/>
    <w:link w:val="FooterChar"/>
    <w:uiPriority w:val="99"/>
    <w:unhideWhenUsed/>
    <w:rsid w:val="00AC0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D6F"/>
  </w:style>
  <w:style w:type="paragraph" w:styleId="NormalWeb">
    <w:name w:val="Normal (Web)"/>
    <w:basedOn w:val="Normal"/>
    <w:uiPriority w:val="99"/>
    <w:semiHidden/>
    <w:unhideWhenUsed/>
    <w:rsid w:val="00831056"/>
    <w:rPr>
      <w:rFonts w:ascii="Times New Roman" w:hAnsi="Times New Roman" w:cs="Times New Roman"/>
      <w:sz w:val="24"/>
      <w:szCs w:val="24"/>
    </w:rPr>
  </w:style>
  <w:style w:type="character" w:styleId="Strong">
    <w:name w:val="Strong"/>
    <w:basedOn w:val="DefaultParagraphFont"/>
    <w:uiPriority w:val="22"/>
    <w:qFormat/>
    <w:rsid w:val="000A35A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0D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0D6F"/>
  </w:style>
  <w:style w:type="paragraph" w:styleId="Footer">
    <w:name w:val="footer"/>
    <w:basedOn w:val="Normal"/>
    <w:link w:val="FooterChar"/>
    <w:uiPriority w:val="99"/>
    <w:unhideWhenUsed/>
    <w:rsid w:val="00AC0D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0D6F"/>
  </w:style>
  <w:style w:type="paragraph" w:styleId="NormalWeb">
    <w:name w:val="Normal (Web)"/>
    <w:basedOn w:val="Normal"/>
    <w:uiPriority w:val="99"/>
    <w:semiHidden/>
    <w:unhideWhenUsed/>
    <w:rsid w:val="00831056"/>
    <w:rPr>
      <w:rFonts w:ascii="Times New Roman" w:hAnsi="Times New Roman" w:cs="Times New Roman"/>
      <w:sz w:val="24"/>
      <w:szCs w:val="24"/>
    </w:rPr>
  </w:style>
  <w:style w:type="character" w:styleId="Strong">
    <w:name w:val="Strong"/>
    <w:basedOn w:val="DefaultParagraphFont"/>
    <w:uiPriority w:val="22"/>
    <w:qFormat/>
    <w:rsid w:val="000A35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2549173">
      <w:bodyDiv w:val="1"/>
      <w:marLeft w:val="0"/>
      <w:marRight w:val="0"/>
      <w:marTop w:val="0"/>
      <w:marBottom w:val="0"/>
      <w:divBdr>
        <w:top w:val="none" w:sz="0" w:space="0" w:color="auto"/>
        <w:left w:val="none" w:sz="0" w:space="0" w:color="auto"/>
        <w:bottom w:val="none" w:sz="0" w:space="0" w:color="auto"/>
        <w:right w:val="none" w:sz="0" w:space="0" w:color="auto"/>
      </w:divBdr>
    </w:div>
    <w:div w:id="621422721">
      <w:bodyDiv w:val="1"/>
      <w:marLeft w:val="0"/>
      <w:marRight w:val="0"/>
      <w:marTop w:val="0"/>
      <w:marBottom w:val="0"/>
      <w:divBdr>
        <w:top w:val="none" w:sz="0" w:space="0" w:color="auto"/>
        <w:left w:val="none" w:sz="0" w:space="0" w:color="auto"/>
        <w:bottom w:val="none" w:sz="0" w:space="0" w:color="auto"/>
        <w:right w:val="none" w:sz="0" w:space="0" w:color="auto"/>
      </w:divBdr>
    </w:div>
    <w:div w:id="783961701">
      <w:bodyDiv w:val="1"/>
      <w:marLeft w:val="0"/>
      <w:marRight w:val="0"/>
      <w:marTop w:val="0"/>
      <w:marBottom w:val="0"/>
      <w:divBdr>
        <w:top w:val="none" w:sz="0" w:space="0" w:color="auto"/>
        <w:left w:val="none" w:sz="0" w:space="0" w:color="auto"/>
        <w:bottom w:val="none" w:sz="0" w:space="0" w:color="auto"/>
        <w:right w:val="none" w:sz="0" w:space="0" w:color="auto"/>
      </w:divBdr>
    </w:div>
    <w:div w:id="1252543448">
      <w:bodyDiv w:val="1"/>
      <w:marLeft w:val="0"/>
      <w:marRight w:val="0"/>
      <w:marTop w:val="0"/>
      <w:marBottom w:val="0"/>
      <w:divBdr>
        <w:top w:val="none" w:sz="0" w:space="0" w:color="auto"/>
        <w:left w:val="none" w:sz="0" w:space="0" w:color="auto"/>
        <w:bottom w:val="none" w:sz="0" w:space="0" w:color="auto"/>
        <w:right w:val="none" w:sz="0" w:space="0" w:color="auto"/>
      </w:divBdr>
    </w:div>
    <w:div w:id="1355769043">
      <w:bodyDiv w:val="1"/>
      <w:marLeft w:val="0"/>
      <w:marRight w:val="0"/>
      <w:marTop w:val="0"/>
      <w:marBottom w:val="0"/>
      <w:divBdr>
        <w:top w:val="none" w:sz="0" w:space="0" w:color="auto"/>
        <w:left w:val="none" w:sz="0" w:space="0" w:color="auto"/>
        <w:bottom w:val="none" w:sz="0" w:space="0" w:color="auto"/>
        <w:right w:val="none" w:sz="0" w:space="0" w:color="auto"/>
      </w:divBdr>
    </w:div>
    <w:div w:id="1426029823">
      <w:bodyDiv w:val="1"/>
      <w:marLeft w:val="0"/>
      <w:marRight w:val="0"/>
      <w:marTop w:val="0"/>
      <w:marBottom w:val="0"/>
      <w:divBdr>
        <w:top w:val="none" w:sz="0" w:space="0" w:color="auto"/>
        <w:left w:val="none" w:sz="0" w:space="0" w:color="auto"/>
        <w:bottom w:val="none" w:sz="0" w:space="0" w:color="auto"/>
        <w:right w:val="none" w:sz="0" w:space="0" w:color="auto"/>
      </w:divBdr>
    </w:div>
    <w:div w:id="1464739282">
      <w:bodyDiv w:val="1"/>
      <w:marLeft w:val="0"/>
      <w:marRight w:val="0"/>
      <w:marTop w:val="0"/>
      <w:marBottom w:val="0"/>
      <w:divBdr>
        <w:top w:val="none" w:sz="0" w:space="0" w:color="auto"/>
        <w:left w:val="none" w:sz="0" w:space="0" w:color="auto"/>
        <w:bottom w:val="none" w:sz="0" w:space="0" w:color="auto"/>
        <w:right w:val="none" w:sz="0" w:space="0" w:color="auto"/>
      </w:divBdr>
    </w:div>
    <w:div w:id="1577745735">
      <w:bodyDiv w:val="1"/>
      <w:marLeft w:val="0"/>
      <w:marRight w:val="0"/>
      <w:marTop w:val="0"/>
      <w:marBottom w:val="0"/>
      <w:divBdr>
        <w:top w:val="none" w:sz="0" w:space="0" w:color="auto"/>
        <w:left w:val="none" w:sz="0" w:space="0" w:color="auto"/>
        <w:bottom w:val="none" w:sz="0" w:space="0" w:color="auto"/>
        <w:right w:val="none" w:sz="0" w:space="0" w:color="auto"/>
      </w:divBdr>
    </w:div>
    <w:div w:id="1587302903">
      <w:bodyDiv w:val="1"/>
      <w:marLeft w:val="0"/>
      <w:marRight w:val="0"/>
      <w:marTop w:val="0"/>
      <w:marBottom w:val="0"/>
      <w:divBdr>
        <w:top w:val="none" w:sz="0" w:space="0" w:color="auto"/>
        <w:left w:val="none" w:sz="0" w:space="0" w:color="auto"/>
        <w:bottom w:val="none" w:sz="0" w:space="0" w:color="auto"/>
        <w:right w:val="none" w:sz="0" w:space="0" w:color="auto"/>
      </w:divBdr>
    </w:div>
    <w:div w:id="1660813610">
      <w:bodyDiv w:val="1"/>
      <w:marLeft w:val="0"/>
      <w:marRight w:val="0"/>
      <w:marTop w:val="0"/>
      <w:marBottom w:val="0"/>
      <w:divBdr>
        <w:top w:val="none" w:sz="0" w:space="0" w:color="auto"/>
        <w:left w:val="none" w:sz="0" w:space="0" w:color="auto"/>
        <w:bottom w:val="none" w:sz="0" w:space="0" w:color="auto"/>
        <w:right w:val="none" w:sz="0" w:space="0" w:color="auto"/>
      </w:divBdr>
    </w:div>
    <w:div w:id="1684280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fa1020ff-48ad-4b90-98f4-7161a6f3b630">
      <Terms xmlns="http://schemas.microsoft.com/office/infopath/2007/PartnerControls"/>
    </lcf76f155ced4ddcb4097134ff3c332f>
    <Emailsubject xmlns="fa1020ff-48ad-4b90-98f4-7161a6f3b630" xsi:nil="true"/>
    <Sentby xmlns="fa1020ff-48ad-4b90-98f4-7161a6f3b630">
      <UserInfo>
        <DisplayName/>
        <AccountId xsi:nil="true"/>
        <AccountType/>
      </UserInfo>
    </Sentby>
  </documentManagement>
</p:properties>
</file>

<file path=customXml/itemProps1.xml><?xml version="1.0" encoding="utf-8"?>
<ds:datastoreItem xmlns:ds="http://schemas.openxmlformats.org/officeDocument/2006/customXml" ds:itemID="{BAA024B6-C686-4069-AD40-D17557AF86F7}"/>
</file>

<file path=customXml/itemProps2.xml><?xml version="1.0" encoding="utf-8"?>
<ds:datastoreItem xmlns:ds="http://schemas.openxmlformats.org/officeDocument/2006/customXml" ds:itemID="{2D6C31AF-A1BE-42C9-823B-8CA943C89B11}"/>
</file>

<file path=customXml/itemProps3.xml><?xml version="1.0" encoding="utf-8"?>
<ds:datastoreItem xmlns:ds="http://schemas.openxmlformats.org/officeDocument/2006/customXml" ds:itemID="{33D2E179-9EF5-4307-B8FD-AF1EFD3C0F43}"/>
</file>

<file path=docProps/app.xml><?xml version="1.0" encoding="utf-8"?>
<Properties xmlns="http://schemas.openxmlformats.org/officeDocument/2006/extended-properties" xmlns:vt="http://schemas.openxmlformats.org/officeDocument/2006/docPropsVTypes">
  <Template>Normal</Template>
  <TotalTime>1</TotalTime>
  <Pages>11</Pages>
  <Words>4762</Words>
  <Characters>27145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31844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mai naguib</cp:lastModifiedBy>
  <cp:revision>2</cp:revision>
  <dcterms:created xsi:type="dcterms:W3CDTF">2026-06-28T22:02:00Z</dcterms:created>
  <dcterms:modified xsi:type="dcterms:W3CDTF">2026-06-28T22:02:00Z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MediaServiceImageTags">
    <vt:lpwstr/>
  </property>
</Properties>
</file>