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C1213" w14:textId="7F44FC86" w:rsidR="0061583C" w:rsidRDefault="0061583C" w:rsidP="00831408">
      <w:pPr>
        <w:pStyle w:val="Ttulo3"/>
        <w:numPr>
          <w:ilvl w:val="0"/>
          <w:numId w:val="0"/>
        </w:numPr>
        <w:spacing w:before="0" w:beforeAutospacing="0" w:after="0" w:afterAutospacing="0" w:line="360" w:lineRule="auto"/>
        <w:jc w:val="both"/>
        <w:rPr>
          <w:rStyle w:val="apple-converted-space"/>
          <w:szCs w:val="24"/>
        </w:rPr>
      </w:pPr>
      <w:bookmarkStart w:id="0" w:name="_GoBack"/>
      <w:bookmarkEnd w:id="0"/>
      <w:r w:rsidRPr="00382DD9">
        <w:rPr>
          <w:rFonts w:ascii="Garamond" w:hAnsi="Garamond"/>
          <w:noProof/>
        </w:rPr>
        <w:drawing>
          <wp:inline distT="0" distB="0" distL="0" distR="0" wp14:anchorId="1498AC0D" wp14:editId="400D1C81">
            <wp:extent cx="1600200" cy="7715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771525"/>
                    </a:xfrm>
                    <a:prstGeom prst="rect">
                      <a:avLst/>
                    </a:prstGeom>
                    <a:noFill/>
                    <a:ln>
                      <a:noFill/>
                    </a:ln>
                  </pic:spPr>
                </pic:pic>
              </a:graphicData>
            </a:graphic>
          </wp:inline>
        </w:drawing>
      </w:r>
    </w:p>
    <w:p w14:paraId="6869F420" w14:textId="77777777" w:rsidR="0061583C" w:rsidRDefault="0061583C" w:rsidP="00831408">
      <w:pPr>
        <w:pStyle w:val="Ttulo3"/>
        <w:numPr>
          <w:ilvl w:val="0"/>
          <w:numId w:val="0"/>
        </w:numPr>
        <w:spacing w:before="0" w:beforeAutospacing="0" w:after="0" w:afterAutospacing="0" w:line="360" w:lineRule="auto"/>
        <w:jc w:val="both"/>
        <w:rPr>
          <w:rStyle w:val="apple-converted-space"/>
          <w:szCs w:val="24"/>
        </w:rPr>
      </w:pPr>
    </w:p>
    <w:p w14:paraId="291742CE"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7C6AA961"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22F0F88F"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117C456B"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7E403251" w14:textId="77777777" w:rsidR="0061583C" w:rsidRPr="0041430B" w:rsidRDefault="0061583C" w:rsidP="0061583C">
      <w:pPr>
        <w:pStyle w:val="Ttulo3"/>
        <w:numPr>
          <w:ilvl w:val="0"/>
          <w:numId w:val="0"/>
        </w:numPr>
        <w:spacing w:before="0" w:beforeAutospacing="0" w:after="0" w:afterAutospacing="0" w:line="360" w:lineRule="auto"/>
        <w:jc w:val="center"/>
        <w:rPr>
          <w:sz w:val="28"/>
          <w:szCs w:val="24"/>
        </w:rPr>
      </w:pPr>
      <w:r w:rsidRPr="0041430B">
        <w:rPr>
          <w:sz w:val="28"/>
          <w:szCs w:val="24"/>
        </w:rPr>
        <w:t>Defensoría del Pueblo de Ecuador</w:t>
      </w:r>
    </w:p>
    <w:p w14:paraId="7FD75BF0" w14:textId="33359163" w:rsidR="0061583C" w:rsidRPr="00EB59D3" w:rsidRDefault="0061583C" w:rsidP="0061583C">
      <w:pPr>
        <w:pStyle w:val="Ttulo3"/>
        <w:numPr>
          <w:ilvl w:val="0"/>
          <w:numId w:val="0"/>
        </w:numPr>
        <w:spacing w:after="0" w:line="360" w:lineRule="auto"/>
        <w:ind w:left="1428" w:hanging="720"/>
        <w:jc w:val="center"/>
        <w:rPr>
          <w:b w:val="0"/>
          <w:bCs w:val="0"/>
          <w:color w:val="595959" w:themeColor="text1" w:themeTint="A6"/>
          <w:sz w:val="22"/>
          <w:szCs w:val="20"/>
        </w:rPr>
      </w:pPr>
    </w:p>
    <w:p w14:paraId="213502EB" w14:textId="7E899F8C" w:rsidR="002559AA" w:rsidRDefault="00AC01BF" w:rsidP="002559AA">
      <w:pPr>
        <w:pStyle w:val="Ttulo3"/>
        <w:numPr>
          <w:ilvl w:val="0"/>
          <w:numId w:val="0"/>
        </w:numPr>
        <w:spacing w:before="0" w:beforeAutospacing="0" w:after="0" w:afterAutospacing="0" w:line="360" w:lineRule="auto"/>
        <w:jc w:val="center"/>
        <w:rPr>
          <w:b w:val="0"/>
          <w:sz w:val="28"/>
          <w:szCs w:val="24"/>
        </w:rPr>
      </w:pPr>
      <w:r w:rsidRPr="00AC01BF">
        <w:rPr>
          <w:b w:val="0"/>
          <w:sz w:val="28"/>
          <w:szCs w:val="24"/>
        </w:rPr>
        <w:t xml:space="preserve">Dirección Nacional </w:t>
      </w:r>
      <w:r w:rsidR="004E3900">
        <w:rPr>
          <w:b w:val="0"/>
          <w:sz w:val="28"/>
          <w:szCs w:val="24"/>
        </w:rPr>
        <w:t xml:space="preserve">de </w:t>
      </w:r>
      <w:r w:rsidR="00E87E18">
        <w:rPr>
          <w:b w:val="0"/>
          <w:sz w:val="28"/>
          <w:szCs w:val="24"/>
        </w:rPr>
        <w:t>I</w:t>
      </w:r>
      <w:r w:rsidR="004E3900">
        <w:rPr>
          <w:b w:val="0"/>
          <w:sz w:val="28"/>
          <w:szCs w:val="24"/>
        </w:rPr>
        <w:t xml:space="preserve">nvestigación de </w:t>
      </w:r>
      <w:r w:rsidR="00E87E18">
        <w:rPr>
          <w:b w:val="0"/>
          <w:sz w:val="28"/>
          <w:szCs w:val="24"/>
        </w:rPr>
        <w:t>D</w:t>
      </w:r>
      <w:r w:rsidR="004E3900">
        <w:rPr>
          <w:b w:val="0"/>
          <w:sz w:val="28"/>
          <w:szCs w:val="24"/>
        </w:rPr>
        <w:t xml:space="preserve">erechos Humanos y de la Naturaleza </w:t>
      </w:r>
    </w:p>
    <w:p w14:paraId="5007555A" w14:textId="77777777" w:rsidR="002559AA" w:rsidRDefault="002559AA" w:rsidP="002559AA">
      <w:pPr>
        <w:pStyle w:val="Ttulo3"/>
        <w:numPr>
          <w:ilvl w:val="0"/>
          <w:numId w:val="0"/>
        </w:numPr>
        <w:spacing w:before="0" w:beforeAutospacing="0" w:after="0" w:afterAutospacing="0" w:line="360" w:lineRule="auto"/>
        <w:jc w:val="center"/>
        <w:rPr>
          <w:b w:val="0"/>
          <w:sz w:val="28"/>
          <w:szCs w:val="24"/>
        </w:rPr>
      </w:pPr>
    </w:p>
    <w:p w14:paraId="060ABF2E" w14:textId="77777777" w:rsidR="002559AA" w:rsidRDefault="002559AA" w:rsidP="002559AA">
      <w:pPr>
        <w:pStyle w:val="Ttulo3"/>
        <w:numPr>
          <w:ilvl w:val="0"/>
          <w:numId w:val="0"/>
        </w:numPr>
        <w:spacing w:before="0" w:beforeAutospacing="0" w:after="0" w:afterAutospacing="0" w:line="360" w:lineRule="auto"/>
        <w:jc w:val="center"/>
        <w:rPr>
          <w:b w:val="0"/>
          <w:sz w:val="28"/>
          <w:szCs w:val="24"/>
        </w:rPr>
      </w:pPr>
    </w:p>
    <w:p w14:paraId="75B65425" w14:textId="77777777" w:rsidR="00761FCE" w:rsidRPr="003E1115" w:rsidRDefault="00761FCE" w:rsidP="002559AA">
      <w:pPr>
        <w:pStyle w:val="Ttulo3"/>
        <w:numPr>
          <w:ilvl w:val="0"/>
          <w:numId w:val="0"/>
        </w:numPr>
        <w:spacing w:before="0" w:beforeAutospacing="0" w:after="0" w:afterAutospacing="0" w:line="360" w:lineRule="auto"/>
        <w:jc w:val="center"/>
        <w:rPr>
          <w:rFonts w:asciiTheme="minorHAnsi" w:eastAsiaTheme="minorHAnsi" w:hAnsiTheme="minorHAnsi" w:cstheme="minorBidi"/>
          <w:b w:val="0"/>
          <w:bCs w:val="0"/>
          <w:sz w:val="28"/>
          <w:szCs w:val="24"/>
          <w:lang w:eastAsia="en-US"/>
        </w:rPr>
      </w:pPr>
    </w:p>
    <w:p w14:paraId="1372A9B1" w14:textId="607F18E4" w:rsidR="00C26BBF" w:rsidRPr="00C26BBF" w:rsidRDefault="00C26BBF" w:rsidP="00C26BBF">
      <w:pPr>
        <w:ind w:firstLine="0"/>
        <w:jc w:val="center"/>
        <w:rPr>
          <w:rFonts w:ascii="Times New Roman" w:eastAsia="Times New Roman" w:hAnsi="Times New Roman" w:cs="Times New Roman"/>
          <w:bCs/>
          <w:sz w:val="28"/>
          <w:szCs w:val="24"/>
          <w:lang w:eastAsia="es-EC"/>
        </w:rPr>
      </w:pPr>
      <w:r w:rsidRPr="00C26BBF">
        <w:rPr>
          <w:rFonts w:ascii="Times New Roman" w:eastAsia="Times New Roman" w:hAnsi="Times New Roman" w:cs="Times New Roman"/>
          <w:bCs/>
          <w:sz w:val="28"/>
          <w:szCs w:val="24"/>
          <w:lang w:eastAsia="es-EC"/>
        </w:rPr>
        <w:t>Contribución de la Defensoría del Pueblo de Ecuador al Proyecto de Observación General n.º 38 sobre el artículo 22 del Pacto Internacional de Derechos Civiles y Políticos</w:t>
      </w:r>
    </w:p>
    <w:p w14:paraId="2C184AF7" w14:textId="5C26E666" w:rsidR="00EE6F7C" w:rsidRPr="00A81A99" w:rsidRDefault="00EE6F7C" w:rsidP="0021738E">
      <w:pPr>
        <w:pStyle w:val="Ttulo3"/>
        <w:numPr>
          <w:ilvl w:val="0"/>
          <w:numId w:val="0"/>
        </w:numPr>
        <w:spacing w:line="360" w:lineRule="auto"/>
        <w:ind w:left="709" w:hanging="1"/>
        <w:jc w:val="center"/>
        <w:rPr>
          <w:b w:val="0"/>
          <w:sz w:val="28"/>
          <w:szCs w:val="24"/>
        </w:rPr>
      </w:pPr>
    </w:p>
    <w:p w14:paraId="3B00A32C"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2280A6BA"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3C88FBF2"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6E364C9A"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310AEB17" w14:textId="77777777" w:rsidR="0061583C" w:rsidRPr="0041430B" w:rsidRDefault="0061583C" w:rsidP="301F4835">
      <w:pPr>
        <w:pStyle w:val="Default"/>
        <w:spacing w:line="360" w:lineRule="auto"/>
        <w:rPr>
          <w:b/>
          <w:bCs/>
          <w:lang w:val="es-ES"/>
        </w:rPr>
      </w:pPr>
    </w:p>
    <w:p w14:paraId="4AECE85F" w14:textId="26BAC2AB" w:rsidR="301F4835" w:rsidRDefault="301F4835" w:rsidP="301F4835">
      <w:pPr>
        <w:pStyle w:val="Default"/>
        <w:spacing w:line="360" w:lineRule="auto"/>
        <w:rPr>
          <w:b/>
          <w:bCs/>
          <w:lang w:val="es-ES"/>
        </w:rPr>
      </w:pPr>
    </w:p>
    <w:p w14:paraId="3893FB55" w14:textId="402BCC5D" w:rsidR="301F4835" w:rsidRDefault="301F4835" w:rsidP="301F4835">
      <w:pPr>
        <w:pStyle w:val="Default"/>
        <w:spacing w:line="360" w:lineRule="auto"/>
        <w:rPr>
          <w:b/>
          <w:bCs/>
          <w:lang w:val="es-ES"/>
        </w:rPr>
      </w:pPr>
    </w:p>
    <w:p w14:paraId="2BF6E9F9" w14:textId="77777777" w:rsidR="00BF3B3C" w:rsidRPr="00BF3B3C" w:rsidRDefault="0061583C" w:rsidP="00BF3B3C">
      <w:pPr>
        <w:ind w:firstLine="0"/>
        <w:rPr>
          <w:rFonts w:ascii="Times New Roman" w:eastAsia="Times New Roman" w:hAnsi="Times New Roman" w:cs="Times New Roman"/>
          <w:sz w:val="24"/>
          <w:szCs w:val="24"/>
          <w:lang w:eastAsia="es-EC"/>
        </w:rPr>
      </w:pPr>
      <w:r w:rsidRPr="000C467D">
        <w:rPr>
          <w:rFonts w:ascii="Times New Roman" w:hAnsi="Times New Roman" w:cs="Times New Roman"/>
          <w:b/>
          <w:bCs/>
          <w:sz w:val="24"/>
          <w:szCs w:val="24"/>
          <w:lang w:val="es-ES"/>
        </w:rPr>
        <w:t>Organismo solicitante</w:t>
      </w:r>
      <w:r w:rsidRPr="00906DE9">
        <w:rPr>
          <w:rFonts w:ascii="Times New Roman" w:hAnsi="Times New Roman" w:cs="Times New Roman"/>
          <w:lang w:val="es-ES"/>
        </w:rPr>
        <w:t>:</w:t>
      </w:r>
      <w:r w:rsidRPr="0143C1D9">
        <w:rPr>
          <w:lang w:val="es-ES"/>
        </w:rPr>
        <w:t xml:space="preserve"> </w:t>
      </w:r>
      <w:r w:rsidR="00BF3B3C" w:rsidRPr="00BF3B3C">
        <w:rPr>
          <w:rFonts w:ascii="Times New Roman" w:eastAsia="Times New Roman" w:hAnsi="Times New Roman" w:cs="Times New Roman"/>
          <w:color w:val="000000"/>
          <w:sz w:val="24"/>
          <w:szCs w:val="24"/>
          <w:lang w:eastAsia="es-EC"/>
        </w:rPr>
        <w:t>Oficina del Alto Comisionado de las Naciones Unidas para los Derechos Humanos (OACNUDH)</w:t>
      </w:r>
    </w:p>
    <w:p w14:paraId="1DC734C5" w14:textId="1B5310DC" w:rsidR="0061583C" w:rsidRPr="008124F3" w:rsidRDefault="0061583C" w:rsidP="001001F1">
      <w:pPr>
        <w:pStyle w:val="Ttulo3"/>
        <w:numPr>
          <w:ilvl w:val="2"/>
          <w:numId w:val="0"/>
        </w:numPr>
        <w:spacing w:before="0" w:beforeAutospacing="0" w:after="0" w:afterAutospacing="0" w:line="360" w:lineRule="auto"/>
        <w:jc w:val="both"/>
        <w:rPr>
          <w:b w:val="0"/>
          <w:bCs w:val="0"/>
        </w:rPr>
      </w:pPr>
      <w:r w:rsidRPr="0143C1D9">
        <w:rPr>
          <w:lang w:val="es-ES"/>
        </w:rPr>
        <w:t xml:space="preserve">Fecha de envío: </w:t>
      </w:r>
      <w:r w:rsidR="00BF3B3C">
        <w:rPr>
          <w:b w:val="0"/>
          <w:bCs w:val="0"/>
          <w:lang w:val="es-ES"/>
        </w:rPr>
        <w:t>junio</w:t>
      </w:r>
      <w:r w:rsidR="008124F3">
        <w:rPr>
          <w:b w:val="0"/>
          <w:bCs w:val="0"/>
          <w:lang w:val="es-ES"/>
        </w:rPr>
        <w:t xml:space="preserve"> 2026</w:t>
      </w:r>
    </w:p>
    <w:p w14:paraId="72F47060" w14:textId="76E4570F" w:rsidR="0828F949" w:rsidRDefault="0828F949" w:rsidP="0828F949">
      <w:pPr>
        <w:spacing w:line="240" w:lineRule="auto"/>
        <w:ind w:firstLine="0"/>
        <w:jc w:val="left"/>
        <w:rPr>
          <w:rFonts w:ascii="Times New Roman" w:hAnsi="Times New Roman"/>
          <w:sz w:val="24"/>
          <w:szCs w:val="24"/>
        </w:rPr>
      </w:pPr>
    </w:p>
    <w:p w14:paraId="6B5AC382" w14:textId="3F65F7B3" w:rsidR="0828F949" w:rsidRDefault="0828F949" w:rsidP="0828F949">
      <w:pPr>
        <w:spacing w:line="240" w:lineRule="auto"/>
        <w:ind w:firstLine="0"/>
        <w:jc w:val="left"/>
        <w:rPr>
          <w:rFonts w:ascii="Times New Roman" w:hAnsi="Times New Roman"/>
          <w:sz w:val="24"/>
          <w:szCs w:val="24"/>
        </w:rPr>
      </w:pPr>
    </w:p>
    <w:p w14:paraId="6EF5A289" w14:textId="657C97EF" w:rsidR="0828F949" w:rsidRDefault="0828F949" w:rsidP="0828F949">
      <w:pPr>
        <w:spacing w:line="240" w:lineRule="auto"/>
        <w:ind w:firstLine="0"/>
        <w:jc w:val="left"/>
        <w:rPr>
          <w:rFonts w:ascii="Times New Roman" w:hAnsi="Times New Roman"/>
          <w:sz w:val="24"/>
          <w:szCs w:val="24"/>
        </w:rPr>
      </w:pPr>
    </w:p>
    <w:p w14:paraId="361B3D33" w14:textId="4755CA96" w:rsidR="0828F949" w:rsidRDefault="0828F949" w:rsidP="0828F949">
      <w:pPr>
        <w:spacing w:line="240" w:lineRule="auto"/>
        <w:ind w:firstLine="0"/>
        <w:jc w:val="left"/>
        <w:rPr>
          <w:rFonts w:ascii="Times New Roman" w:hAnsi="Times New Roman"/>
          <w:sz w:val="24"/>
          <w:szCs w:val="24"/>
        </w:rPr>
      </w:pPr>
    </w:p>
    <w:p w14:paraId="630B67FA" w14:textId="4D7981E4" w:rsidR="301F4835" w:rsidRDefault="301F4835" w:rsidP="301F4835">
      <w:pPr>
        <w:spacing w:line="240" w:lineRule="auto"/>
        <w:ind w:firstLine="0"/>
        <w:jc w:val="left"/>
        <w:rPr>
          <w:rFonts w:ascii="Times New Roman" w:hAnsi="Times New Roman"/>
          <w:sz w:val="24"/>
          <w:szCs w:val="24"/>
        </w:rPr>
      </w:pPr>
    </w:p>
    <w:p w14:paraId="4E5F6042" w14:textId="028A262F" w:rsidR="0828F949" w:rsidRDefault="0828F949" w:rsidP="0828F949">
      <w:pPr>
        <w:spacing w:line="240" w:lineRule="auto"/>
        <w:ind w:firstLine="0"/>
        <w:jc w:val="left"/>
        <w:rPr>
          <w:rFonts w:ascii="Times New Roman" w:hAnsi="Times New Roman"/>
          <w:sz w:val="24"/>
          <w:szCs w:val="24"/>
        </w:rPr>
      </w:pPr>
    </w:p>
    <w:p w14:paraId="63755389" w14:textId="6E3C84FD" w:rsidR="301F4835" w:rsidRDefault="301F4835">
      <w:r>
        <w:br w:type="page"/>
      </w:r>
    </w:p>
    <w:p w14:paraId="1052324E" w14:textId="4A849135" w:rsidR="0061583C" w:rsidRPr="0061583C" w:rsidRDefault="0061583C" w:rsidP="301F4835">
      <w:pPr>
        <w:spacing w:line="240" w:lineRule="auto"/>
        <w:ind w:firstLine="0"/>
        <w:jc w:val="left"/>
        <w:rPr>
          <w:rFonts w:ascii="Times New Roman" w:hAnsi="Times New Roman"/>
          <w:b/>
          <w:bCs/>
          <w:sz w:val="24"/>
          <w:szCs w:val="24"/>
        </w:rPr>
      </w:pPr>
      <w:r w:rsidRPr="301F4835">
        <w:rPr>
          <w:rFonts w:ascii="Times New Roman" w:hAnsi="Times New Roman"/>
          <w:sz w:val="24"/>
          <w:szCs w:val="24"/>
        </w:rPr>
        <w:lastRenderedPageBreak/>
        <w:t xml:space="preserve">César Marcel Córdova </w:t>
      </w:r>
      <w:r w:rsidR="2A3FBBFD" w:rsidRPr="301F4835">
        <w:rPr>
          <w:rFonts w:ascii="Times New Roman" w:hAnsi="Times New Roman"/>
          <w:sz w:val="24"/>
          <w:szCs w:val="24"/>
        </w:rPr>
        <w:t>Valverde</w:t>
      </w:r>
    </w:p>
    <w:p w14:paraId="1F69FE2E" w14:textId="1667F819" w:rsidR="0061583C" w:rsidRPr="0061583C" w:rsidRDefault="0061583C" w:rsidP="0061583C">
      <w:pPr>
        <w:spacing w:line="240" w:lineRule="auto"/>
        <w:ind w:firstLine="0"/>
        <w:jc w:val="left"/>
        <w:rPr>
          <w:rFonts w:ascii="Times New Roman" w:hAnsi="Times New Roman"/>
          <w:b/>
          <w:bCs/>
          <w:sz w:val="24"/>
          <w:szCs w:val="24"/>
        </w:rPr>
      </w:pPr>
      <w:r w:rsidRPr="301F4835">
        <w:rPr>
          <w:rFonts w:ascii="Times New Roman" w:hAnsi="Times New Roman"/>
          <w:b/>
          <w:bCs/>
          <w:sz w:val="24"/>
          <w:szCs w:val="24"/>
        </w:rPr>
        <w:t xml:space="preserve">Defensor del Pueblo de Ecuador encargado </w:t>
      </w:r>
    </w:p>
    <w:p w14:paraId="7DF74643" w14:textId="77777777" w:rsidR="0061583C" w:rsidRDefault="0061583C" w:rsidP="0061583C">
      <w:pPr>
        <w:spacing w:line="240" w:lineRule="auto"/>
        <w:ind w:firstLine="0"/>
        <w:jc w:val="left"/>
        <w:rPr>
          <w:rFonts w:ascii="Times New Roman" w:hAnsi="Times New Roman"/>
          <w:bCs/>
          <w:sz w:val="24"/>
          <w:szCs w:val="24"/>
        </w:rPr>
      </w:pPr>
    </w:p>
    <w:p w14:paraId="11A2E868" w14:textId="77777777" w:rsidR="00387C65" w:rsidRPr="00A8641A" w:rsidRDefault="00387C65" w:rsidP="00387C65">
      <w:pPr>
        <w:spacing w:line="240" w:lineRule="auto"/>
        <w:ind w:firstLine="0"/>
        <w:jc w:val="left"/>
        <w:rPr>
          <w:rFonts w:ascii="Times New Roman" w:hAnsi="Times New Roman"/>
          <w:bCs/>
          <w:sz w:val="24"/>
          <w:szCs w:val="24"/>
        </w:rPr>
      </w:pPr>
      <w:r w:rsidRPr="00A8641A">
        <w:rPr>
          <w:rFonts w:ascii="Times New Roman" w:hAnsi="Times New Roman"/>
          <w:bCs/>
          <w:sz w:val="24"/>
          <w:szCs w:val="24"/>
        </w:rPr>
        <w:t>Rodrigo Fernando Varela Torres</w:t>
      </w:r>
    </w:p>
    <w:p w14:paraId="314D210C" w14:textId="635B981E" w:rsidR="00285998" w:rsidRPr="0061583C" w:rsidRDefault="0061583C" w:rsidP="0061583C">
      <w:pPr>
        <w:spacing w:line="240" w:lineRule="auto"/>
        <w:ind w:firstLine="0"/>
        <w:jc w:val="left"/>
        <w:rPr>
          <w:rFonts w:ascii="Times New Roman" w:hAnsi="Times New Roman"/>
          <w:b/>
          <w:bCs/>
          <w:sz w:val="24"/>
          <w:szCs w:val="24"/>
        </w:rPr>
      </w:pPr>
      <w:r w:rsidRPr="431E6DA9">
        <w:rPr>
          <w:rFonts w:ascii="Times New Roman" w:hAnsi="Times New Roman"/>
          <w:b/>
          <w:bCs/>
          <w:sz w:val="24"/>
          <w:szCs w:val="24"/>
        </w:rPr>
        <w:t xml:space="preserve">Secretario </w:t>
      </w:r>
      <w:r w:rsidR="006070BA">
        <w:rPr>
          <w:rFonts w:ascii="Times New Roman" w:hAnsi="Times New Roman"/>
          <w:b/>
          <w:bCs/>
          <w:sz w:val="24"/>
          <w:szCs w:val="24"/>
        </w:rPr>
        <w:t>G</w:t>
      </w:r>
      <w:r w:rsidRPr="431E6DA9">
        <w:rPr>
          <w:rFonts w:ascii="Times New Roman" w:hAnsi="Times New Roman"/>
          <w:b/>
          <w:bCs/>
          <w:sz w:val="24"/>
          <w:szCs w:val="24"/>
        </w:rPr>
        <w:t xml:space="preserve">eneral Misional </w:t>
      </w:r>
    </w:p>
    <w:p w14:paraId="124F8462" w14:textId="77777777" w:rsidR="0061583C" w:rsidRDefault="0061583C" w:rsidP="0061583C">
      <w:pPr>
        <w:spacing w:line="240" w:lineRule="auto"/>
        <w:ind w:firstLine="0"/>
        <w:jc w:val="left"/>
        <w:rPr>
          <w:rFonts w:ascii="Times New Roman" w:hAnsi="Times New Roman"/>
          <w:bCs/>
          <w:sz w:val="24"/>
          <w:szCs w:val="24"/>
        </w:rPr>
      </w:pPr>
    </w:p>
    <w:p w14:paraId="43B039A6" w14:textId="77777777" w:rsidR="00EC10BF" w:rsidRDefault="00EC10BF" w:rsidP="0061583C">
      <w:pPr>
        <w:spacing w:line="240" w:lineRule="auto"/>
        <w:ind w:firstLine="0"/>
        <w:jc w:val="left"/>
        <w:rPr>
          <w:rFonts w:ascii="Times New Roman" w:hAnsi="Times New Roman"/>
          <w:b/>
          <w:bCs/>
          <w:sz w:val="24"/>
          <w:szCs w:val="24"/>
        </w:rPr>
      </w:pPr>
      <w:r w:rsidRPr="00EC10BF">
        <w:rPr>
          <w:rFonts w:ascii="Times New Roman" w:hAnsi="Times New Roman"/>
          <w:bCs/>
          <w:sz w:val="24"/>
          <w:szCs w:val="24"/>
        </w:rPr>
        <w:t>Galo Hernán Rodríguez Caicedo</w:t>
      </w:r>
      <w:r w:rsidRPr="00EC10BF">
        <w:rPr>
          <w:rFonts w:ascii="Times New Roman" w:hAnsi="Times New Roman"/>
          <w:b/>
          <w:bCs/>
          <w:sz w:val="24"/>
          <w:szCs w:val="24"/>
        </w:rPr>
        <w:t xml:space="preserve"> </w:t>
      </w:r>
    </w:p>
    <w:p w14:paraId="16F8C456" w14:textId="51FBCB39" w:rsidR="0061583C" w:rsidRDefault="0061583C" w:rsidP="0061583C">
      <w:pPr>
        <w:spacing w:line="240" w:lineRule="auto"/>
        <w:ind w:firstLine="0"/>
        <w:jc w:val="left"/>
        <w:rPr>
          <w:rFonts w:ascii="Times New Roman" w:hAnsi="Times New Roman"/>
          <w:b/>
          <w:bCs/>
          <w:sz w:val="24"/>
          <w:szCs w:val="24"/>
        </w:rPr>
      </w:pPr>
      <w:r w:rsidRPr="0061583C">
        <w:rPr>
          <w:rFonts w:ascii="Times New Roman" w:hAnsi="Times New Roman"/>
          <w:b/>
          <w:bCs/>
          <w:sz w:val="24"/>
          <w:szCs w:val="24"/>
        </w:rPr>
        <w:t>Coordinador General de Producción Especializada de Gestión del Conocimiento e Investigación</w:t>
      </w:r>
    </w:p>
    <w:p w14:paraId="7BA040DF" w14:textId="4DE59F73" w:rsidR="003D76A4" w:rsidRPr="00732846" w:rsidRDefault="003D76A4" w:rsidP="0061583C">
      <w:pPr>
        <w:spacing w:line="240" w:lineRule="auto"/>
        <w:ind w:firstLine="0"/>
        <w:jc w:val="left"/>
        <w:rPr>
          <w:rFonts w:ascii="Times New Roman" w:hAnsi="Times New Roman"/>
          <w:bCs/>
          <w:sz w:val="24"/>
          <w:szCs w:val="24"/>
        </w:rPr>
      </w:pPr>
    </w:p>
    <w:p w14:paraId="5AB01582" w14:textId="7B53ED6E" w:rsidR="0061583C" w:rsidRPr="00732846" w:rsidRDefault="00BC2366" w:rsidP="0061583C">
      <w:pPr>
        <w:spacing w:line="240" w:lineRule="auto"/>
        <w:ind w:firstLine="0"/>
        <w:jc w:val="left"/>
        <w:rPr>
          <w:rFonts w:ascii="Times New Roman" w:hAnsi="Times New Roman" w:cs="Times New Roman"/>
          <w:bCs/>
          <w:sz w:val="24"/>
        </w:rPr>
      </w:pPr>
      <w:r w:rsidRPr="00732846">
        <w:rPr>
          <w:rFonts w:ascii="Times New Roman" w:hAnsi="Times New Roman" w:cs="Times New Roman"/>
          <w:bCs/>
          <w:sz w:val="24"/>
        </w:rPr>
        <w:t>Miguel Ángel Chimborazo Gaón</w:t>
      </w:r>
    </w:p>
    <w:p w14:paraId="23150097" w14:textId="17414D18" w:rsidR="00BC2366" w:rsidRDefault="00BC2366" w:rsidP="0061583C">
      <w:pPr>
        <w:spacing w:line="240" w:lineRule="auto"/>
        <w:ind w:firstLine="0"/>
        <w:jc w:val="left"/>
        <w:rPr>
          <w:rFonts w:ascii="Times New Roman" w:hAnsi="Times New Roman" w:cs="Times New Roman"/>
          <w:b/>
          <w:sz w:val="24"/>
        </w:rPr>
      </w:pPr>
      <w:r w:rsidRPr="00BC2366">
        <w:rPr>
          <w:rFonts w:ascii="Times New Roman" w:hAnsi="Times New Roman" w:cs="Times New Roman"/>
          <w:b/>
          <w:sz w:val="24"/>
        </w:rPr>
        <w:t>Coordinador General de Protección de Derechos Humanos y de la Naturaleza</w:t>
      </w:r>
    </w:p>
    <w:p w14:paraId="0C526FA7" w14:textId="77777777" w:rsidR="00732846" w:rsidRDefault="00732846" w:rsidP="0061583C">
      <w:pPr>
        <w:spacing w:line="240" w:lineRule="auto"/>
        <w:ind w:firstLine="0"/>
        <w:jc w:val="left"/>
        <w:rPr>
          <w:rFonts w:ascii="Times New Roman" w:hAnsi="Times New Roman" w:cs="Times New Roman"/>
          <w:b/>
          <w:sz w:val="24"/>
        </w:rPr>
      </w:pPr>
    </w:p>
    <w:p w14:paraId="694EAA49" w14:textId="5A6214F5" w:rsidR="00732846" w:rsidRPr="00732846" w:rsidRDefault="00722B05" w:rsidP="0061583C">
      <w:pPr>
        <w:spacing w:line="240" w:lineRule="auto"/>
        <w:ind w:firstLine="0"/>
        <w:jc w:val="left"/>
        <w:rPr>
          <w:rFonts w:ascii="Times New Roman" w:hAnsi="Times New Roman" w:cs="Times New Roman"/>
          <w:bCs/>
          <w:sz w:val="24"/>
        </w:rPr>
      </w:pPr>
      <w:r>
        <w:rPr>
          <w:rFonts w:ascii="Times New Roman" w:hAnsi="Times New Roman" w:cs="Times New Roman"/>
          <w:bCs/>
          <w:sz w:val="24"/>
        </w:rPr>
        <w:t>Miryam Rocío Arguello Ulloa</w:t>
      </w:r>
    </w:p>
    <w:p w14:paraId="3724F458" w14:textId="59583514" w:rsidR="00732846" w:rsidRDefault="00722B05" w:rsidP="0061583C">
      <w:pPr>
        <w:spacing w:line="240" w:lineRule="auto"/>
        <w:ind w:firstLine="0"/>
        <w:jc w:val="left"/>
        <w:rPr>
          <w:rFonts w:ascii="Times New Roman" w:hAnsi="Times New Roman" w:cs="Times New Roman"/>
          <w:b/>
          <w:sz w:val="24"/>
        </w:rPr>
      </w:pPr>
      <w:r>
        <w:rPr>
          <w:rFonts w:ascii="Times New Roman" w:hAnsi="Times New Roman" w:cs="Times New Roman"/>
          <w:b/>
          <w:sz w:val="24"/>
        </w:rPr>
        <w:t xml:space="preserve">Coordinadora </w:t>
      </w:r>
      <w:r w:rsidR="00732846" w:rsidRPr="00732846">
        <w:rPr>
          <w:rFonts w:ascii="Times New Roman" w:hAnsi="Times New Roman" w:cs="Times New Roman"/>
          <w:b/>
          <w:sz w:val="24"/>
        </w:rPr>
        <w:t>General de Prevención y Promoción de Derechos Humanos</w:t>
      </w:r>
    </w:p>
    <w:p w14:paraId="650E1343" w14:textId="77777777" w:rsidR="00EC10BF" w:rsidRDefault="00EC10BF" w:rsidP="0061583C">
      <w:pPr>
        <w:spacing w:line="240" w:lineRule="auto"/>
        <w:ind w:firstLine="0"/>
        <w:jc w:val="left"/>
        <w:rPr>
          <w:rFonts w:ascii="Times New Roman" w:hAnsi="Times New Roman" w:cs="Times New Roman"/>
          <w:b/>
          <w:sz w:val="24"/>
        </w:rPr>
      </w:pPr>
    </w:p>
    <w:p w14:paraId="0FFEAD8B" w14:textId="77777777" w:rsidR="0061583C" w:rsidRPr="00040F15" w:rsidRDefault="0061583C" w:rsidP="0061583C">
      <w:pPr>
        <w:spacing w:line="240" w:lineRule="auto"/>
        <w:ind w:firstLine="0"/>
        <w:jc w:val="left"/>
        <w:rPr>
          <w:rFonts w:ascii="Times New Roman" w:hAnsi="Times New Roman" w:cs="Times New Roman"/>
          <w:b/>
          <w:sz w:val="24"/>
        </w:rPr>
      </w:pPr>
      <w:r w:rsidRPr="00040F15">
        <w:rPr>
          <w:rFonts w:ascii="Times New Roman" w:hAnsi="Times New Roman" w:cs="Times New Roman"/>
          <w:b/>
          <w:sz w:val="24"/>
        </w:rPr>
        <w:t>Revisión</w:t>
      </w:r>
    </w:p>
    <w:p w14:paraId="7735A36A" w14:textId="77777777" w:rsidR="0061583C" w:rsidRDefault="0061583C" w:rsidP="0061583C">
      <w:pPr>
        <w:spacing w:line="240" w:lineRule="auto"/>
        <w:ind w:firstLine="0"/>
        <w:jc w:val="left"/>
        <w:rPr>
          <w:rFonts w:ascii="Times New Roman" w:hAnsi="Times New Roman" w:cs="Times New Roman"/>
          <w:b/>
          <w:sz w:val="24"/>
        </w:rPr>
      </w:pPr>
    </w:p>
    <w:p w14:paraId="3849537A" w14:textId="59A34205" w:rsidR="00137EBA" w:rsidRPr="00032AD8" w:rsidRDefault="00A20BFB" w:rsidP="00137EBA">
      <w:pPr>
        <w:spacing w:line="240" w:lineRule="auto"/>
        <w:ind w:firstLine="0"/>
        <w:jc w:val="left"/>
        <w:rPr>
          <w:rFonts w:ascii="Times New Roman" w:hAnsi="Times New Roman" w:cs="Times New Roman"/>
          <w:bCs/>
          <w:sz w:val="24"/>
        </w:rPr>
      </w:pPr>
      <w:r>
        <w:rPr>
          <w:rFonts w:ascii="Times New Roman" w:hAnsi="Times New Roman" w:cs="Times New Roman"/>
          <w:bCs/>
          <w:sz w:val="24"/>
        </w:rPr>
        <w:t>Ricardo Alonso Durán Jaramillo</w:t>
      </w:r>
    </w:p>
    <w:p w14:paraId="701436B9" w14:textId="409B345A" w:rsidR="00137EBA" w:rsidRPr="00040F15" w:rsidRDefault="00137EBA" w:rsidP="00137EBA">
      <w:pPr>
        <w:spacing w:line="240" w:lineRule="auto"/>
        <w:ind w:firstLine="0"/>
        <w:jc w:val="left"/>
        <w:rPr>
          <w:rFonts w:ascii="Times New Roman" w:hAnsi="Times New Roman" w:cs="Times New Roman"/>
          <w:b/>
          <w:sz w:val="24"/>
        </w:rPr>
      </w:pPr>
      <w:r w:rsidRPr="00040F15">
        <w:rPr>
          <w:rFonts w:ascii="Times New Roman" w:hAnsi="Times New Roman" w:cs="Times New Roman"/>
          <w:b/>
          <w:sz w:val="24"/>
        </w:rPr>
        <w:t>Direc</w:t>
      </w:r>
      <w:r>
        <w:rPr>
          <w:rFonts w:ascii="Times New Roman" w:hAnsi="Times New Roman" w:cs="Times New Roman"/>
          <w:b/>
          <w:sz w:val="24"/>
        </w:rPr>
        <w:t xml:space="preserve">tor </w:t>
      </w:r>
      <w:r w:rsidRPr="00040F15">
        <w:rPr>
          <w:rFonts w:ascii="Times New Roman" w:hAnsi="Times New Roman" w:cs="Times New Roman"/>
          <w:b/>
          <w:sz w:val="24"/>
        </w:rPr>
        <w:t>Nacional de</w:t>
      </w:r>
      <w:r w:rsidR="00F33CD7">
        <w:rPr>
          <w:rFonts w:ascii="Times New Roman" w:hAnsi="Times New Roman" w:cs="Times New Roman"/>
          <w:b/>
          <w:sz w:val="24"/>
        </w:rPr>
        <w:t xml:space="preserve"> Investigación en</w:t>
      </w:r>
      <w:r>
        <w:rPr>
          <w:rFonts w:ascii="Times New Roman" w:hAnsi="Times New Roman" w:cs="Times New Roman"/>
          <w:b/>
          <w:sz w:val="24"/>
        </w:rPr>
        <w:t xml:space="preserve"> Dere</w:t>
      </w:r>
      <w:r w:rsidR="006070BA">
        <w:rPr>
          <w:rFonts w:ascii="Times New Roman" w:hAnsi="Times New Roman" w:cs="Times New Roman"/>
          <w:b/>
          <w:sz w:val="24"/>
        </w:rPr>
        <w:t>chos Humanos y de la Naturaleza</w:t>
      </w:r>
      <w:r>
        <w:rPr>
          <w:rFonts w:ascii="Times New Roman" w:hAnsi="Times New Roman" w:cs="Times New Roman"/>
          <w:b/>
          <w:sz w:val="24"/>
        </w:rPr>
        <w:t xml:space="preserve"> </w:t>
      </w:r>
    </w:p>
    <w:p w14:paraId="6475E8AD" w14:textId="77777777" w:rsidR="00FE77C3" w:rsidRDefault="00FE77C3" w:rsidP="0061583C">
      <w:pPr>
        <w:spacing w:line="240" w:lineRule="auto"/>
        <w:ind w:firstLine="0"/>
        <w:jc w:val="left"/>
        <w:rPr>
          <w:rFonts w:ascii="Times New Roman" w:hAnsi="Times New Roman" w:cs="Times New Roman"/>
          <w:b/>
          <w:sz w:val="24"/>
        </w:rPr>
      </w:pPr>
    </w:p>
    <w:p w14:paraId="53899CA2" w14:textId="77777777" w:rsidR="00A20BFB" w:rsidRDefault="00A20BFB" w:rsidP="0061583C">
      <w:pPr>
        <w:spacing w:line="240" w:lineRule="auto"/>
        <w:ind w:firstLine="0"/>
        <w:jc w:val="left"/>
        <w:rPr>
          <w:rFonts w:ascii="Times New Roman" w:hAnsi="Times New Roman" w:cs="Times New Roman"/>
          <w:b/>
          <w:sz w:val="24"/>
        </w:rPr>
      </w:pPr>
    </w:p>
    <w:p w14:paraId="4092EF8E" w14:textId="77777777" w:rsidR="00FE77C3" w:rsidRDefault="00FE77C3" w:rsidP="0061583C">
      <w:pPr>
        <w:spacing w:line="240" w:lineRule="auto"/>
        <w:ind w:firstLine="0"/>
        <w:jc w:val="left"/>
        <w:rPr>
          <w:rFonts w:ascii="Times New Roman" w:hAnsi="Times New Roman" w:cs="Times New Roman"/>
          <w:b/>
          <w:sz w:val="24"/>
        </w:rPr>
      </w:pPr>
    </w:p>
    <w:p w14:paraId="158CA9C1" w14:textId="77777777" w:rsidR="0005213F" w:rsidRDefault="00FE77C3" w:rsidP="0005213F">
      <w:pPr>
        <w:spacing w:line="240" w:lineRule="auto"/>
        <w:ind w:firstLine="0"/>
        <w:jc w:val="left"/>
        <w:rPr>
          <w:rFonts w:ascii="Times New Roman" w:hAnsi="Times New Roman" w:cs="Times New Roman"/>
          <w:b/>
          <w:sz w:val="24"/>
        </w:rPr>
      </w:pPr>
      <w:r w:rsidRPr="00FE77C3">
        <w:rPr>
          <w:rFonts w:ascii="Times New Roman" w:hAnsi="Times New Roman" w:cs="Times New Roman"/>
          <w:b/>
          <w:sz w:val="24"/>
        </w:rPr>
        <w:t>E</w:t>
      </w:r>
      <w:r w:rsidR="0061583C" w:rsidRPr="00FE77C3">
        <w:rPr>
          <w:rFonts w:ascii="Times New Roman" w:hAnsi="Times New Roman" w:cs="Times New Roman"/>
          <w:b/>
          <w:sz w:val="24"/>
        </w:rPr>
        <w:t>l</w:t>
      </w:r>
      <w:r w:rsidR="0061583C" w:rsidRPr="00040F15">
        <w:rPr>
          <w:rFonts w:ascii="Times New Roman" w:hAnsi="Times New Roman" w:cs="Times New Roman"/>
          <w:b/>
          <w:sz w:val="24"/>
        </w:rPr>
        <w:t>aboración</w:t>
      </w:r>
    </w:p>
    <w:p w14:paraId="2F7B8887" w14:textId="5F26D60D" w:rsidR="00F74C06" w:rsidRPr="00F74C06" w:rsidRDefault="00F74C06" w:rsidP="00F74C06">
      <w:pPr>
        <w:spacing w:line="240" w:lineRule="auto"/>
        <w:ind w:firstLine="0"/>
        <w:jc w:val="left"/>
        <w:rPr>
          <w:rFonts w:ascii="Times New Roman" w:hAnsi="Times New Roman"/>
          <w:sz w:val="24"/>
          <w:szCs w:val="24"/>
        </w:rPr>
      </w:pPr>
      <w:r w:rsidRPr="00F74C06">
        <w:rPr>
          <w:rFonts w:ascii="Times New Roman" w:hAnsi="Times New Roman"/>
          <w:sz w:val="24"/>
          <w:szCs w:val="24"/>
        </w:rPr>
        <w:t>Coordinación General de Producción Especializada de Gestión del Conocimiento e Investigación</w:t>
      </w:r>
    </w:p>
    <w:p w14:paraId="7695BEDE" w14:textId="57F72C93" w:rsidR="00F74C06" w:rsidRPr="00F74C06" w:rsidRDefault="00F74C06" w:rsidP="00F74C06">
      <w:pPr>
        <w:spacing w:line="240" w:lineRule="auto"/>
        <w:ind w:firstLine="0"/>
        <w:jc w:val="left"/>
        <w:rPr>
          <w:rFonts w:ascii="Times New Roman" w:hAnsi="Times New Roman" w:cs="Times New Roman"/>
          <w:sz w:val="24"/>
        </w:rPr>
      </w:pPr>
      <w:r w:rsidRPr="00F74C06">
        <w:rPr>
          <w:rFonts w:ascii="Times New Roman" w:hAnsi="Times New Roman" w:cs="Times New Roman"/>
          <w:sz w:val="24"/>
        </w:rPr>
        <w:t>Coordinación General de Protección de Derechos Humanos y de la Naturaleza</w:t>
      </w:r>
    </w:p>
    <w:p w14:paraId="52530B15" w14:textId="69A51F74" w:rsidR="00A13DA3" w:rsidRPr="00F74C06" w:rsidRDefault="00F74C06" w:rsidP="00F74C06">
      <w:pPr>
        <w:ind w:firstLine="0"/>
        <w:rPr>
          <w:rFonts w:ascii="Times New Roman" w:hAnsi="Times New Roman" w:cs="Times New Roman"/>
          <w:sz w:val="24"/>
        </w:rPr>
      </w:pPr>
      <w:r w:rsidRPr="00F74C06">
        <w:rPr>
          <w:rFonts w:ascii="Times New Roman" w:hAnsi="Times New Roman" w:cs="Times New Roman"/>
          <w:sz w:val="24"/>
        </w:rPr>
        <w:t>Coordinación General de Prevención y Promoción de Derechos Humanos</w:t>
      </w:r>
    </w:p>
    <w:p w14:paraId="013987DD" w14:textId="095D735F" w:rsidR="00C74961" w:rsidRDefault="00C74961" w:rsidP="00A13DA3">
      <w:pPr>
        <w:ind w:firstLine="0"/>
        <w:rPr>
          <w:rFonts w:ascii="Times New Roman" w:hAnsi="Times New Roman" w:cs="Times New Roman"/>
          <w:bCs/>
          <w:sz w:val="24"/>
        </w:rPr>
      </w:pPr>
    </w:p>
    <w:p w14:paraId="2A3FB562" w14:textId="77777777" w:rsidR="00C74961" w:rsidRPr="00902920" w:rsidRDefault="00C74961" w:rsidP="00902920">
      <w:pPr>
        <w:ind w:firstLine="0"/>
        <w:rPr>
          <w:rFonts w:ascii="Times New Roman" w:hAnsi="Times New Roman" w:cs="Times New Roman"/>
          <w:bCs/>
          <w:sz w:val="24"/>
        </w:rPr>
      </w:pPr>
    </w:p>
    <w:p w14:paraId="3784E38B" w14:textId="77777777" w:rsidR="00902920" w:rsidRPr="00040F15" w:rsidRDefault="00902920" w:rsidP="00902920">
      <w:pPr>
        <w:ind w:firstLine="0"/>
        <w:rPr>
          <w:rFonts w:ascii="Times New Roman" w:hAnsi="Times New Roman" w:cs="Times New Roman"/>
          <w:b/>
          <w:sz w:val="24"/>
        </w:rPr>
      </w:pPr>
    </w:p>
    <w:p w14:paraId="53BB4BF8" w14:textId="77777777" w:rsidR="0061583C" w:rsidRPr="0061583C" w:rsidRDefault="0061583C" w:rsidP="0061583C">
      <w:pPr>
        <w:spacing w:line="240" w:lineRule="auto"/>
        <w:ind w:firstLine="0"/>
        <w:rPr>
          <w:rFonts w:ascii="Times New Roman" w:hAnsi="Times New Roman" w:cs="Times New Roman"/>
          <w:sz w:val="24"/>
        </w:rPr>
      </w:pPr>
      <w:r w:rsidRPr="0061583C">
        <w:rPr>
          <w:rFonts w:ascii="Times New Roman" w:hAnsi="Times New Roman" w:cs="Times New Roman"/>
          <w:sz w:val="24"/>
        </w:rPr>
        <w:t xml:space="preserve">Defensoría del Pueblo de Ecuador </w:t>
      </w:r>
    </w:p>
    <w:p w14:paraId="535E43FB" w14:textId="7027C574" w:rsidR="0061583C" w:rsidRPr="0061583C" w:rsidRDefault="0061583C" w:rsidP="0061583C">
      <w:pPr>
        <w:spacing w:line="240" w:lineRule="auto"/>
        <w:ind w:firstLine="0"/>
        <w:rPr>
          <w:rFonts w:ascii="Times New Roman" w:hAnsi="Times New Roman" w:cs="Times New Roman"/>
          <w:sz w:val="24"/>
        </w:rPr>
      </w:pPr>
      <w:r w:rsidRPr="0061583C">
        <w:rPr>
          <w:rFonts w:ascii="Times New Roman" w:hAnsi="Times New Roman" w:cs="Times New Roman"/>
          <w:sz w:val="24"/>
        </w:rPr>
        <w:t xml:space="preserve">Av. 12 de </w:t>
      </w:r>
      <w:r w:rsidR="00DF3537" w:rsidRPr="0061583C">
        <w:rPr>
          <w:rFonts w:ascii="Times New Roman" w:hAnsi="Times New Roman" w:cs="Times New Roman"/>
          <w:sz w:val="24"/>
        </w:rPr>
        <w:t>octubre</w:t>
      </w:r>
      <w:r w:rsidRPr="0061583C">
        <w:rPr>
          <w:rFonts w:ascii="Times New Roman" w:hAnsi="Times New Roman" w:cs="Times New Roman"/>
          <w:sz w:val="24"/>
        </w:rPr>
        <w:t xml:space="preserve"> 16-114 y Pasaje Nicolás Jiménez </w:t>
      </w:r>
    </w:p>
    <w:p w14:paraId="6262DAAF" w14:textId="77777777" w:rsidR="0061583C" w:rsidRPr="0061583C" w:rsidRDefault="0061583C" w:rsidP="0061583C">
      <w:pPr>
        <w:spacing w:line="240" w:lineRule="auto"/>
        <w:ind w:firstLine="0"/>
        <w:rPr>
          <w:rFonts w:ascii="Times New Roman" w:hAnsi="Times New Roman" w:cs="Times New Roman"/>
          <w:sz w:val="24"/>
        </w:rPr>
      </w:pPr>
      <w:r w:rsidRPr="0061583C">
        <w:rPr>
          <w:rFonts w:ascii="Times New Roman" w:hAnsi="Times New Roman" w:cs="Times New Roman"/>
          <w:sz w:val="24"/>
        </w:rPr>
        <w:t xml:space="preserve">Quito, Ecuador. </w:t>
      </w:r>
    </w:p>
    <w:p w14:paraId="056C5800" w14:textId="77777777" w:rsidR="0061583C" w:rsidRPr="0061583C" w:rsidRDefault="00AB58F2" w:rsidP="0061583C">
      <w:pPr>
        <w:spacing w:line="240" w:lineRule="auto"/>
        <w:ind w:firstLine="0"/>
        <w:rPr>
          <w:rFonts w:ascii="Times New Roman" w:hAnsi="Times New Roman" w:cs="Times New Roman"/>
          <w:sz w:val="24"/>
        </w:rPr>
      </w:pPr>
      <w:hyperlink>
        <w:r w:rsidR="0061583C" w:rsidRPr="0061583C">
          <w:rPr>
            <w:rFonts w:ascii="Times New Roman" w:hAnsi="Times New Roman" w:cs="Times New Roman"/>
            <w:sz w:val="24"/>
          </w:rPr>
          <w:t>www.dpe.gob.ec</w:t>
        </w:r>
      </w:hyperlink>
      <w:r w:rsidR="0061583C" w:rsidRPr="0061583C">
        <w:rPr>
          <w:rFonts w:ascii="Times New Roman" w:hAnsi="Times New Roman" w:cs="Times New Roman"/>
          <w:sz w:val="24"/>
        </w:rPr>
        <w:t xml:space="preserve"> </w:t>
      </w:r>
    </w:p>
    <w:p w14:paraId="02BFF071" w14:textId="0EB77B76" w:rsidR="0061583C" w:rsidRPr="00BF3B3C" w:rsidRDefault="00AB58F2" w:rsidP="00BF3B3C">
      <w:pPr>
        <w:spacing w:line="240" w:lineRule="auto"/>
        <w:ind w:firstLine="0"/>
        <w:rPr>
          <w:rFonts w:ascii="Times New Roman" w:hAnsi="Times New Roman" w:cs="Times New Roman"/>
          <w:sz w:val="24"/>
        </w:rPr>
        <w:sectPr w:rsidR="0061583C" w:rsidRPr="00BF3B3C">
          <w:footerReference w:type="default" r:id="rId12"/>
          <w:pgSz w:w="11906" w:h="16838"/>
          <w:pgMar w:top="1417" w:right="1701" w:bottom="1417" w:left="1701" w:header="708" w:footer="708" w:gutter="0"/>
          <w:cols w:space="708"/>
          <w:docGrid w:linePitch="360"/>
        </w:sectPr>
      </w:pPr>
      <w:hyperlink r:id="rId13">
        <w:r w:rsidR="0061583C" w:rsidRPr="0061583C">
          <w:rPr>
            <w:rFonts w:ascii="Times New Roman" w:hAnsi="Times New Roman" w:cs="Times New Roman"/>
            <w:sz w:val="24"/>
          </w:rPr>
          <w:t>publicaciones@dpe.gob.ec</w:t>
        </w:r>
      </w:hyperlink>
      <w:r w:rsidR="0061583C" w:rsidRPr="0061583C">
        <w:rPr>
          <w:rFonts w:ascii="Times New Roman" w:hAnsi="Times New Roman" w:cs="Times New Roman"/>
          <w:sz w:val="24"/>
        </w:rPr>
        <w:t xml:space="preserve"> </w:t>
      </w:r>
    </w:p>
    <w:p w14:paraId="37DE18A0" w14:textId="4E917599" w:rsidR="0081761F" w:rsidRDefault="009F4A5E" w:rsidP="0081761F">
      <w:pPr>
        <w:pStyle w:val="isselectedend"/>
        <w:spacing w:before="0" w:beforeAutospacing="0" w:after="0" w:afterAutospacing="0" w:line="360" w:lineRule="auto"/>
        <w:ind w:firstLine="708"/>
        <w:jc w:val="both"/>
      </w:pPr>
      <w:r>
        <w:lastRenderedPageBreak/>
        <w:t xml:space="preserve">La Defensoría del Pueblo de Ecuador </w:t>
      </w:r>
      <w:r w:rsidR="00F85D2D">
        <w:t>(</w:t>
      </w:r>
      <w:r w:rsidR="00AF1230">
        <w:t xml:space="preserve">en adelante DPE) </w:t>
      </w:r>
      <w:r>
        <w:t xml:space="preserve">agradece al Comité de Derechos Humanos </w:t>
      </w:r>
      <w:r w:rsidR="00DA4C0E" w:rsidRPr="00DA4C0E">
        <w:t xml:space="preserve">la apertura de </w:t>
      </w:r>
      <w:r w:rsidR="00E01F97">
        <w:t xml:space="preserve">este </w:t>
      </w:r>
      <w:r w:rsidR="00DA4C0E" w:rsidRPr="00DA4C0E">
        <w:t xml:space="preserve">proceso de </w:t>
      </w:r>
      <w:r w:rsidR="002161D7" w:rsidRPr="002161D7">
        <w:t>contribución de comentarios</w:t>
      </w:r>
      <w:r w:rsidR="00DA4C0E" w:rsidRPr="00DA4C0E">
        <w:t xml:space="preserve"> para la elaboración de la Observación General n.º 38 sobre el artículo 22 del Pacto Internacional de Derechos Civiles y Políticos. La participación de las Instituciones Nacionales de Derechos Humanos</w:t>
      </w:r>
      <w:r w:rsidR="00AB53FA">
        <w:t xml:space="preserve"> (en adel</w:t>
      </w:r>
      <w:r w:rsidR="002161D7">
        <w:t>a</w:t>
      </w:r>
      <w:r w:rsidR="00AB53FA">
        <w:t>nte INDH)</w:t>
      </w:r>
      <w:r w:rsidR="00DA4C0E" w:rsidRPr="00DA4C0E">
        <w:t xml:space="preserve"> constituye una expresión del diálogo constructivo que caracteriza al sistema universal de protección de los derechos humanos y representa una oportunidad para enriquecer la interpretación de uno de los derechos que sustentan la vida democrática: la libertad de asociación</w:t>
      </w:r>
      <w:r>
        <w:t>.</w:t>
      </w:r>
      <w:r w:rsidR="0081761F">
        <w:t xml:space="preserve"> </w:t>
      </w:r>
    </w:p>
    <w:p w14:paraId="17B34D3B" w14:textId="175A8CC9" w:rsidR="0081761F" w:rsidRDefault="008A1D2B" w:rsidP="0081761F">
      <w:pPr>
        <w:pStyle w:val="isselectedend"/>
        <w:spacing w:before="0" w:beforeAutospacing="0" w:after="0" w:afterAutospacing="0" w:line="360" w:lineRule="auto"/>
        <w:ind w:firstLine="708"/>
        <w:jc w:val="both"/>
      </w:pPr>
      <w:r w:rsidRPr="008A1D2B">
        <w:t>Como I</w:t>
      </w:r>
      <w:r w:rsidR="004D03C3">
        <w:t>NDH</w:t>
      </w:r>
      <w:r w:rsidRPr="008A1D2B">
        <w:t xml:space="preserve"> acreditada con categoría A conforme a los </w:t>
      </w:r>
      <w:r w:rsidR="000B2C40">
        <w:t>p</w:t>
      </w:r>
      <w:r w:rsidRPr="008A1D2B">
        <w:t xml:space="preserve">rincipios relativos al estatuto de las instituciones nacionales para la promoción y protección de los derechos humanos (Principios de París), la </w:t>
      </w:r>
      <w:r w:rsidR="00A4622D">
        <w:t>DPE</w:t>
      </w:r>
      <w:r w:rsidRPr="008A1D2B">
        <w:t xml:space="preserve"> ejerce un mandato constitucional orientado a la promoción, protección y tutela de los derechos humanos y de la naturaleza, así como al seguimiento del cumplimiento de las obligaciones internacionales asumidas por el Estado ecuatoriano.</w:t>
      </w:r>
      <w:r w:rsidR="0081761F">
        <w:t xml:space="preserve"> </w:t>
      </w:r>
    </w:p>
    <w:p w14:paraId="42B0553B" w14:textId="2FC81072" w:rsidR="0081761F" w:rsidRDefault="008A1D2B" w:rsidP="0081761F">
      <w:pPr>
        <w:pStyle w:val="isselectedend"/>
        <w:spacing w:before="0" w:beforeAutospacing="0" w:after="0" w:afterAutospacing="0" w:line="360" w:lineRule="auto"/>
        <w:ind w:firstLine="708"/>
        <w:jc w:val="both"/>
      </w:pPr>
      <w:r w:rsidRPr="008A1D2B">
        <w:t xml:space="preserve">En el desarrollo de este mandato, la </w:t>
      </w:r>
      <w:r w:rsidR="000B2C40">
        <w:t xml:space="preserve">DPE </w:t>
      </w:r>
      <w:r w:rsidRPr="008A1D2B">
        <w:t>mantiene un diálogo permanente con organizaciones sociales, comunidades, pueblos y nacionalidades indígenas, colectivos ciudadanos, organizaciones comunitarias, personas en situación de movilidad humana, organizaciones de mujeres, organizaciones de personas con discapacidad, organizaciones de personas adultas mayores, colectivos LGBTIQ, organizaciones juveniles, sindicatos, organizaciones campesinas y personas defensoras de derechos humanos, entre otros actores de la sociedad civil.</w:t>
      </w:r>
    </w:p>
    <w:p w14:paraId="3A471D3C" w14:textId="54CC36D1" w:rsidR="003C0645" w:rsidRDefault="00EF0445" w:rsidP="0081761F">
      <w:pPr>
        <w:pStyle w:val="isselectedend"/>
        <w:spacing w:before="0" w:beforeAutospacing="0" w:after="0" w:afterAutospacing="0" w:line="360" w:lineRule="auto"/>
        <w:ind w:firstLine="708"/>
        <w:jc w:val="both"/>
      </w:pPr>
      <w:r w:rsidRPr="00EF0445">
        <w:t>Las presentes observaciones se formulan en ejercicio del mandato constitucional y legal de la Defensoría del Pueblo de Ecuador, con un enfoque estrictamente técnico de derechos humanos y con el propósito de contribuir al desarrollo interpretativo del artículo 22 del Pacto Internacional de Derechos Civiles y Políticos. En consecuencia, no constituyen una valoración sobre situaciones nacionales específicas, sino comentarios dirigidos al fortalecimiento de estándares generales aplicables a los Estados Parte.</w:t>
      </w:r>
    </w:p>
    <w:p w14:paraId="795E90FC" w14:textId="77777777" w:rsidR="0081761F" w:rsidRDefault="008A1D2B" w:rsidP="0081761F">
      <w:pPr>
        <w:pStyle w:val="isselectedend"/>
        <w:spacing w:before="0" w:beforeAutospacing="0" w:after="0" w:afterAutospacing="0" w:line="360" w:lineRule="auto"/>
        <w:ind w:firstLine="708"/>
        <w:jc w:val="both"/>
      </w:pPr>
      <w:r w:rsidRPr="008A1D2B">
        <w:t xml:space="preserve">Esta experiencia institucional ha permitido constatar que la libertad de asociación constituye mucho más que la facultad jurídica de constituir organizaciones o incorporarse a ellas. En la práctica, representa la posibilidad real de que las personas unan esfuerzos para proteger su dignidad, defender intereses comunes, preservar sus identidades </w:t>
      </w:r>
      <w:r w:rsidRPr="008A1D2B">
        <w:lastRenderedPageBreak/>
        <w:t>culturales, exigir el cumplimiento de sus derechos, participar en las decisiones públicas y contribuir a la construcción de sociedades más justas, inclusivas y democráticas.</w:t>
      </w:r>
    </w:p>
    <w:p w14:paraId="758143D5" w14:textId="49706EFC" w:rsidR="008A1D2B" w:rsidRPr="008A1D2B" w:rsidRDefault="008A1D2B" w:rsidP="0081761F">
      <w:pPr>
        <w:pStyle w:val="isselectedend"/>
        <w:spacing w:before="0" w:beforeAutospacing="0" w:after="0" w:afterAutospacing="0" w:line="360" w:lineRule="auto"/>
        <w:ind w:firstLine="708"/>
        <w:jc w:val="both"/>
      </w:pPr>
      <w:r w:rsidRPr="008A1D2B">
        <w:t>Por ello, toda restricción indebida a este derecho trasciende el ámbito de una organización determinada. Cuando una asociación es objeto de estigmatización, enfrenta obstáculos injustificados para su funcionamiento o ve limitada su capacidad para desarrollar sus actividades legítimas, las consecuencias alcanzan a las personas y comunidades a las que representa. Se reduce el espacio para el diálogo democrático, se debilitan los mecanismos de participación ciudadana y se limita la capacidad de la sociedad para contribuir a la protección de los derechos humanos y al fortalecimiento del Estado de derecho.</w:t>
      </w:r>
    </w:p>
    <w:p w14:paraId="10F62042" w14:textId="77777777" w:rsidR="0081761F" w:rsidRDefault="0081761F" w:rsidP="0081761F">
      <w:pPr>
        <w:pStyle w:val="Ttulo2"/>
        <w:numPr>
          <w:ilvl w:val="0"/>
          <w:numId w:val="0"/>
        </w:numPr>
        <w:spacing w:before="0" w:line="360" w:lineRule="auto"/>
        <w:ind w:left="576" w:hanging="576"/>
        <w:jc w:val="both"/>
        <w:rPr>
          <w:szCs w:val="24"/>
          <w:lang w:eastAsia="es-EC"/>
        </w:rPr>
      </w:pPr>
    </w:p>
    <w:p w14:paraId="7023ED34" w14:textId="64559B81" w:rsidR="00375A84" w:rsidRPr="00375A84" w:rsidRDefault="001772B7" w:rsidP="00040CA9">
      <w:pPr>
        <w:pStyle w:val="isselectedend"/>
        <w:spacing w:before="0" w:beforeAutospacing="0" w:after="0" w:afterAutospacing="0" w:line="360" w:lineRule="auto"/>
        <w:jc w:val="both"/>
        <w:rPr>
          <w:b/>
          <w:bCs/>
        </w:rPr>
      </w:pPr>
      <w:r>
        <w:rPr>
          <w:b/>
          <w:bCs/>
        </w:rPr>
        <w:t>D</w:t>
      </w:r>
      <w:r w:rsidR="00375A84" w:rsidRPr="00375A84">
        <w:rPr>
          <w:b/>
          <w:bCs/>
        </w:rPr>
        <w:t>erecho a la libertad de asociación y obligaciones positivas de los Estados</w:t>
      </w:r>
    </w:p>
    <w:p w14:paraId="2D4FCEF7" w14:textId="7CE5F742" w:rsidR="00375A84" w:rsidRPr="00375A84" w:rsidRDefault="00375A84" w:rsidP="00375A84">
      <w:pPr>
        <w:pStyle w:val="isselectedend"/>
        <w:spacing w:before="0" w:beforeAutospacing="0" w:after="0" w:afterAutospacing="0" w:line="360" w:lineRule="auto"/>
        <w:ind w:firstLine="576"/>
        <w:jc w:val="both"/>
        <w:rPr>
          <w:bCs/>
        </w:rPr>
      </w:pPr>
      <w:r w:rsidRPr="00375A84">
        <w:rPr>
          <w:bCs/>
        </w:rPr>
        <w:t>La D</w:t>
      </w:r>
      <w:r w:rsidR="00040CA9" w:rsidRPr="000A6DD5">
        <w:rPr>
          <w:bCs/>
        </w:rPr>
        <w:t>PE</w:t>
      </w:r>
      <w:r w:rsidRPr="00375A84">
        <w:rPr>
          <w:bCs/>
        </w:rPr>
        <w:t xml:space="preserve"> valora que el Proyecto de Observación General adopte una interpretación amplia del artículo 22 del Pacto Internacional de Derechos Civiles y Políticos y reconozca que la libertad de asociación constituye uno de los pilares indispensables para el funcionamiento de las sociedades democráticas. Este enfoque resulta consistente con la evolución del derecho internacional de los derechos humanos, que concibe la libertad de asociación no únicamente como un derecho individual, sino también como un presupuesto para el ejercicio colectivo de otros derechos fundamentales y para la consolidación de instituciones democráticas abiertas, inclusivas y participativas.</w:t>
      </w:r>
    </w:p>
    <w:p w14:paraId="69C3A2EF" w14:textId="021C66DD" w:rsidR="00375A84" w:rsidRPr="00375A84" w:rsidRDefault="00375A84" w:rsidP="00375A84">
      <w:pPr>
        <w:pStyle w:val="isselectedend"/>
        <w:spacing w:before="0" w:beforeAutospacing="0" w:after="0" w:afterAutospacing="0" w:line="360" w:lineRule="auto"/>
        <w:ind w:firstLine="576"/>
        <w:jc w:val="both"/>
        <w:rPr>
          <w:bCs/>
        </w:rPr>
      </w:pPr>
      <w:r w:rsidRPr="00375A84">
        <w:rPr>
          <w:bCs/>
        </w:rPr>
        <w:t>Desde la experiencia institucional, el alcance del derecho protegido por el artículo 22 debe comprender no solo la posibilidad de crear asociaciones o incorporarse a ellas, sino también el derecho de las personas y de los colectivos a organizarse libremente para promover intereses legítimos, participar en la vida pública, defender derechos, preservar identidades culturales, proteger bienes comunes y contribuir al debate democrático sin temor a represalias, estigmatización o interferencias arbitrarias.</w:t>
      </w:r>
    </w:p>
    <w:p w14:paraId="114E966D" w14:textId="478C6DFD" w:rsidR="00375A84" w:rsidRPr="00375A84" w:rsidRDefault="00375A84" w:rsidP="00375A84">
      <w:pPr>
        <w:pStyle w:val="isselectedend"/>
        <w:spacing w:before="0" w:beforeAutospacing="0" w:after="0" w:afterAutospacing="0" w:line="360" w:lineRule="auto"/>
        <w:ind w:firstLine="576"/>
        <w:jc w:val="both"/>
        <w:rPr>
          <w:bCs/>
        </w:rPr>
      </w:pPr>
      <w:r w:rsidRPr="00375A84">
        <w:rPr>
          <w:bCs/>
        </w:rPr>
        <w:t>En este sentido, la D</w:t>
      </w:r>
      <w:r w:rsidR="00026C64">
        <w:rPr>
          <w:bCs/>
        </w:rPr>
        <w:t>PE</w:t>
      </w:r>
      <w:r w:rsidRPr="00375A84">
        <w:rPr>
          <w:bCs/>
        </w:rPr>
        <w:t xml:space="preserve"> considera particularmente valioso que el Proyecto </w:t>
      </w:r>
      <w:r w:rsidR="00EF0445">
        <w:rPr>
          <w:bCs/>
        </w:rPr>
        <w:t xml:space="preserve">podría reforzar </w:t>
      </w:r>
      <w:r w:rsidRPr="00375A84">
        <w:rPr>
          <w:bCs/>
        </w:rPr>
        <w:t xml:space="preserve">la protección de asociaciones formalmente constituidas y de aquellas que desarrollan actividades legítimas sin personalidad jurídica. Esta aproximación responde a la realidad de numerosos países en los que amplios sectores de la población ejercen la libertad de asociación mediante formas organizativas comunitarias, territoriales, ancestrales o informales que cumplen una función esencial para la cohesión social y la </w:t>
      </w:r>
      <w:r w:rsidRPr="00375A84">
        <w:rPr>
          <w:bCs/>
        </w:rPr>
        <w:lastRenderedPageBreak/>
        <w:t>defensa de derechos, aun cuando no se encuentren registradas conforme a la legislación interna.</w:t>
      </w:r>
    </w:p>
    <w:p w14:paraId="0EED80C8" w14:textId="29BA30FD" w:rsidR="00375A84" w:rsidRPr="00375A84" w:rsidRDefault="00375A84" w:rsidP="00375A84">
      <w:pPr>
        <w:pStyle w:val="isselectedend"/>
        <w:spacing w:before="0" w:beforeAutospacing="0" w:after="0" w:afterAutospacing="0" w:line="360" w:lineRule="auto"/>
        <w:ind w:firstLine="576"/>
        <w:jc w:val="both"/>
        <w:rPr>
          <w:bCs/>
        </w:rPr>
      </w:pPr>
      <w:r w:rsidRPr="00375A84">
        <w:rPr>
          <w:bCs/>
        </w:rPr>
        <w:t xml:space="preserve">No obstante, la </w:t>
      </w:r>
      <w:r w:rsidR="00BF4AAF">
        <w:rPr>
          <w:bCs/>
        </w:rPr>
        <w:t>DPE</w:t>
      </w:r>
      <w:r w:rsidRPr="00375A84">
        <w:rPr>
          <w:bCs/>
        </w:rPr>
        <w:t xml:space="preserve"> estima que la futura Observación General podría fortalecer este desarrollo incorporando una referencia más explícita a las formas propias de organización de los pueblos indígenas, afrodescendientes, comunidades campesinas, comunas y demás sujetos colectivos cuya estructura organizativa responde a sus propias tradiciones, formas de gobierno y sistemas de representación. Para estos pueblos y comunidades, la libertad de asociación no puede analizarse de manera aislada, sino en estrecha relación con el derecho a la libre determinación, la autonomía organizativa, la identidad cultural, la participación efectiva y la protección de los territorios que tradicionalmente ocupan.</w:t>
      </w:r>
    </w:p>
    <w:p w14:paraId="48724070" w14:textId="77777777" w:rsidR="00375A84" w:rsidRPr="00375A84" w:rsidRDefault="00375A84" w:rsidP="00375A84">
      <w:pPr>
        <w:pStyle w:val="isselectedend"/>
        <w:spacing w:before="0" w:beforeAutospacing="0" w:after="0" w:afterAutospacing="0" w:line="360" w:lineRule="auto"/>
        <w:ind w:firstLine="576"/>
        <w:jc w:val="both"/>
        <w:rPr>
          <w:bCs/>
        </w:rPr>
      </w:pPr>
      <w:r w:rsidRPr="00375A84">
        <w:rPr>
          <w:bCs/>
        </w:rPr>
        <w:t>Esta precisión reviste especial importancia porque, en numerosos contextos, las organizaciones comunitarias constituyen el principal mecanismo mediante el cual las personas ejercen otros derechos reconocidos por el derecho internacional, entre ellos el derecho a la consulta previa, libre e informada, la participación en asuntos públicos, la defensa del ambiente y la protección de los derechos de la naturaleza. Su debilitamiento afecta, por tanto, un conjunto mucho más amplio de garantías reconocidas por el sistema internacional de derechos humanos.</w:t>
      </w:r>
    </w:p>
    <w:p w14:paraId="621EE2F9" w14:textId="719810C6" w:rsidR="00375A84" w:rsidRPr="00375A84" w:rsidRDefault="00A61E4C" w:rsidP="00375A84">
      <w:pPr>
        <w:pStyle w:val="isselectedend"/>
        <w:spacing w:before="0" w:beforeAutospacing="0" w:after="0" w:afterAutospacing="0" w:line="360" w:lineRule="auto"/>
        <w:ind w:firstLine="576"/>
        <w:jc w:val="both"/>
        <w:rPr>
          <w:bCs/>
        </w:rPr>
      </w:pPr>
      <w:r>
        <w:rPr>
          <w:bCs/>
        </w:rPr>
        <w:t>Esta INDH</w:t>
      </w:r>
      <w:r w:rsidR="00375A84" w:rsidRPr="00375A84">
        <w:rPr>
          <w:bCs/>
        </w:rPr>
        <w:t xml:space="preserve"> considera igualmente acertado que el Proyecto destaque que los Estados tienen obligaciones positivas para garantizar el ejercicio efectivo de la libertad de asociaci</w:t>
      </w:r>
      <w:r w:rsidR="006653C2">
        <w:rPr>
          <w:bCs/>
        </w:rPr>
        <w:t>ón. Desde el seguimiento institucional se</w:t>
      </w:r>
      <w:r w:rsidR="00375A84" w:rsidRPr="00375A84">
        <w:rPr>
          <w:bCs/>
        </w:rPr>
        <w:t xml:space="preserve"> demuestra que la protección de este derecho no puede limitarse a la abstención de interferencias arbitrarias. En numerosas ocasiones, las principales amenazas para las organizaciones de la sociedad civil provienen precisamente de la ausencia de medidas estatales destinadas a crear un entorno seguro y propicio para su funcionamiento.</w:t>
      </w:r>
    </w:p>
    <w:p w14:paraId="55F665F0" w14:textId="4B1B36FB" w:rsidR="00375A84" w:rsidRPr="00375A84" w:rsidRDefault="00375A84" w:rsidP="00375A84">
      <w:pPr>
        <w:pStyle w:val="isselectedend"/>
        <w:spacing w:before="0" w:beforeAutospacing="0" w:after="0" w:afterAutospacing="0" w:line="360" w:lineRule="auto"/>
        <w:ind w:firstLine="576"/>
        <w:jc w:val="both"/>
        <w:rPr>
          <w:bCs/>
        </w:rPr>
      </w:pPr>
      <w:r w:rsidRPr="00375A84">
        <w:rPr>
          <w:bCs/>
        </w:rPr>
        <w:t xml:space="preserve">Por ello, la </w:t>
      </w:r>
      <w:r w:rsidR="00484844">
        <w:rPr>
          <w:bCs/>
        </w:rPr>
        <w:t>DPE</w:t>
      </w:r>
      <w:r w:rsidR="00AE5A00">
        <w:rPr>
          <w:bCs/>
        </w:rPr>
        <w:t xml:space="preserve"> observa</w:t>
      </w:r>
      <w:r w:rsidRPr="00375A84">
        <w:rPr>
          <w:bCs/>
        </w:rPr>
        <w:t xml:space="preserve"> que la </w:t>
      </w:r>
      <w:r w:rsidR="001772B7">
        <w:rPr>
          <w:bCs/>
        </w:rPr>
        <w:t>o</w:t>
      </w:r>
      <w:r w:rsidRPr="00375A84">
        <w:rPr>
          <w:bCs/>
        </w:rPr>
        <w:t xml:space="preserve">bservación </w:t>
      </w:r>
      <w:r w:rsidR="001772B7">
        <w:rPr>
          <w:bCs/>
        </w:rPr>
        <w:t>g</w:t>
      </w:r>
      <w:r w:rsidRPr="00375A84">
        <w:rPr>
          <w:bCs/>
        </w:rPr>
        <w:t>eneral podría desarrollar con mayor amplitud el contenido de estas obligaciones positivas, precisando que los Estados deben adoptar políticas públicas orientadas a eliminar barreras normativas, administrativas, económicas, tecnológicas y sociales que dificultan el ejercicio del derecho de asociación.</w:t>
      </w:r>
    </w:p>
    <w:p w14:paraId="68B18F36" w14:textId="6BF4B90D" w:rsidR="00375A84" w:rsidRPr="00DB626A" w:rsidRDefault="00375A84" w:rsidP="00375A84">
      <w:pPr>
        <w:pStyle w:val="isselectedend"/>
        <w:spacing w:before="0" w:beforeAutospacing="0" w:after="0" w:afterAutospacing="0" w:line="360" w:lineRule="auto"/>
        <w:ind w:firstLine="576"/>
        <w:jc w:val="both"/>
        <w:rPr>
          <w:bCs/>
        </w:rPr>
      </w:pPr>
      <w:r w:rsidRPr="00375A84">
        <w:rPr>
          <w:bCs/>
        </w:rPr>
        <w:t xml:space="preserve">Estas obligaciones comprenden, entre otras, la adopción de procedimientos de registro sencillos y accesibles; la garantía de que la obtención de personalidad jurídica no constituya un requisito indispensable para el ejercicio del derecho; la eliminación de </w:t>
      </w:r>
      <w:r w:rsidRPr="00375A84">
        <w:rPr>
          <w:bCs/>
        </w:rPr>
        <w:lastRenderedPageBreak/>
        <w:t xml:space="preserve">cargas administrativas desproporcionadas; </w:t>
      </w:r>
      <w:r w:rsidR="00C71E68" w:rsidRPr="00DB626A">
        <w:rPr>
          <w:bCs/>
        </w:rPr>
        <w:t xml:space="preserve">la eliminación de </w:t>
      </w:r>
      <w:r w:rsidR="000E558A" w:rsidRPr="00DB626A">
        <w:rPr>
          <w:bCs/>
        </w:rPr>
        <w:t xml:space="preserve">las dificultades o barreras para la inscripción de sus directivas; </w:t>
      </w:r>
      <w:r w:rsidRPr="00DB626A">
        <w:rPr>
          <w:bCs/>
        </w:rPr>
        <w:t>la protección frente a actos de violencia, intimidación</w:t>
      </w:r>
      <w:r w:rsidR="008F07EE" w:rsidRPr="00DB626A">
        <w:rPr>
          <w:bCs/>
        </w:rPr>
        <w:t xml:space="preserve">, </w:t>
      </w:r>
      <w:r w:rsidRPr="00DB626A">
        <w:rPr>
          <w:bCs/>
        </w:rPr>
        <w:t>o estigmatización dirigidos contra organizaciones sociales</w:t>
      </w:r>
      <w:r w:rsidR="008F07EE" w:rsidRPr="00DB626A">
        <w:rPr>
          <w:bCs/>
        </w:rPr>
        <w:t>, sus dirigentes</w:t>
      </w:r>
      <w:r w:rsidRPr="00DB626A">
        <w:rPr>
          <w:bCs/>
        </w:rPr>
        <w:t xml:space="preserve"> y personas defensoras de derechos humanos; la creación de mecanismos efectivos de acceso a la justicia; y la promoción de espacios permanentes de diálogo entre las autoridades públicas y la sociedad civil.</w:t>
      </w:r>
    </w:p>
    <w:p w14:paraId="7ED00173" w14:textId="52D3A4F0" w:rsidR="00375A84" w:rsidRPr="00375A84" w:rsidRDefault="00375A84" w:rsidP="00375A84">
      <w:pPr>
        <w:pStyle w:val="isselectedend"/>
        <w:spacing w:before="0" w:beforeAutospacing="0" w:after="0" w:afterAutospacing="0" w:line="360" w:lineRule="auto"/>
        <w:ind w:firstLine="576"/>
        <w:jc w:val="both"/>
        <w:rPr>
          <w:bCs/>
        </w:rPr>
      </w:pPr>
      <w:r w:rsidRPr="00DB626A">
        <w:rPr>
          <w:bCs/>
        </w:rPr>
        <w:t xml:space="preserve">Desde la práctica institucional de la </w:t>
      </w:r>
      <w:r w:rsidR="00BE7574" w:rsidRPr="00DB626A">
        <w:rPr>
          <w:bCs/>
        </w:rPr>
        <w:t>DPE</w:t>
      </w:r>
      <w:r w:rsidRPr="00DB626A">
        <w:rPr>
          <w:bCs/>
        </w:rPr>
        <w:t xml:space="preserve"> resulta igualmente evidente que las restricciones a la libertad de asociación no afectan de la misma manera a todas las personas</w:t>
      </w:r>
      <w:r w:rsidR="008F07EE" w:rsidRPr="00DB626A">
        <w:rPr>
          <w:bCs/>
        </w:rPr>
        <w:t xml:space="preserve"> y organizaciones</w:t>
      </w:r>
      <w:r w:rsidRPr="00DB626A">
        <w:rPr>
          <w:bCs/>
        </w:rPr>
        <w:t>. Los impactos suelen</w:t>
      </w:r>
      <w:r w:rsidRPr="00375A84">
        <w:rPr>
          <w:bCs/>
        </w:rPr>
        <w:t xml:space="preserve"> ser significativamente mayores respecto de quienes enfrentan condiciones estructurales de discriminación o exclusión.</w:t>
      </w:r>
    </w:p>
    <w:p w14:paraId="0CD49C21" w14:textId="0104CA0D" w:rsidR="00375A84" w:rsidRPr="00375A84" w:rsidRDefault="00375A84" w:rsidP="00375A84">
      <w:pPr>
        <w:pStyle w:val="isselectedend"/>
        <w:spacing w:before="0" w:beforeAutospacing="0" w:after="0" w:afterAutospacing="0" w:line="360" w:lineRule="auto"/>
        <w:ind w:firstLine="576"/>
        <w:jc w:val="both"/>
        <w:rPr>
          <w:bCs/>
        </w:rPr>
      </w:pPr>
      <w:r w:rsidRPr="00375A84">
        <w:rPr>
          <w:bCs/>
        </w:rPr>
        <w:t>Las personas en situación de movilidad humana, por ejemplo, encuentran en las organizaciones comunitarias espacios esenciales para acceder a información, orientación jurídica, redes de apoyo y mecanismos de integración social. Las organizaciones representativas de personas con discapacidad desempeñan un papel indispensable para promover ajustes razonables, accesibilidad y participación efectiva en los asuntos públicos. Las organizaciones de personas adultas mayores contribuyen al ejercicio del derecho a la participación, a la protección frente a situaciones de abandono y al fortalecimiento de redes comunitarias de cuidado. Del mismo modo, las organizaciones de mujeres, de personas LGBTIQ, de pueblos indígenas, de comunidades afrodescendientes y de organizaciones juveniles constituyen espacios fundamentales para visibilizar situaciones de discriminación histórica y promover políticas públicas más inclusivas.</w:t>
      </w:r>
    </w:p>
    <w:p w14:paraId="5376617F" w14:textId="5322FA88" w:rsidR="00375A84" w:rsidRPr="00375A84" w:rsidRDefault="00F171A3" w:rsidP="00375A84">
      <w:pPr>
        <w:pStyle w:val="isselectedend"/>
        <w:spacing w:before="0" w:beforeAutospacing="0" w:after="0" w:afterAutospacing="0" w:line="360" w:lineRule="auto"/>
        <w:ind w:firstLine="576"/>
        <w:jc w:val="both"/>
        <w:rPr>
          <w:bCs/>
        </w:rPr>
      </w:pPr>
      <w:r>
        <w:rPr>
          <w:bCs/>
        </w:rPr>
        <w:t>Razón por la cual</w:t>
      </w:r>
      <w:r w:rsidR="00375A84" w:rsidRPr="00375A84">
        <w:rPr>
          <w:bCs/>
        </w:rPr>
        <w:t>, la D</w:t>
      </w:r>
      <w:r>
        <w:rPr>
          <w:bCs/>
        </w:rPr>
        <w:t>PE</w:t>
      </w:r>
      <w:r w:rsidR="00375A84" w:rsidRPr="00375A84">
        <w:rPr>
          <w:bCs/>
        </w:rPr>
        <w:t xml:space="preserve"> </w:t>
      </w:r>
      <w:r w:rsidR="00AE5A00">
        <w:rPr>
          <w:bCs/>
        </w:rPr>
        <w:t>estima</w:t>
      </w:r>
      <w:r w:rsidR="00375A84" w:rsidRPr="00375A84">
        <w:rPr>
          <w:bCs/>
        </w:rPr>
        <w:t xml:space="preserve"> que el Proyecto podría reforzar el principio de igualdad y no discriminación mediante una referencia expresa al deber estatal de adoptar medidas específicas que garanticen el ejercicio efectivo de la libertad de asociación por parte de personas y colectivos que enfrentan barreras estructurales. Este enfoque no supone reconocer privilegios diferenciados, sino asegurar que todas las personas puedan ejercer un mismo derecho en condiciones reales de igualdad.</w:t>
      </w:r>
    </w:p>
    <w:p w14:paraId="7F873839" w14:textId="77777777" w:rsidR="00375A84" w:rsidRPr="00375A84" w:rsidRDefault="00375A84" w:rsidP="00375A84">
      <w:pPr>
        <w:pStyle w:val="isselectedend"/>
        <w:spacing w:before="0" w:beforeAutospacing="0" w:after="0" w:afterAutospacing="0" w:line="360" w:lineRule="auto"/>
        <w:ind w:firstLine="576"/>
        <w:jc w:val="both"/>
        <w:rPr>
          <w:bCs/>
        </w:rPr>
      </w:pPr>
      <w:r w:rsidRPr="00375A84">
        <w:rPr>
          <w:bCs/>
        </w:rPr>
        <w:t xml:space="preserve">La experiencia institucional demuestra asimismo que uno de los principales indicadores del estado de la democracia es la existencia de un espacio cívico abierto, plural y seguro. Cuando las organizaciones pueden actuar libremente, las instituciones públicas cuentan con interlocutores legítimos para el diseño, implementación y </w:t>
      </w:r>
      <w:r w:rsidRPr="00375A84">
        <w:rPr>
          <w:bCs/>
        </w:rPr>
        <w:lastRenderedPageBreak/>
        <w:t>evaluación de políticas públicas. En cambio, cuando el espacio cívico se reduce mediante prácticas de intimidación, restricciones injustificadas o deslegitimación del trabajo de las organizaciones sociales, disminuyen las posibilidades de participación democrática y se debilitan los mecanismos de rendición de cuentas.</w:t>
      </w:r>
    </w:p>
    <w:p w14:paraId="0184E2EA" w14:textId="062C21F5" w:rsidR="00375A84" w:rsidRPr="00375A84" w:rsidRDefault="00375A84" w:rsidP="00375A84">
      <w:pPr>
        <w:pStyle w:val="isselectedend"/>
        <w:spacing w:before="0" w:beforeAutospacing="0" w:after="0" w:afterAutospacing="0" w:line="360" w:lineRule="auto"/>
        <w:ind w:firstLine="576"/>
        <w:jc w:val="both"/>
        <w:rPr>
          <w:bCs/>
        </w:rPr>
      </w:pPr>
      <w:r w:rsidRPr="00375A84">
        <w:rPr>
          <w:bCs/>
        </w:rPr>
        <w:t xml:space="preserve">En este contexto, la </w:t>
      </w:r>
      <w:r w:rsidR="005160A4">
        <w:rPr>
          <w:bCs/>
        </w:rPr>
        <w:t>DPE</w:t>
      </w:r>
      <w:r w:rsidRPr="00375A84">
        <w:rPr>
          <w:bCs/>
        </w:rPr>
        <w:t xml:space="preserve"> </w:t>
      </w:r>
      <w:r w:rsidR="00AE5A00">
        <w:rPr>
          <w:bCs/>
        </w:rPr>
        <w:t>considera</w:t>
      </w:r>
      <w:r w:rsidRPr="00375A84">
        <w:rPr>
          <w:bCs/>
        </w:rPr>
        <w:t xml:space="preserve"> que la Observación General podría reconocer de manera más explícita el papel que desempeñan las Instituciones Nacionales de Derechos Humanos en la promoción de un entorno favorable para el ejercicio de la libertad de asociación. De conformidad con los Principios de París, las INDH actúan como puentes entre el Estado y la sociedad civil, monitorean el cumplimiento de las obligaciones internacionales, acompañan a personas y organizaciones cuyos derechos han sido vulnerados y formulan recomendaciones orientadas a fortalecer las garantías democráticas. Su labor resulta especialmente relevante en contextos de conflictividad social, estados de excepción o reducción del espacio cívico.</w:t>
      </w:r>
    </w:p>
    <w:p w14:paraId="6201D664" w14:textId="5C33BDFA" w:rsidR="00375A84" w:rsidRPr="00375A84" w:rsidRDefault="00375A84" w:rsidP="00375A84">
      <w:pPr>
        <w:pStyle w:val="isselectedend"/>
        <w:spacing w:before="0" w:beforeAutospacing="0" w:after="0" w:afterAutospacing="0" w:line="360" w:lineRule="auto"/>
        <w:ind w:firstLine="576"/>
        <w:jc w:val="both"/>
        <w:rPr>
          <w:bCs/>
        </w:rPr>
      </w:pPr>
      <w:r w:rsidRPr="00375A84">
        <w:rPr>
          <w:bCs/>
        </w:rPr>
        <w:t xml:space="preserve">Finalmente, la </w:t>
      </w:r>
      <w:r w:rsidR="00686EE4">
        <w:rPr>
          <w:bCs/>
        </w:rPr>
        <w:t>DPE</w:t>
      </w:r>
      <w:r w:rsidR="00AE5A00">
        <w:rPr>
          <w:bCs/>
        </w:rPr>
        <w:t xml:space="preserve"> sugiere</w:t>
      </w:r>
      <w:r w:rsidRPr="00375A84">
        <w:rPr>
          <w:bCs/>
        </w:rPr>
        <w:t xml:space="preserve"> que las obligaciones positivas de los Estados deben comprender también la promoción de una cultura de respeto hacia la labor que desempeñan las organizaciones de la sociedad civil. La libertad de asociación no se protege únicamente mediante normas jurídicas; requiere también de un entorno institucional en el que las organizaciones sean reconocidas como actores legítimos de la democracia, capaces de contribuir al debate público, al control social y a la protección de los derechos humanos sin ser objeto de descalificaciones, represalias o campañas de estigmatización.</w:t>
      </w:r>
    </w:p>
    <w:p w14:paraId="2A3372C5" w14:textId="55DC7B6A" w:rsidR="00A61A67" w:rsidRDefault="00375A84" w:rsidP="00BF3B3C">
      <w:pPr>
        <w:pStyle w:val="isselectedend"/>
        <w:spacing w:before="0" w:beforeAutospacing="0" w:after="0" w:afterAutospacing="0" w:line="360" w:lineRule="auto"/>
        <w:ind w:firstLine="576"/>
        <w:jc w:val="both"/>
      </w:pPr>
      <w:r w:rsidRPr="00375A84">
        <w:rPr>
          <w:bCs/>
        </w:rPr>
        <w:t xml:space="preserve">A la luz de estas consideraciones, la </w:t>
      </w:r>
      <w:r w:rsidR="00C71032">
        <w:rPr>
          <w:bCs/>
        </w:rPr>
        <w:t>DPE</w:t>
      </w:r>
      <w:r w:rsidRPr="00375A84">
        <w:rPr>
          <w:bCs/>
        </w:rPr>
        <w:t xml:space="preserve"> </w:t>
      </w:r>
      <w:r w:rsidR="00686EE4">
        <w:rPr>
          <w:bCs/>
        </w:rPr>
        <w:t>cree</w:t>
      </w:r>
      <w:r w:rsidRPr="00375A84">
        <w:rPr>
          <w:bCs/>
        </w:rPr>
        <w:t xml:space="preserve"> que el Proyecto de Observación General podría fortalecerse incorporando una interpretación más amplia del contenido de las obligaciones positivas derivadas del artículo 22 del Pacto. Una comprensión de esta naturaleza contribuirá a que los Estados Partes no limiten su actuación a evitar </w:t>
      </w:r>
      <w:r w:rsidR="002770AB">
        <w:t>restricciones que no satisfagan los principios de legalidad, finalidad legítima, necesidad y proporcionalidad en una sociedad democrática.</w:t>
      </w:r>
    </w:p>
    <w:p w14:paraId="0677765D" w14:textId="77777777" w:rsidR="002770AB" w:rsidRDefault="002770AB" w:rsidP="00BF3B3C">
      <w:pPr>
        <w:pStyle w:val="isselectedend"/>
        <w:spacing w:before="0" w:beforeAutospacing="0" w:after="0" w:afterAutospacing="0" w:line="360" w:lineRule="auto"/>
        <w:ind w:firstLine="576"/>
        <w:jc w:val="both"/>
      </w:pPr>
    </w:p>
    <w:p w14:paraId="72EF506F" w14:textId="77777777" w:rsidR="00595714" w:rsidRPr="00595714" w:rsidRDefault="00595714" w:rsidP="00595714">
      <w:pPr>
        <w:pStyle w:val="isselectedend"/>
        <w:spacing w:before="0" w:beforeAutospacing="0" w:after="0" w:afterAutospacing="0" w:line="360" w:lineRule="auto"/>
        <w:jc w:val="both"/>
        <w:rPr>
          <w:b/>
          <w:bCs/>
        </w:rPr>
      </w:pPr>
      <w:r w:rsidRPr="00595714">
        <w:rPr>
          <w:b/>
          <w:bCs/>
        </w:rPr>
        <w:t>Libertad de asociación en el entorno digital, vigilancia tecnológica, inteligencia artificial y estados de excepción</w:t>
      </w:r>
    </w:p>
    <w:p w14:paraId="61ED98C0" w14:textId="0E9BB0B2" w:rsidR="00595714" w:rsidRPr="00595714" w:rsidRDefault="00595714" w:rsidP="00595714">
      <w:pPr>
        <w:pStyle w:val="isselectedend"/>
        <w:spacing w:before="0" w:beforeAutospacing="0" w:after="0" w:afterAutospacing="0" w:line="360" w:lineRule="auto"/>
        <w:ind w:firstLine="576"/>
        <w:jc w:val="both"/>
      </w:pPr>
      <w:r w:rsidRPr="00595714">
        <w:t xml:space="preserve">La </w:t>
      </w:r>
      <w:r>
        <w:t>DPE</w:t>
      </w:r>
      <w:r w:rsidRPr="00595714">
        <w:t xml:space="preserve"> </w:t>
      </w:r>
      <w:r w:rsidR="00572D5A">
        <w:t>identifica</w:t>
      </w:r>
      <w:r w:rsidRPr="00595714">
        <w:t xml:space="preserve"> que el </w:t>
      </w:r>
      <w:r w:rsidR="007C59ED">
        <w:t>p</w:t>
      </w:r>
      <w:r w:rsidRPr="00595714">
        <w:t xml:space="preserve">royecto constituye un avance significativo al incorporar una reflexión sobre los desafíos que plantean las tecnologías digitales para el ejercicio de </w:t>
      </w:r>
      <w:r w:rsidRPr="00595714">
        <w:lastRenderedPageBreak/>
        <w:t>la libertad de asociación. Esta incorporación responde a una realidad ineludible: el espacio cívico contemporáneo se desarrolla tanto en entornos físicos como digitales, y la posibilidad de organizarse, deliberar, movilizar recursos y participar en los asuntos públicos depende cada vez más del acceso seguro y libre a las tecnologías de la información y la comunicación.</w:t>
      </w:r>
    </w:p>
    <w:p w14:paraId="7309E346" w14:textId="069C29EF" w:rsidR="00595714" w:rsidRPr="00595714" w:rsidRDefault="006653C2" w:rsidP="00595714">
      <w:pPr>
        <w:pStyle w:val="isselectedend"/>
        <w:spacing w:before="0" w:beforeAutospacing="0" w:after="0" w:afterAutospacing="0" w:line="360" w:lineRule="auto"/>
        <w:ind w:firstLine="576"/>
        <w:jc w:val="both"/>
      </w:pPr>
      <w:r>
        <w:t xml:space="preserve">El monitoreo desarrollado por la institución </w:t>
      </w:r>
      <w:r w:rsidR="00595714" w:rsidRPr="00595714">
        <w:t>demuestra que las organizaciones sociales utilizan plataformas digitales para coordinar acciones, difundir información, organizar procesos de participación, brindar asistencia a personas en situación de vulnerabilidad y mantener vínculos con comunidades que, por razones geográficas, económicas o sociales, no siempre pueden participar presencialmente. En consecuencia, cualquier interferencia arbitraria sobre estos espacios tiene el potencial de afectar directamente el contenido protegido por el artículo 22 del Pacto.</w:t>
      </w:r>
    </w:p>
    <w:p w14:paraId="5D60F95A" w14:textId="1AA80AED" w:rsidR="00595714" w:rsidRPr="00595714" w:rsidRDefault="00595714" w:rsidP="00595714">
      <w:pPr>
        <w:pStyle w:val="isselectedend"/>
        <w:spacing w:before="0" w:beforeAutospacing="0" w:after="0" w:afterAutospacing="0" w:line="360" w:lineRule="auto"/>
        <w:ind w:firstLine="576"/>
        <w:jc w:val="both"/>
      </w:pPr>
      <w:r w:rsidRPr="00595714">
        <w:t xml:space="preserve">Desde </w:t>
      </w:r>
      <w:r w:rsidR="007935BD" w:rsidRPr="00595714">
        <w:t>este aspecto</w:t>
      </w:r>
      <w:r w:rsidRPr="00595714">
        <w:t xml:space="preserve">, la </w:t>
      </w:r>
      <w:r w:rsidR="009D383E">
        <w:t>DPE</w:t>
      </w:r>
      <w:r w:rsidRPr="00595714">
        <w:t xml:space="preserve"> </w:t>
      </w:r>
      <w:r w:rsidR="00621D48">
        <w:t xml:space="preserve">opina que es </w:t>
      </w:r>
      <w:r w:rsidRPr="00595714">
        <w:t xml:space="preserve">acertado que el </w:t>
      </w:r>
      <w:r w:rsidR="00A4677C">
        <w:t>p</w:t>
      </w:r>
      <w:r w:rsidRPr="00595714">
        <w:t xml:space="preserve">royecto reconozca que la libertad de asociación comprende también las actividades desarrolladas mediante entornos digitales. </w:t>
      </w:r>
      <w:r w:rsidR="00CD3C2D">
        <w:t>Sin embargo</w:t>
      </w:r>
      <w:r w:rsidRPr="00595714">
        <w:t>, estima que la futura Observación General podría fortalecer esta interpretación precisando que las obligaciones estatales derivadas del artículo 22 son plenamente aplicables al entorno digital y que las nuevas tecnologías no pueden convertirse en mecanismos para restringir indirectamente el ejercicio de este derecho.</w:t>
      </w:r>
    </w:p>
    <w:p w14:paraId="452C8554" w14:textId="77777777" w:rsidR="009F2DD5" w:rsidRDefault="009F2DD5" w:rsidP="009F2DD5">
      <w:pPr>
        <w:pStyle w:val="isselectedend"/>
        <w:spacing w:before="0" w:beforeAutospacing="0" w:after="0" w:afterAutospacing="0" w:line="360" w:lineRule="auto"/>
        <w:jc w:val="both"/>
        <w:rPr>
          <w:b/>
          <w:bCs/>
        </w:rPr>
      </w:pPr>
    </w:p>
    <w:p w14:paraId="49C346DC" w14:textId="4F2B24B8" w:rsidR="009F2DD5" w:rsidRPr="009F2DD5" w:rsidRDefault="009F2DD5" w:rsidP="009F2DD5">
      <w:pPr>
        <w:pStyle w:val="isselectedend"/>
        <w:spacing w:before="0" w:beforeAutospacing="0" w:after="0" w:afterAutospacing="0" w:line="360" w:lineRule="auto"/>
        <w:jc w:val="both"/>
        <w:rPr>
          <w:b/>
          <w:bCs/>
        </w:rPr>
      </w:pPr>
      <w:r w:rsidRPr="009F2DD5">
        <w:rPr>
          <w:b/>
          <w:bCs/>
        </w:rPr>
        <w:t>Vigilancia digital y protección del espacio cívico</w:t>
      </w:r>
    </w:p>
    <w:p w14:paraId="1908542B" w14:textId="63B9A40A" w:rsidR="009F2DD5" w:rsidRPr="009F2DD5" w:rsidRDefault="00A8717A" w:rsidP="009F2DD5">
      <w:pPr>
        <w:pStyle w:val="isselectedend"/>
        <w:spacing w:before="0" w:beforeAutospacing="0" w:after="0" w:afterAutospacing="0" w:line="360" w:lineRule="auto"/>
        <w:ind w:firstLine="576"/>
        <w:jc w:val="both"/>
      </w:pPr>
      <w:r>
        <w:t xml:space="preserve">La DPE advierte que el acelerado desarrollo de tecnologías de vigilancia plantea desafíos relevantes para la protección del espacio cívico y para el ejercicio efectivo de la libertad de asociación. </w:t>
      </w:r>
      <w:r w:rsidR="009F2DD5" w:rsidRPr="009F2DD5">
        <w:t>La recopilación masiva de datos personales, la interceptación de comunicaciones, la utilización de tecnologías de reconocimiento facial, los sistemas de geolocalización, el monitoreo de redes sociales y otras herramientas de vigilancia pueden producir un efecto inhibidor incompatible con el libre ejercicio de la libertad de asociación, incluso cuando dichas tecnologías no sean utilizadas para imponer sanciones directas.</w:t>
      </w:r>
    </w:p>
    <w:p w14:paraId="6F91A68C" w14:textId="77777777" w:rsidR="009F2DD5" w:rsidRPr="009F2DD5" w:rsidRDefault="009F2DD5" w:rsidP="009F2DD5">
      <w:pPr>
        <w:pStyle w:val="isselectedend"/>
        <w:spacing w:before="0" w:beforeAutospacing="0" w:after="0" w:afterAutospacing="0" w:line="360" w:lineRule="auto"/>
        <w:ind w:firstLine="576"/>
        <w:jc w:val="both"/>
      </w:pPr>
      <w:r w:rsidRPr="009F2DD5">
        <w:t xml:space="preserve">La experiencia demuestra que la sola percepción de estar siendo objeto de vigilancia puede desalentar la participación en organizaciones sociales, limitar el intercambio de información y reducir la capacidad de las asociaciones para desarrollar actividades </w:t>
      </w:r>
      <w:r w:rsidRPr="009F2DD5">
        <w:lastRenderedPageBreak/>
        <w:t>legítimas. Este efecto resulta especialmente grave respecto de personas defensoras de derechos humanos, periodistas, organizaciones comunitarias y colectivos que representan intereses históricamente marginados.</w:t>
      </w:r>
    </w:p>
    <w:p w14:paraId="2CA06958" w14:textId="77777777" w:rsidR="00F35719" w:rsidRDefault="00F35719" w:rsidP="009F2DD5">
      <w:pPr>
        <w:pStyle w:val="isselectedend"/>
        <w:spacing w:before="0" w:beforeAutospacing="0" w:after="0" w:afterAutospacing="0" w:line="360" w:lineRule="auto"/>
        <w:ind w:firstLine="576"/>
        <w:jc w:val="both"/>
      </w:pPr>
      <w:r>
        <w:t>Es así que la DPE considera pertinente que la Observación General reafirme que toda actividad de vigilancia susceptible de afectar el ejercicio de la libertad de asociación debe estar prevista en la ley, perseguir una finalidad legítima conforme al artículo 22 del Pacto, responder estrictamente a criterios de necesidad y proporcionalidad en una sociedad democrática, aplicarse sin discriminación y encontrarse sometida a mecanismos independientes de autorización, supervisión y control judicial.</w:t>
      </w:r>
    </w:p>
    <w:p w14:paraId="7A56B638" w14:textId="20F61BDA" w:rsidR="009F2DD5" w:rsidRPr="009F2DD5" w:rsidRDefault="009F2DD5" w:rsidP="009F2DD5">
      <w:pPr>
        <w:pStyle w:val="isselectedend"/>
        <w:spacing w:before="0" w:beforeAutospacing="0" w:after="0" w:afterAutospacing="0" w:line="360" w:lineRule="auto"/>
        <w:ind w:firstLine="576"/>
        <w:jc w:val="both"/>
      </w:pPr>
      <w:r w:rsidRPr="009F2DD5">
        <w:t>Asimismo, el Comité podría precisar que la utilización indiscriminada de tecnologías de vigilancia masiva resulta incompatible con las obligaciones positivas derivadas del artículo 22 cuando produce un efecto inhibidor sobre el funcionamiento de las asociaciones o limita la participación ciudadana en asuntos de interés público.</w:t>
      </w:r>
    </w:p>
    <w:p w14:paraId="77DA130C" w14:textId="77777777" w:rsidR="005B7117" w:rsidRDefault="005B7117" w:rsidP="005B7117">
      <w:pPr>
        <w:pStyle w:val="isselectedend"/>
        <w:spacing w:before="0" w:beforeAutospacing="0" w:after="0" w:afterAutospacing="0" w:line="360" w:lineRule="auto"/>
        <w:jc w:val="both"/>
        <w:rPr>
          <w:b/>
          <w:bCs/>
        </w:rPr>
      </w:pPr>
    </w:p>
    <w:p w14:paraId="6797FF10" w14:textId="7DA9D840" w:rsidR="0069522C" w:rsidRPr="0069522C" w:rsidRDefault="0069522C" w:rsidP="005B7117">
      <w:pPr>
        <w:pStyle w:val="isselectedend"/>
        <w:spacing w:before="0" w:beforeAutospacing="0" w:after="0" w:afterAutospacing="0" w:line="360" w:lineRule="auto"/>
        <w:jc w:val="both"/>
        <w:rPr>
          <w:b/>
          <w:bCs/>
        </w:rPr>
      </w:pPr>
      <w:r w:rsidRPr="0069522C">
        <w:rPr>
          <w:b/>
          <w:bCs/>
        </w:rPr>
        <w:t>Inteligencia artificial y toma automatizada de decisiones</w:t>
      </w:r>
    </w:p>
    <w:p w14:paraId="042D951E" w14:textId="0D8E703F" w:rsidR="0069522C" w:rsidRPr="0069522C" w:rsidRDefault="00E13F3C" w:rsidP="0069522C">
      <w:pPr>
        <w:pStyle w:val="isselectedend"/>
        <w:spacing w:before="0" w:beforeAutospacing="0" w:after="0" w:afterAutospacing="0" w:line="360" w:lineRule="auto"/>
        <w:ind w:firstLine="576"/>
        <w:jc w:val="both"/>
      </w:pPr>
      <w:r>
        <w:t>Es</w:t>
      </w:r>
      <w:r w:rsidR="0069522C" w:rsidRPr="0069522C">
        <w:t xml:space="preserve"> oportuno que la futura </w:t>
      </w:r>
      <w:r>
        <w:t>o</w:t>
      </w:r>
      <w:r w:rsidR="0069522C" w:rsidRPr="0069522C">
        <w:t>bservación incorpore referencias más explícitas a los riesgos asociados al uso de sistemas de inteligencia artificial en ámbitos vinculados al ejercicio de la libertad de asociación.</w:t>
      </w:r>
      <w:r w:rsidR="005B7117">
        <w:t xml:space="preserve"> </w:t>
      </w:r>
      <w:r w:rsidR="0069522C" w:rsidRPr="0069522C">
        <w:t>El desarrollo de algoritmos capaces de clasificar personas, perfilar organizaciones, identificar patrones de comportamiento o asignar niveles de riesgo plantea desafíos inéditos para la protección de los derechos humanos. Cuando estas herramientas son utilizadas para adoptar decisiones relacionadas con el registro, supervisión, financiamiento o monitoreo de organizaciones sociales, pueden reproducir sesgos discriminatorios, generar decisiones opacas y restringir el ejercicio de derechos fundamentales sin las garantías propias del debido proceso.</w:t>
      </w:r>
    </w:p>
    <w:p w14:paraId="63BE4848" w14:textId="23C7788E" w:rsidR="0069522C" w:rsidRPr="0069522C" w:rsidRDefault="00096588" w:rsidP="0069522C">
      <w:pPr>
        <w:pStyle w:val="isselectedend"/>
        <w:spacing w:before="0" w:beforeAutospacing="0" w:after="0" w:afterAutospacing="0" w:line="360" w:lineRule="auto"/>
        <w:ind w:firstLine="576"/>
        <w:jc w:val="both"/>
      </w:pPr>
      <w:r>
        <w:t>E</w:t>
      </w:r>
      <w:r w:rsidR="0069522C" w:rsidRPr="0069522C">
        <w:t xml:space="preserve">l Comité podría incorporar una referencia expresa al deber de los Estados de garantizar que toda utilización de sistemas automatizados susceptible de afectar la libertad de asociación respete los principios de transparencia, </w:t>
      </w:r>
      <w:proofErr w:type="spellStart"/>
      <w:r w:rsidR="0069522C" w:rsidRPr="0069522C">
        <w:t>explicabilidad</w:t>
      </w:r>
      <w:proofErr w:type="spellEnd"/>
      <w:r w:rsidR="0069522C" w:rsidRPr="0069522C">
        <w:t>, supervisión humana, rendición de cuentas y no discriminación. La protección del artículo 22 exige que ninguna organización sea objeto de restricciones fundadas exclusivamente en decisiones automatizadas o perfiles algorítmicos cuya lógica no pueda ser conocida ni cuestionada por las personas afectadas.</w:t>
      </w:r>
    </w:p>
    <w:p w14:paraId="5E406995" w14:textId="77777777" w:rsidR="00B54EC3" w:rsidRDefault="00B54EC3" w:rsidP="00B54EC3">
      <w:pPr>
        <w:pStyle w:val="isselectedend"/>
        <w:spacing w:before="0" w:beforeAutospacing="0" w:after="0" w:afterAutospacing="0" w:line="360" w:lineRule="auto"/>
        <w:jc w:val="both"/>
        <w:rPr>
          <w:b/>
          <w:bCs/>
        </w:rPr>
      </w:pPr>
    </w:p>
    <w:p w14:paraId="15E7EEB1" w14:textId="3220C4DB" w:rsidR="0069522C" w:rsidRPr="0069522C" w:rsidRDefault="0069522C" w:rsidP="00B54EC3">
      <w:pPr>
        <w:pStyle w:val="isselectedend"/>
        <w:spacing w:before="0" w:beforeAutospacing="0" w:after="0" w:afterAutospacing="0" w:line="360" w:lineRule="auto"/>
        <w:jc w:val="both"/>
        <w:rPr>
          <w:b/>
          <w:bCs/>
        </w:rPr>
      </w:pPr>
      <w:r w:rsidRPr="0069522C">
        <w:rPr>
          <w:b/>
          <w:bCs/>
        </w:rPr>
        <w:lastRenderedPageBreak/>
        <w:t>Protección de datos personales y libertad de asociación</w:t>
      </w:r>
    </w:p>
    <w:p w14:paraId="2E3F913E" w14:textId="77777777" w:rsidR="00A8717A" w:rsidRDefault="0069522C" w:rsidP="0069522C">
      <w:pPr>
        <w:pStyle w:val="isselectedend"/>
        <w:spacing w:before="0" w:beforeAutospacing="0" w:after="0" w:afterAutospacing="0" w:line="360" w:lineRule="auto"/>
        <w:ind w:firstLine="576"/>
        <w:jc w:val="both"/>
      </w:pPr>
      <w:r w:rsidRPr="0069522C">
        <w:t>La libertad de asociación presupone la posibilidad de que las personas se organicen sin temor a que la información relativa a su pertenencia a una organización, sus actividades o sus convicciones sea utilizada de manera arbitraria o con fines de intimidación.</w:t>
      </w:r>
      <w:r w:rsidR="00B54EC3">
        <w:t xml:space="preserve"> </w:t>
      </w:r>
      <w:r w:rsidR="00A8717A">
        <w:t>En este sentido, la Observación General podría destacar la estrecha relación existente entre el derecho a la protección de datos personales, el derecho a la privacidad reconocido en el artículo 17 del Pacto y el ejercicio efectivo de la libertad de asociación.</w:t>
      </w:r>
    </w:p>
    <w:p w14:paraId="69457D76" w14:textId="57B3CA9E" w:rsidR="0069522C" w:rsidRPr="0069522C" w:rsidRDefault="0069522C" w:rsidP="0069522C">
      <w:pPr>
        <w:pStyle w:val="isselectedend"/>
        <w:spacing w:before="0" w:beforeAutospacing="0" w:after="0" w:afterAutospacing="0" w:line="360" w:lineRule="auto"/>
        <w:ind w:firstLine="576"/>
        <w:jc w:val="both"/>
      </w:pPr>
      <w:r w:rsidRPr="0069522C">
        <w:t>La recopilación, almacenamiento, intercambio o difusión de información sobre miembros de asociaciones únicamente resulta compatible con el Pacto cuando responde a finalidades legítimas claramente definidas, se encuentra prevista en la ley y respeta los principios de necesidad, proporcionalidad, minimización de datos y seguridad de la información. Estas garantías adquieren especial importancia respecto de organizaciones que representan a personas en situación de vulnerabilidad o desarrollan actividades relacionadas con la defensa de derechos humanos.</w:t>
      </w:r>
    </w:p>
    <w:p w14:paraId="0C148F4F" w14:textId="77777777" w:rsidR="00C460E7" w:rsidRDefault="00C460E7" w:rsidP="00C460E7">
      <w:pPr>
        <w:pStyle w:val="isselectedend"/>
        <w:spacing w:before="0" w:beforeAutospacing="0" w:after="0" w:afterAutospacing="0" w:line="360" w:lineRule="auto"/>
        <w:jc w:val="both"/>
        <w:rPr>
          <w:b/>
          <w:bCs/>
        </w:rPr>
      </w:pPr>
    </w:p>
    <w:p w14:paraId="29EAF6BA" w14:textId="1BAE62E4" w:rsidR="0069522C" w:rsidRPr="0069522C" w:rsidRDefault="0069522C" w:rsidP="00C460E7">
      <w:pPr>
        <w:pStyle w:val="isselectedend"/>
        <w:spacing w:before="0" w:beforeAutospacing="0" w:after="0" w:afterAutospacing="0" w:line="360" w:lineRule="auto"/>
        <w:jc w:val="both"/>
        <w:rPr>
          <w:b/>
          <w:bCs/>
        </w:rPr>
      </w:pPr>
      <w:r w:rsidRPr="0069522C">
        <w:rPr>
          <w:b/>
          <w:bCs/>
        </w:rPr>
        <w:t>Libertad de asociación durante los estados de excepción</w:t>
      </w:r>
    </w:p>
    <w:p w14:paraId="6F37ABA9" w14:textId="0E7F6CDC" w:rsidR="0069522C" w:rsidRPr="0069522C" w:rsidRDefault="00EA3CCA" w:rsidP="0069522C">
      <w:pPr>
        <w:pStyle w:val="isselectedend"/>
        <w:spacing w:before="0" w:beforeAutospacing="0" w:after="0" w:afterAutospacing="0" w:line="360" w:lineRule="auto"/>
        <w:ind w:firstLine="576"/>
        <w:jc w:val="both"/>
      </w:pPr>
      <w:r>
        <w:t xml:space="preserve">Se </w:t>
      </w:r>
      <w:r w:rsidR="0069522C" w:rsidRPr="0069522C">
        <w:t xml:space="preserve">valora que el </w:t>
      </w:r>
      <w:r>
        <w:t>p</w:t>
      </w:r>
      <w:r w:rsidR="0069522C" w:rsidRPr="0069522C">
        <w:t>royecto recuerde que la declaración de estados de excepción no suspende las obligaciones internacionales asumidas por los Estados en materia de derechos humanos. La experiencia comparada demuestra que los períodos de emergencia suelen generar un incremento de restricciones al espacio cívico y una mayor exposición de organizaciones sociales y personas defensoras a medidas que limitan el ejercicio de sus derechos.</w:t>
      </w:r>
      <w:r>
        <w:t xml:space="preserve"> </w:t>
      </w:r>
      <w:r w:rsidR="0069522C" w:rsidRPr="0069522C">
        <w:t>Desde la práctica institucional, resulta evidente que las situaciones de crisis ya sean originadas por conflictos internos, amenazas a la seguridad, desastres naturales o emergencias sanitarias</w:t>
      </w:r>
      <w:r w:rsidR="008B34C4">
        <w:t>,</w:t>
      </w:r>
      <w:r w:rsidR="0069522C" w:rsidRPr="0069522C">
        <w:t xml:space="preserve"> no eliminan la necesidad de preservar mecanismos independientes de participación ciudadana, monitoreo y control democrático. Por el contrario, es precisamente en estos contextos cuando las organizaciones de la sociedad civil desempeñan un papel especialmente relevante en la protección de personas en situación de vulnerabilidad, la asistencia humanitaria, el seguimiento de posibles abusos y la construcción de respuestas públicas respetuosas de los derechos humanos.</w:t>
      </w:r>
    </w:p>
    <w:p w14:paraId="45C159B8" w14:textId="72EA9471" w:rsidR="0069522C" w:rsidRPr="0069522C" w:rsidRDefault="0069522C" w:rsidP="0069522C">
      <w:pPr>
        <w:pStyle w:val="isselectedend"/>
        <w:spacing w:before="0" w:beforeAutospacing="0" w:after="0" w:afterAutospacing="0" w:line="360" w:lineRule="auto"/>
        <w:ind w:firstLine="576"/>
        <w:jc w:val="both"/>
      </w:pPr>
      <w:r w:rsidRPr="0069522C">
        <w:t xml:space="preserve">En consecuencia, </w:t>
      </w:r>
      <w:r w:rsidR="008B34C4">
        <w:t>se</w:t>
      </w:r>
      <w:r w:rsidRPr="0069522C">
        <w:t xml:space="preserve"> debería reforzar el mensaje de que toda medida adoptada durante un estado de excepción que afecte la libertad de asociación continúa sometida a los principios de legalidad, necesidad, proporcionalidad, temporalidad y no </w:t>
      </w:r>
      <w:r w:rsidRPr="0069522C">
        <w:lastRenderedPageBreak/>
        <w:t>discriminación. La mera existencia de una situación excepcional no constituye, por sí sola, justificación suficiente para limitar el funcionamiento de organizaciones sociales ni para restringir el trabajo de personas defensoras de derechos humanos.</w:t>
      </w:r>
    </w:p>
    <w:p w14:paraId="4966378A" w14:textId="77777777" w:rsidR="00E12A28" w:rsidRDefault="00E12A28" w:rsidP="00DA3A15">
      <w:pPr>
        <w:pStyle w:val="isselectedend"/>
        <w:spacing w:before="0" w:beforeAutospacing="0" w:after="0" w:afterAutospacing="0" w:line="360" w:lineRule="auto"/>
        <w:ind w:firstLine="576"/>
        <w:jc w:val="both"/>
      </w:pPr>
      <w:r>
        <w:t>Asimismo, la Observación General podría destacar que, conforme a los marcos constitucionales y legales aplicables en cada Estado, deben facilitarse mecanismos de monitoreo independiente por parte de las Instituciones Nacionales de Derechos Humanos durante la implementación de medidas excepcionales, sin afectar la conducción legítima de las acciones estatales de seguridad y garantizando en todo momento el respeto de los principios de legalidad, necesidad, proporcionalidad, temporalidad, no discriminación y rendición de cuentas.</w:t>
      </w:r>
    </w:p>
    <w:p w14:paraId="6E05BE86" w14:textId="716D9075" w:rsidR="00DA3A15" w:rsidRPr="00DA3A15" w:rsidRDefault="00DA3A15" w:rsidP="00DA3A15">
      <w:pPr>
        <w:pStyle w:val="isselectedend"/>
        <w:spacing w:before="0" w:beforeAutospacing="0" w:after="0" w:afterAutospacing="0" w:line="360" w:lineRule="auto"/>
        <w:ind w:firstLine="576"/>
        <w:jc w:val="both"/>
      </w:pPr>
      <w:r w:rsidRPr="00DA3A15">
        <w:t>La Defensoría del Pueblo de Ecuador considera que el Proyecto de Observación General n</w:t>
      </w:r>
      <w:r w:rsidR="0018672E" w:rsidRPr="00DA3A15">
        <w:t>. º</w:t>
      </w:r>
      <w:r w:rsidRPr="00DA3A15">
        <w:t xml:space="preserve"> 38 representa una oportunidad para consolidar una interpretación del artículo 22 acorde con los desafíos contemporáneos que enfrenta el espacio cívico en todas las regiones del mundo. La experiencia acumulada por esta Institución Nacional de Derechos Humanos confirma que la protección de la libertad de asociación constituye un presupuesto indispensable para el ejercicio de otros derechos humanos, la participación democrática y la consolidación del Estado de derecho.</w:t>
      </w:r>
    </w:p>
    <w:p w14:paraId="3FEDEBE4" w14:textId="77777777" w:rsidR="004F0C77" w:rsidRDefault="00DA3A15" w:rsidP="004F0C77">
      <w:pPr>
        <w:pStyle w:val="isselectedend"/>
        <w:spacing w:before="0" w:beforeAutospacing="0" w:after="0" w:afterAutospacing="0" w:line="360" w:lineRule="auto"/>
        <w:ind w:firstLine="576"/>
        <w:jc w:val="both"/>
      </w:pPr>
      <w:r w:rsidRPr="00DA3A15">
        <w:t xml:space="preserve">En este contexto, la </w:t>
      </w:r>
      <w:r>
        <w:t>DPE</w:t>
      </w:r>
      <w:r w:rsidRPr="00DA3A15">
        <w:t xml:space="preserve"> confía en que las observaciones formuladas en esta contribución </w:t>
      </w:r>
      <w:r w:rsidR="006653C2">
        <w:t>a</w:t>
      </w:r>
      <w:r w:rsidRPr="00DA3A15">
        <w:t>to del texto definitivo de la Observación General y reitera su disposición para continuar colaborando con el Comité de Derechos Humanos, en el marco del mandato que le confieren la Constitución de la República del Ecuador y los Principios de París, en la promoción y protección del derecho a la libertad de asociación.</w:t>
      </w:r>
      <w:r w:rsidR="004F0C77" w:rsidRPr="004F0C77">
        <w:t xml:space="preserve"> </w:t>
      </w:r>
    </w:p>
    <w:p w14:paraId="20EF8543" w14:textId="257F5462" w:rsidR="004F0C77" w:rsidRPr="00DA3A15" w:rsidRDefault="004F0C77" w:rsidP="004F0C77">
      <w:pPr>
        <w:pStyle w:val="isselectedend"/>
        <w:spacing w:before="0" w:beforeAutospacing="0" w:after="0" w:afterAutospacing="0" w:line="360" w:lineRule="auto"/>
        <w:ind w:firstLine="576"/>
        <w:jc w:val="both"/>
      </w:pPr>
      <w:r w:rsidRPr="00DA3A15">
        <w:t xml:space="preserve">En este contexto, la </w:t>
      </w:r>
      <w:r>
        <w:t>DPE</w:t>
      </w:r>
      <w:r w:rsidRPr="00DA3A15">
        <w:t xml:space="preserve"> confía en que las observaciones formuladas en esta contribución apoyen al fortalecimiento del texto definitivo de la Observación General y reitera su disposición para continuar colaborando con el Comité de Derechos Humanos, en el marco del mandato que le confieren la Constitución de la República del Ecuador y los Principios de París, en la promoción y protección del derecho a la libertad de asociación.</w:t>
      </w:r>
    </w:p>
    <w:p w14:paraId="6D6B12CA" w14:textId="257F50D5" w:rsidR="00DA3A15" w:rsidRPr="00DA3A15" w:rsidRDefault="00DA3A15" w:rsidP="00DA3A15">
      <w:pPr>
        <w:pStyle w:val="isselectedend"/>
        <w:spacing w:before="0" w:beforeAutospacing="0" w:after="0" w:afterAutospacing="0" w:line="360" w:lineRule="auto"/>
        <w:ind w:firstLine="576"/>
        <w:jc w:val="both"/>
      </w:pPr>
    </w:p>
    <w:p w14:paraId="7973E5D6" w14:textId="77777777" w:rsidR="00A61A67" w:rsidRDefault="00A61A67" w:rsidP="00BF3B3C">
      <w:pPr>
        <w:pStyle w:val="isselectedend"/>
        <w:spacing w:before="0" w:beforeAutospacing="0" w:after="0" w:afterAutospacing="0" w:line="360" w:lineRule="auto"/>
        <w:ind w:firstLine="576"/>
        <w:jc w:val="both"/>
      </w:pPr>
    </w:p>
    <w:sectPr w:rsidR="00A61A67">
      <w:headerReference w:type="default" r:id="rId1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C9989" w14:textId="77777777" w:rsidR="00AB58F2" w:rsidRDefault="00AB58F2" w:rsidP="00552E05">
      <w:pPr>
        <w:spacing w:line="240" w:lineRule="auto"/>
      </w:pPr>
      <w:r>
        <w:separator/>
      </w:r>
    </w:p>
  </w:endnote>
  <w:endnote w:type="continuationSeparator" w:id="0">
    <w:p w14:paraId="664345A0" w14:textId="77777777" w:rsidR="00AB58F2" w:rsidRDefault="00AB58F2" w:rsidP="00552E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5E890" w14:textId="09D28EDE" w:rsidR="00285998" w:rsidRDefault="00285998">
    <w:pPr>
      <w:pStyle w:val="Piedepgina"/>
      <w:jc w:val="right"/>
    </w:pPr>
  </w:p>
  <w:p w14:paraId="18894854" w14:textId="77777777" w:rsidR="00552E05" w:rsidRDefault="00552E0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9711479"/>
      <w:docPartObj>
        <w:docPartGallery w:val="Page Numbers (Bottom of Page)"/>
        <w:docPartUnique/>
      </w:docPartObj>
    </w:sdtPr>
    <w:sdtEndPr/>
    <w:sdtContent>
      <w:p w14:paraId="36D2C832" w14:textId="07DD419F" w:rsidR="00285998" w:rsidRDefault="00285998">
        <w:pPr>
          <w:pStyle w:val="Piedepgina"/>
          <w:jc w:val="right"/>
        </w:pPr>
        <w:r>
          <w:fldChar w:fldCharType="begin"/>
        </w:r>
        <w:r>
          <w:instrText>PAGE   \* MERGEFORMAT</w:instrText>
        </w:r>
        <w:r>
          <w:fldChar w:fldCharType="separate"/>
        </w:r>
        <w:r w:rsidR="00DB626A" w:rsidRPr="00DB626A">
          <w:rPr>
            <w:noProof/>
            <w:lang w:val="es-ES"/>
          </w:rPr>
          <w:t>12</w:t>
        </w:r>
        <w:r>
          <w:fldChar w:fldCharType="end"/>
        </w:r>
      </w:p>
    </w:sdtContent>
  </w:sdt>
  <w:p w14:paraId="4F56F417" w14:textId="77777777" w:rsidR="00285998" w:rsidRDefault="002859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31078" w14:textId="77777777" w:rsidR="00AB58F2" w:rsidRDefault="00AB58F2" w:rsidP="00552E05">
      <w:pPr>
        <w:spacing w:line="240" w:lineRule="auto"/>
      </w:pPr>
      <w:r>
        <w:separator/>
      </w:r>
    </w:p>
  </w:footnote>
  <w:footnote w:type="continuationSeparator" w:id="0">
    <w:p w14:paraId="20C2C42F" w14:textId="77777777" w:rsidR="00AB58F2" w:rsidRDefault="00AB58F2" w:rsidP="00552E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0DB3" w14:textId="77777777" w:rsidR="004A5D93" w:rsidRDefault="004A5D93" w:rsidP="004A5D93">
    <w:pPr>
      <w:tabs>
        <w:tab w:val="left" w:pos="6075"/>
      </w:tabs>
      <w:ind w:left="1416" w:hanging="1416"/>
      <w:rPr>
        <w:rFonts w:ascii="Garamond" w:hAnsi="Garamond"/>
        <w:noProof/>
        <w:lang w:val="en-US"/>
      </w:rPr>
    </w:pPr>
    <w:r>
      <w:rPr>
        <w:rFonts w:ascii="Garamond" w:hAnsi="Garamond"/>
        <w:noProof/>
        <w:lang w:eastAsia="es-EC"/>
      </w:rPr>
      <mc:AlternateContent>
        <mc:Choice Requires="wps">
          <w:drawing>
            <wp:anchor distT="0" distB="0" distL="114300" distR="114300" simplePos="0" relativeHeight="251659264" behindDoc="0" locked="0" layoutInCell="1" allowOverlap="1" wp14:anchorId="45B95755" wp14:editId="72582068">
              <wp:simplePos x="0" y="0"/>
              <wp:positionH relativeFrom="column">
                <wp:posOffset>2126512</wp:posOffset>
              </wp:positionH>
              <wp:positionV relativeFrom="paragraph">
                <wp:posOffset>-24913</wp:posOffset>
              </wp:positionV>
              <wp:extent cx="4362450" cy="903768"/>
              <wp:effectExtent l="0" t="0" r="19050" b="1079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62450" cy="903768"/>
                      </a:xfrm>
                      <a:prstGeom prst="rect">
                        <a:avLst/>
                      </a:prstGeom>
                      <a:solidFill>
                        <a:srgbClr val="FFFFFF"/>
                      </a:solidFill>
                      <a:ln w="9525">
                        <a:solidFill>
                          <a:srgbClr val="FFFFFF"/>
                        </a:solidFill>
                        <a:miter lim="800000"/>
                        <a:headEnd/>
                        <a:tailEnd/>
                      </a:ln>
                    </wps:spPr>
                    <wps:txbx>
                      <w:txbxContent>
                        <w:p w14:paraId="5EF27BD4" w14:textId="77777777" w:rsidR="004A5D93" w:rsidRPr="00346C3E" w:rsidRDefault="004A5D93" w:rsidP="004A5D93">
                          <w:pPr>
                            <w:rPr>
                              <w:sz w:val="14"/>
                              <w:szCs w:val="14"/>
                              <w:lang w:val="es-ES"/>
                            </w:rPr>
                          </w:pPr>
                          <w:r w:rsidRPr="008758D7">
                            <w:rPr>
                              <w:sz w:val="20"/>
                              <w:szCs w:val="20"/>
                              <w:lang w:val="es-ES"/>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5B95755" id="_x0000_t202" coordsize="21600,21600" o:spt="202" path="m,l,21600r21600,l21600,xe">
              <v:stroke joinstyle="miter"/>
              <v:path gradientshapeok="t" o:connecttype="rect"/>
            </v:shapetype>
            <v:shape id="Text Box 1" o:spid="_x0000_s1026" type="#_x0000_t202" style="position:absolute;left:0;text-align:left;margin-left:167.45pt;margin-top:-1.95pt;width:343.5pt;height:7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Ir/AwIAABQEAAAOAAAAZHJzL2Uyb0RvYy54bWysU9uO2yAQfa/Uf0C8N3a8STZrxVm1u01V&#10;aXuRtv0AjHGMCgwFEjv9+g7Ym03bt1X9gBjPcJhz5rC5HbQiR+G8BFPR+SynRBgOjTT7in7/tnuz&#10;psQHZhqmwIiKnoSnt9vXrza9LUUBHahGOIIgxpe9rWgXgi2zzPNOaOZnYIXBZAtOs4Ch22eNYz2i&#10;a5UVeb7KenCNdcCF9/j3fkzSbcJvW8HDl7b1IhBVUewtpNWltY5rtt2wcu+Y7SSf2mAv6EIzafDS&#10;M9Q9C4wcnPwHSkvuwEMbZhx0Bm0ruUgckM08/4vNY8esSFxQHG/PMvn/B8s/Hx/tV0fC8A4GHGAi&#10;4e0D8B8etcl668upJmrqSx+r6/4TNDhNdgiQTgyt05E+EiIIg0qfzuqKIRCOPxdXq2KxxBTH3E1+&#10;db1aR/kzVj6dts6HDwI0iZuKOpxeQmfHBx/G0qeSeJkHJZudVCoFbl/fKUeODCe9S9+E/keZMqTH&#10;25fFcmT6AggtA1pWSV3RdR6/0USdYM170yRDBSbVuEd2ykw6RulGEcNQD1gY9ayhOaGiDkZr4lPC&#10;TQfuFyU92rKi/ueBOUGJ+mhw7jfzxSL6OAWL5XWBgbvM1JcZZjhCVTRQMm7vwuj9g3Vy3+FN48AN&#10;vMVJtjKJ/NzV1DdaL41peibR25dxqnp+zNvfAAAA//8DAFBLAwQUAAYACAAAACEAcJkkTuAAAAAL&#10;AQAADwAAAGRycy9kb3ducmV2LnhtbEyPQWvCQBCF74X+h2UKvRTd6Ipomo1IIQgKgrZ4XrPTJDQ7&#10;G7Krpv++46me5g3zePO9bDW4VlyxD40nDZNxAgKp9LahSsPXZzFagAjRkDWtJ9TwiwFW+fNTZlLr&#10;b3TA6zFWgkMopEZDHWOXShnKGp0JY98h8e3b985EXvtK2t7cONy1cpokc+lMQ/yhNh1+1Fj+HC9O&#10;w0ntsS82b3G/OaznflvsfLXdaf36MqzfQUQc4r8Z7viMDjkznf2FbBCtBqVmS7ZqGCmed0MynbA6&#10;s1KLGcg8k48d8j8AAAD//wMAUEsBAi0AFAAGAAgAAAAhALaDOJL+AAAA4QEAABMAAAAAAAAAAAAA&#10;AAAAAAAAAFtDb250ZW50X1R5cGVzXS54bWxQSwECLQAUAAYACAAAACEAOP0h/9YAAACUAQAACwAA&#10;AAAAAAAAAAAAAAAvAQAAX3JlbHMvLnJlbHNQSwECLQAUAAYACAAAACEA6NSK/wMCAAAUBAAADgAA&#10;AAAAAAAAAAAAAAAuAgAAZHJzL2Uyb0RvYy54bWxQSwECLQAUAAYACAAAACEAcJkkTuAAAAALAQAA&#10;DwAAAAAAAAAAAAAAAABdBAAAZHJzL2Rvd25yZXYueG1sUEsFBgAAAAAEAAQA8wAAAGoFAAAAAA==&#10;" strokecolor="white">
              <v:path arrowok="t"/>
              <v:textbox>
                <w:txbxContent>
                  <w:p w14:paraId="5EF27BD4" w14:textId="77777777" w:rsidR="004A5D93" w:rsidRPr="00346C3E" w:rsidRDefault="004A5D93" w:rsidP="004A5D93">
                    <w:pPr>
                      <w:rPr>
                        <w:sz w:val="14"/>
                        <w:szCs w:val="14"/>
                        <w:lang w:val="es-ES"/>
                      </w:rPr>
                    </w:pPr>
                    <w:r w:rsidRPr="008758D7">
                      <w:rPr>
                        <w:sz w:val="20"/>
                        <w:szCs w:val="20"/>
                        <w:lang w:val="es-ES"/>
                      </w:rPr>
                      <w:t> </w:t>
                    </w:r>
                  </w:p>
                </w:txbxContent>
              </v:textbox>
            </v:shape>
          </w:pict>
        </mc:Fallback>
      </mc:AlternateContent>
    </w:r>
    <w:r w:rsidRPr="00382DD9">
      <w:rPr>
        <w:rFonts w:ascii="Garamond" w:hAnsi="Garamond"/>
        <w:noProof/>
        <w:lang w:eastAsia="es-EC"/>
      </w:rPr>
      <w:drawing>
        <wp:inline distT="0" distB="0" distL="0" distR="0" wp14:anchorId="39E02F64" wp14:editId="6886E1AC">
          <wp:extent cx="1605915" cy="779145"/>
          <wp:effectExtent l="0" t="0" r="0" b="0"/>
          <wp:docPr id="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915" cy="779145"/>
                  </a:xfrm>
                  <a:prstGeom prst="rect">
                    <a:avLst/>
                  </a:prstGeom>
                  <a:noFill/>
                  <a:ln>
                    <a:noFill/>
                  </a:ln>
                </pic:spPr>
              </pic:pic>
            </a:graphicData>
          </a:graphic>
        </wp:inline>
      </w:drawing>
    </w:r>
  </w:p>
  <w:p w14:paraId="5B4E3361" w14:textId="1BE687D0" w:rsidR="00285998" w:rsidRPr="00285998" w:rsidRDefault="00285998" w:rsidP="00285998">
    <w:pPr>
      <w:pStyle w:val="Encabezado"/>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EF7EF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96E0989E"/>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5B2309B"/>
    <w:multiLevelType w:val="hybridMultilevel"/>
    <w:tmpl w:val="1F30E2F8"/>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 w15:restartNumberingAfterBreak="0">
    <w:nsid w:val="06A10290"/>
    <w:multiLevelType w:val="hybridMultilevel"/>
    <w:tmpl w:val="FE8A994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6BB6B5F"/>
    <w:multiLevelType w:val="hybridMultilevel"/>
    <w:tmpl w:val="2FEE35D4"/>
    <w:lvl w:ilvl="0" w:tplc="AB2659D8">
      <w:start w:val="1"/>
      <w:numFmt w:val="decimal"/>
      <w:lvlText w:val="%1."/>
      <w:lvlJc w:val="left"/>
      <w:pPr>
        <w:ind w:left="1080" w:hanging="360"/>
      </w:pPr>
      <w:rPr>
        <w:rFonts w:hint="default"/>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07C5359C"/>
    <w:multiLevelType w:val="hybridMultilevel"/>
    <w:tmpl w:val="FF88AFA2"/>
    <w:lvl w:ilvl="0" w:tplc="2F02E28E">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0B0F7A97"/>
    <w:multiLevelType w:val="hybridMultilevel"/>
    <w:tmpl w:val="593EF3E8"/>
    <w:lvl w:ilvl="0" w:tplc="88CC6490">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0B920E37"/>
    <w:multiLevelType w:val="hybridMultilevel"/>
    <w:tmpl w:val="33349936"/>
    <w:lvl w:ilvl="0" w:tplc="300A0017">
      <w:start w:val="1"/>
      <w:numFmt w:val="lowerLetter"/>
      <w:lvlText w:val="%1)"/>
      <w:lvlJc w:val="left"/>
      <w:pPr>
        <w:ind w:left="360" w:hanging="360"/>
      </w:pPr>
      <w:rPr>
        <w:rFont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8" w15:restartNumberingAfterBreak="0">
    <w:nsid w:val="127077B3"/>
    <w:multiLevelType w:val="hybridMultilevel"/>
    <w:tmpl w:val="8912EF5A"/>
    <w:lvl w:ilvl="0" w:tplc="300A000F">
      <w:start w:val="1"/>
      <w:numFmt w:val="decimal"/>
      <w:lvlText w:val="%1."/>
      <w:lvlJc w:val="left"/>
      <w:pPr>
        <w:ind w:left="720" w:hanging="360"/>
      </w:pPr>
      <w:rPr>
        <w:rFonts w:cs="Times New Roman"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7B15EE0"/>
    <w:multiLevelType w:val="hybridMultilevel"/>
    <w:tmpl w:val="559A80A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29F25B80"/>
    <w:multiLevelType w:val="hybridMultilevel"/>
    <w:tmpl w:val="D5C0A8A2"/>
    <w:lvl w:ilvl="0" w:tplc="52A62132">
      <w:start w:val="2"/>
      <w:numFmt w:val="decimal"/>
      <w:lvlText w:val="%1"/>
      <w:lvlJc w:val="left"/>
      <w:pPr>
        <w:ind w:left="959" w:hanging="360"/>
      </w:pPr>
      <w:rPr>
        <w:rFonts w:hint="default"/>
      </w:rPr>
    </w:lvl>
    <w:lvl w:ilvl="1" w:tplc="300A0019" w:tentative="1">
      <w:start w:val="1"/>
      <w:numFmt w:val="lowerLetter"/>
      <w:lvlText w:val="%2."/>
      <w:lvlJc w:val="left"/>
      <w:pPr>
        <w:ind w:left="1679" w:hanging="360"/>
      </w:pPr>
    </w:lvl>
    <w:lvl w:ilvl="2" w:tplc="300A001B" w:tentative="1">
      <w:start w:val="1"/>
      <w:numFmt w:val="lowerRoman"/>
      <w:lvlText w:val="%3."/>
      <w:lvlJc w:val="right"/>
      <w:pPr>
        <w:ind w:left="2399" w:hanging="180"/>
      </w:pPr>
    </w:lvl>
    <w:lvl w:ilvl="3" w:tplc="300A000F" w:tentative="1">
      <w:start w:val="1"/>
      <w:numFmt w:val="decimal"/>
      <w:lvlText w:val="%4."/>
      <w:lvlJc w:val="left"/>
      <w:pPr>
        <w:ind w:left="3119" w:hanging="360"/>
      </w:pPr>
    </w:lvl>
    <w:lvl w:ilvl="4" w:tplc="300A0019" w:tentative="1">
      <w:start w:val="1"/>
      <w:numFmt w:val="lowerLetter"/>
      <w:lvlText w:val="%5."/>
      <w:lvlJc w:val="left"/>
      <w:pPr>
        <w:ind w:left="3839" w:hanging="360"/>
      </w:pPr>
    </w:lvl>
    <w:lvl w:ilvl="5" w:tplc="300A001B" w:tentative="1">
      <w:start w:val="1"/>
      <w:numFmt w:val="lowerRoman"/>
      <w:lvlText w:val="%6."/>
      <w:lvlJc w:val="right"/>
      <w:pPr>
        <w:ind w:left="4559" w:hanging="180"/>
      </w:pPr>
    </w:lvl>
    <w:lvl w:ilvl="6" w:tplc="300A000F" w:tentative="1">
      <w:start w:val="1"/>
      <w:numFmt w:val="decimal"/>
      <w:lvlText w:val="%7."/>
      <w:lvlJc w:val="left"/>
      <w:pPr>
        <w:ind w:left="5279" w:hanging="360"/>
      </w:pPr>
    </w:lvl>
    <w:lvl w:ilvl="7" w:tplc="300A0019" w:tentative="1">
      <w:start w:val="1"/>
      <w:numFmt w:val="lowerLetter"/>
      <w:lvlText w:val="%8."/>
      <w:lvlJc w:val="left"/>
      <w:pPr>
        <w:ind w:left="5999" w:hanging="360"/>
      </w:pPr>
    </w:lvl>
    <w:lvl w:ilvl="8" w:tplc="300A001B" w:tentative="1">
      <w:start w:val="1"/>
      <w:numFmt w:val="lowerRoman"/>
      <w:lvlText w:val="%9."/>
      <w:lvlJc w:val="right"/>
      <w:pPr>
        <w:ind w:left="6719" w:hanging="180"/>
      </w:pPr>
    </w:lvl>
  </w:abstractNum>
  <w:abstractNum w:abstractNumId="11" w15:restartNumberingAfterBreak="0">
    <w:nsid w:val="2A2F0919"/>
    <w:multiLevelType w:val="multilevel"/>
    <w:tmpl w:val="C0ECBC78"/>
    <w:lvl w:ilvl="0">
      <w:start w:val="1"/>
      <w:numFmt w:val="decimal"/>
      <w:pStyle w:val="Ttulo1"/>
      <w:lvlText w:val="%1"/>
      <w:lvlJc w:val="left"/>
      <w:pPr>
        <w:ind w:left="432" w:hanging="432"/>
      </w:pPr>
      <w:rPr>
        <w:b/>
      </w:rPr>
    </w:lvl>
    <w:lvl w:ilvl="1">
      <w:start w:val="1"/>
      <w:numFmt w:val="decimal"/>
      <w:pStyle w:val="Ttulo2"/>
      <w:lvlText w:val="%1.%2"/>
      <w:lvlJc w:val="left"/>
      <w:pPr>
        <w:ind w:left="576" w:hanging="576"/>
      </w:pPr>
    </w:lvl>
    <w:lvl w:ilvl="2">
      <w:start w:val="1"/>
      <w:numFmt w:val="decimal"/>
      <w:pStyle w:val="Ttulo3"/>
      <w:lvlText w:val="%1.%2.%3"/>
      <w:lvlJc w:val="left"/>
      <w:pPr>
        <w:ind w:left="2563"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2" w15:restartNumberingAfterBreak="0">
    <w:nsid w:val="2C2B16AD"/>
    <w:multiLevelType w:val="hybridMultilevel"/>
    <w:tmpl w:val="B8BC8EB2"/>
    <w:lvl w:ilvl="0" w:tplc="A99AEDEA">
      <w:start w:val="1"/>
      <w:numFmt w:val="lowerLetter"/>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C9C180B"/>
    <w:multiLevelType w:val="hybridMultilevel"/>
    <w:tmpl w:val="2E1A0B4A"/>
    <w:lvl w:ilvl="0" w:tplc="300A0005">
      <w:start w:val="1"/>
      <w:numFmt w:val="bullet"/>
      <w:lvlText w:val=""/>
      <w:lvlJc w:val="left"/>
      <w:pPr>
        <w:ind w:left="900" w:hanging="360"/>
      </w:pPr>
      <w:rPr>
        <w:rFonts w:ascii="Wingdings" w:hAnsi="Wingdings" w:hint="default"/>
      </w:rPr>
    </w:lvl>
    <w:lvl w:ilvl="1" w:tplc="300A0003" w:tentative="1">
      <w:start w:val="1"/>
      <w:numFmt w:val="bullet"/>
      <w:lvlText w:val="o"/>
      <w:lvlJc w:val="left"/>
      <w:pPr>
        <w:ind w:left="1620" w:hanging="360"/>
      </w:pPr>
      <w:rPr>
        <w:rFonts w:ascii="Courier New" w:hAnsi="Courier New" w:cs="Courier New" w:hint="default"/>
      </w:rPr>
    </w:lvl>
    <w:lvl w:ilvl="2" w:tplc="300A0005" w:tentative="1">
      <w:start w:val="1"/>
      <w:numFmt w:val="bullet"/>
      <w:lvlText w:val=""/>
      <w:lvlJc w:val="left"/>
      <w:pPr>
        <w:ind w:left="2340" w:hanging="360"/>
      </w:pPr>
      <w:rPr>
        <w:rFonts w:ascii="Wingdings" w:hAnsi="Wingdings" w:hint="default"/>
      </w:rPr>
    </w:lvl>
    <w:lvl w:ilvl="3" w:tplc="300A0001" w:tentative="1">
      <w:start w:val="1"/>
      <w:numFmt w:val="bullet"/>
      <w:lvlText w:val=""/>
      <w:lvlJc w:val="left"/>
      <w:pPr>
        <w:ind w:left="3060" w:hanging="360"/>
      </w:pPr>
      <w:rPr>
        <w:rFonts w:ascii="Symbol" w:hAnsi="Symbol" w:hint="default"/>
      </w:rPr>
    </w:lvl>
    <w:lvl w:ilvl="4" w:tplc="300A0003" w:tentative="1">
      <w:start w:val="1"/>
      <w:numFmt w:val="bullet"/>
      <w:lvlText w:val="o"/>
      <w:lvlJc w:val="left"/>
      <w:pPr>
        <w:ind w:left="3780" w:hanging="360"/>
      </w:pPr>
      <w:rPr>
        <w:rFonts w:ascii="Courier New" w:hAnsi="Courier New" w:cs="Courier New" w:hint="default"/>
      </w:rPr>
    </w:lvl>
    <w:lvl w:ilvl="5" w:tplc="300A0005" w:tentative="1">
      <w:start w:val="1"/>
      <w:numFmt w:val="bullet"/>
      <w:lvlText w:val=""/>
      <w:lvlJc w:val="left"/>
      <w:pPr>
        <w:ind w:left="4500" w:hanging="360"/>
      </w:pPr>
      <w:rPr>
        <w:rFonts w:ascii="Wingdings" w:hAnsi="Wingdings" w:hint="default"/>
      </w:rPr>
    </w:lvl>
    <w:lvl w:ilvl="6" w:tplc="300A0001" w:tentative="1">
      <w:start w:val="1"/>
      <w:numFmt w:val="bullet"/>
      <w:lvlText w:val=""/>
      <w:lvlJc w:val="left"/>
      <w:pPr>
        <w:ind w:left="5220" w:hanging="360"/>
      </w:pPr>
      <w:rPr>
        <w:rFonts w:ascii="Symbol" w:hAnsi="Symbol" w:hint="default"/>
      </w:rPr>
    </w:lvl>
    <w:lvl w:ilvl="7" w:tplc="300A0003" w:tentative="1">
      <w:start w:val="1"/>
      <w:numFmt w:val="bullet"/>
      <w:lvlText w:val="o"/>
      <w:lvlJc w:val="left"/>
      <w:pPr>
        <w:ind w:left="5940" w:hanging="360"/>
      </w:pPr>
      <w:rPr>
        <w:rFonts w:ascii="Courier New" w:hAnsi="Courier New" w:cs="Courier New" w:hint="default"/>
      </w:rPr>
    </w:lvl>
    <w:lvl w:ilvl="8" w:tplc="300A0005" w:tentative="1">
      <w:start w:val="1"/>
      <w:numFmt w:val="bullet"/>
      <w:lvlText w:val=""/>
      <w:lvlJc w:val="left"/>
      <w:pPr>
        <w:ind w:left="6660" w:hanging="360"/>
      </w:pPr>
      <w:rPr>
        <w:rFonts w:ascii="Wingdings" w:hAnsi="Wingdings" w:hint="default"/>
      </w:rPr>
    </w:lvl>
  </w:abstractNum>
  <w:abstractNum w:abstractNumId="14" w15:restartNumberingAfterBreak="0">
    <w:nsid w:val="2DE266D0"/>
    <w:multiLevelType w:val="hybridMultilevel"/>
    <w:tmpl w:val="1F0459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37811F69"/>
    <w:multiLevelType w:val="multilevel"/>
    <w:tmpl w:val="709A589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E43B0"/>
    <w:multiLevelType w:val="hybridMultilevel"/>
    <w:tmpl w:val="E346761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9287397"/>
    <w:multiLevelType w:val="hybridMultilevel"/>
    <w:tmpl w:val="875C4D3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929239C"/>
    <w:multiLevelType w:val="hybridMultilevel"/>
    <w:tmpl w:val="899EF5C0"/>
    <w:lvl w:ilvl="0" w:tplc="B65C5A82">
      <w:start w:val="5"/>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9" w15:restartNumberingAfterBreak="0">
    <w:nsid w:val="431F4B5B"/>
    <w:multiLevelType w:val="hybridMultilevel"/>
    <w:tmpl w:val="53FA232C"/>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0" w15:restartNumberingAfterBreak="0">
    <w:nsid w:val="4A666A19"/>
    <w:multiLevelType w:val="hybridMultilevel"/>
    <w:tmpl w:val="D7D4811E"/>
    <w:lvl w:ilvl="0" w:tplc="09045866">
      <w:start w:val="1"/>
      <w:numFmt w:val="lowerLetter"/>
      <w:lvlText w:val="%1)"/>
      <w:lvlJc w:val="left"/>
      <w:pPr>
        <w:ind w:left="1410" w:hanging="69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1" w15:restartNumberingAfterBreak="0">
    <w:nsid w:val="4C021FE4"/>
    <w:multiLevelType w:val="hybridMultilevel"/>
    <w:tmpl w:val="20666624"/>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4D38329E"/>
    <w:multiLevelType w:val="multilevel"/>
    <w:tmpl w:val="29AAE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410499"/>
    <w:multiLevelType w:val="hybridMultilevel"/>
    <w:tmpl w:val="922E959C"/>
    <w:lvl w:ilvl="0" w:tplc="2550BF44">
      <w:start w:val="1"/>
      <w:numFmt w:val="decimal"/>
      <w:lvlText w:val="%1)"/>
      <w:lvlJc w:val="left"/>
      <w:pPr>
        <w:ind w:left="720" w:hanging="360"/>
      </w:pPr>
      <w:rPr>
        <w:rFonts w:ascii="Arial Nova" w:hAnsi="Arial Nova"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23F08D9"/>
    <w:multiLevelType w:val="hybridMultilevel"/>
    <w:tmpl w:val="4E94010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53A8203F"/>
    <w:multiLevelType w:val="hybridMultilevel"/>
    <w:tmpl w:val="7DBABCB8"/>
    <w:lvl w:ilvl="0" w:tplc="8856EC00">
      <w:start w:val="1"/>
      <w:numFmt w:val="decimal"/>
      <w:lvlText w:val="%1."/>
      <w:lvlJc w:val="left"/>
      <w:pPr>
        <w:ind w:left="720" w:hanging="360"/>
      </w:pPr>
      <w:rPr>
        <w:rFonts w:hint="default"/>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55794125"/>
    <w:multiLevelType w:val="multilevel"/>
    <w:tmpl w:val="F38A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54816"/>
    <w:multiLevelType w:val="hybridMultilevel"/>
    <w:tmpl w:val="5F36231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5AFB1334"/>
    <w:multiLevelType w:val="multilevel"/>
    <w:tmpl w:val="2E446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545C36"/>
    <w:multiLevelType w:val="hybridMultilevel"/>
    <w:tmpl w:val="BA8C06CC"/>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0" w15:restartNumberingAfterBreak="0">
    <w:nsid w:val="62EA7BD0"/>
    <w:multiLevelType w:val="hybridMultilevel"/>
    <w:tmpl w:val="6B3657D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1" w15:restartNumberingAfterBreak="0">
    <w:nsid w:val="63BF6D5E"/>
    <w:multiLevelType w:val="hybridMultilevel"/>
    <w:tmpl w:val="0DDE5C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66657FB5"/>
    <w:multiLevelType w:val="hybridMultilevel"/>
    <w:tmpl w:val="277C286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68857E01"/>
    <w:multiLevelType w:val="multilevel"/>
    <w:tmpl w:val="A15C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94687"/>
    <w:multiLevelType w:val="hybridMultilevel"/>
    <w:tmpl w:val="F5427D60"/>
    <w:lvl w:ilvl="0" w:tplc="8DBCFC5C">
      <w:start w:val="5"/>
      <w:numFmt w:val="decimal"/>
      <w:lvlText w:val="%1."/>
      <w:lvlJc w:val="left"/>
      <w:pPr>
        <w:ind w:left="959" w:hanging="360"/>
      </w:pPr>
      <w:rPr>
        <w:rFonts w:hint="default"/>
      </w:rPr>
    </w:lvl>
    <w:lvl w:ilvl="1" w:tplc="300A0019" w:tentative="1">
      <w:start w:val="1"/>
      <w:numFmt w:val="lowerLetter"/>
      <w:lvlText w:val="%2."/>
      <w:lvlJc w:val="left"/>
      <w:pPr>
        <w:ind w:left="1679" w:hanging="360"/>
      </w:pPr>
    </w:lvl>
    <w:lvl w:ilvl="2" w:tplc="300A001B" w:tentative="1">
      <w:start w:val="1"/>
      <w:numFmt w:val="lowerRoman"/>
      <w:lvlText w:val="%3."/>
      <w:lvlJc w:val="right"/>
      <w:pPr>
        <w:ind w:left="2399" w:hanging="180"/>
      </w:pPr>
    </w:lvl>
    <w:lvl w:ilvl="3" w:tplc="300A000F" w:tentative="1">
      <w:start w:val="1"/>
      <w:numFmt w:val="decimal"/>
      <w:lvlText w:val="%4."/>
      <w:lvlJc w:val="left"/>
      <w:pPr>
        <w:ind w:left="3119" w:hanging="360"/>
      </w:pPr>
    </w:lvl>
    <w:lvl w:ilvl="4" w:tplc="300A0019" w:tentative="1">
      <w:start w:val="1"/>
      <w:numFmt w:val="lowerLetter"/>
      <w:lvlText w:val="%5."/>
      <w:lvlJc w:val="left"/>
      <w:pPr>
        <w:ind w:left="3839" w:hanging="360"/>
      </w:pPr>
    </w:lvl>
    <w:lvl w:ilvl="5" w:tplc="300A001B" w:tentative="1">
      <w:start w:val="1"/>
      <w:numFmt w:val="lowerRoman"/>
      <w:lvlText w:val="%6."/>
      <w:lvlJc w:val="right"/>
      <w:pPr>
        <w:ind w:left="4559" w:hanging="180"/>
      </w:pPr>
    </w:lvl>
    <w:lvl w:ilvl="6" w:tplc="300A000F" w:tentative="1">
      <w:start w:val="1"/>
      <w:numFmt w:val="decimal"/>
      <w:lvlText w:val="%7."/>
      <w:lvlJc w:val="left"/>
      <w:pPr>
        <w:ind w:left="5279" w:hanging="360"/>
      </w:pPr>
    </w:lvl>
    <w:lvl w:ilvl="7" w:tplc="300A0019" w:tentative="1">
      <w:start w:val="1"/>
      <w:numFmt w:val="lowerLetter"/>
      <w:lvlText w:val="%8."/>
      <w:lvlJc w:val="left"/>
      <w:pPr>
        <w:ind w:left="5999" w:hanging="360"/>
      </w:pPr>
    </w:lvl>
    <w:lvl w:ilvl="8" w:tplc="300A001B" w:tentative="1">
      <w:start w:val="1"/>
      <w:numFmt w:val="lowerRoman"/>
      <w:lvlText w:val="%9."/>
      <w:lvlJc w:val="right"/>
      <w:pPr>
        <w:ind w:left="6719" w:hanging="180"/>
      </w:pPr>
    </w:lvl>
  </w:abstractNum>
  <w:abstractNum w:abstractNumId="35" w15:restartNumberingAfterBreak="0">
    <w:nsid w:val="6B1C6B12"/>
    <w:multiLevelType w:val="hybridMultilevel"/>
    <w:tmpl w:val="D14E4F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15:restartNumberingAfterBreak="0">
    <w:nsid w:val="6DB17597"/>
    <w:multiLevelType w:val="hybridMultilevel"/>
    <w:tmpl w:val="DA383410"/>
    <w:lvl w:ilvl="0" w:tplc="CCA099D4">
      <w:start w:val="1"/>
      <w:numFmt w:val="decimal"/>
      <w:lvlText w:val="%1."/>
      <w:lvlJc w:val="left"/>
      <w:pPr>
        <w:ind w:left="959" w:hanging="360"/>
      </w:pPr>
      <w:rPr>
        <w:rFonts w:ascii="Calibri" w:eastAsia="Calibri" w:hAnsi="Calibri" w:cs="Calibri" w:hint="default"/>
        <w:spacing w:val="-2"/>
        <w:w w:val="100"/>
        <w:sz w:val="24"/>
        <w:szCs w:val="24"/>
        <w:lang w:val="es-ES" w:eastAsia="en-US" w:bidi="ar-SA"/>
      </w:rPr>
    </w:lvl>
    <w:lvl w:ilvl="1" w:tplc="CEF4EA70">
      <w:numFmt w:val="bullet"/>
      <w:lvlText w:val="•"/>
      <w:lvlJc w:val="left"/>
      <w:pPr>
        <w:ind w:left="1888" w:hanging="360"/>
      </w:pPr>
      <w:rPr>
        <w:rFonts w:hint="default"/>
        <w:lang w:val="es-ES" w:eastAsia="en-US" w:bidi="ar-SA"/>
      </w:rPr>
    </w:lvl>
    <w:lvl w:ilvl="2" w:tplc="487E8130">
      <w:numFmt w:val="bullet"/>
      <w:lvlText w:val="•"/>
      <w:lvlJc w:val="left"/>
      <w:pPr>
        <w:ind w:left="2816" w:hanging="360"/>
      </w:pPr>
      <w:rPr>
        <w:rFonts w:hint="default"/>
        <w:lang w:val="es-ES" w:eastAsia="en-US" w:bidi="ar-SA"/>
      </w:rPr>
    </w:lvl>
    <w:lvl w:ilvl="3" w:tplc="8E18BC10">
      <w:numFmt w:val="bullet"/>
      <w:lvlText w:val="•"/>
      <w:lvlJc w:val="left"/>
      <w:pPr>
        <w:ind w:left="3744" w:hanging="360"/>
      </w:pPr>
      <w:rPr>
        <w:rFonts w:hint="default"/>
        <w:lang w:val="es-ES" w:eastAsia="en-US" w:bidi="ar-SA"/>
      </w:rPr>
    </w:lvl>
    <w:lvl w:ilvl="4" w:tplc="5D3C4C38">
      <w:numFmt w:val="bullet"/>
      <w:lvlText w:val="•"/>
      <w:lvlJc w:val="left"/>
      <w:pPr>
        <w:ind w:left="4672" w:hanging="360"/>
      </w:pPr>
      <w:rPr>
        <w:rFonts w:hint="default"/>
        <w:lang w:val="es-ES" w:eastAsia="en-US" w:bidi="ar-SA"/>
      </w:rPr>
    </w:lvl>
    <w:lvl w:ilvl="5" w:tplc="5792F25C">
      <w:numFmt w:val="bullet"/>
      <w:lvlText w:val="•"/>
      <w:lvlJc w:val="left"/>
      <w:pPr>
        <w:ind w:left="5600" w:hanging="360"/>
      </w:pPr>
      <w:rPr>
        <w:rFonts w:hint="default"/>
        <w:lang w:val="es-ES" w:eastAsia="en-US" w:bidi="ar-SA"/>
      </w:rPr>
    </w:lvl>
    <w:lvl w:ilvl="6" w:tplc="6232986E">
      <w:numFmt w:val="bullet"/>
      <w:lvlText w:val="•"/>
      <w:lvlJc w:val="left"/>
      <w:pPr>
        <w:ind w:left="6528" w:hanging="360"/>
      </w:pPr>
      <w:rPr>
        <w:rFonts w:hint="default"/>
        <w:lang w:val="es-ES" w:eastAsia="en-US" w:bidi="ar-SA"/>
      </w:rPr>
    </w:lvl>
    <w:lvl w:ilvl="7" w:tplc="17C64D38">
      <w:numFmt w:val="bullet"/>
      <w:lvlText w:val="•"/>
      <w:lvlJc w:val="left"/>
      <w:pPr>
        <w:ind w:left="7456" w:hanging="360"/>
      </w:pPr>
      <w:rPr>
        <w:rFonts w:hint="default"/>
        <w:lang w:val="es-ES" w:eastAsia="en-US" w:bidi="ar-SA"/>
      </w:rPr>
    </w:lvl>
    <w:lvl w:ilvl="8" w:tplc="BF8E5C10">
      <w:numFmt w:val="bullet"/>
      <w:lvlText w:val="•"/>
      <w:lvlJc w:val="left"/>
      <w:pPr>
        <w:ind w:left="8384" w:hanging="360"/>
      </w:pPr>
      <w:rPr>
        <w:rFonts w:hint="default"/>
        <w:lang w:val="es-ES" w:eastAsia="en-US" w:bidi="ar-SA"/>
      </w:rPr>
    </w:lvl>
  </w:abstractNum>
  <w:abstractNum w:abstractNumId="37" w15:restartNumberingAfterBreak="0">
    <w:nsid w:val="6F4A2DAF"/>
    <w:multiLevelType w:val="multilevel"/>
    <w:tmpl w:val="A19E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7A587E"/>
    <w:multiLevelType w:val="multilevel"/>
    <w:tmpl w:val="2D30E47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8D52D8"/>
    <w:multiLevelType w:val="hybridMultilevel"/>
    <w:tmpl w:val="AB4AD146"/>
    <w:lvl w:ilvl="0" w:tplc="DF9260A2">
      <w:start w:val="5"/>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75B333CF"/>
    <w:multiLevelType w:val="multilevel"/>
    <w:tmpl w:val="2D30E47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A839F4"/>
    <w:multiLevelType w:val="hybridMultilevel"/>
    <w:tmpl w:val="F1FCDA2C"/>
    <w:lvl w:ilvl="0" w:tplc="5C7C6A2E">
      <w:start w:val="1"/>
      <w:numFmt w:val="decimal"/>
      <w:lvlText w:val="%1.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2" w15:restartNumberingAfterBreak="0">
    <w:nsid w:val="7A9E47CF"/>
    <w:multiLevelType w:val="hybridMultilevel"/>
    <w:tmpl w:val="448886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1"/>
  </w:num>
  <w:num w:numId="2">
    <w:abstractNumId w:val="35"/>
  </w:num>
  <w:num w:numId="3">
    <w:abstractNumId w:val="30"/>
  </w:num>
  <w:num w:numId="4">
    <w:abstractNumId w:val="28"/>
  </w:num>
  <w:num w:numId="5">
    <w:abstractNumId w:val="7"/>
  </w:num>
  <w:num w:numId="6">
    <w:abstractNumId w:val="19"/>
  </w:num>
  <w:num w:numId="7">
    <w:abstractNumId w:val="29"/>
  </w:num>
  <w:num w:numId="8">
    <w:abstractNumId w:val="41"/>
  </w:num>
  <w:num w:numId="9">
    <w:abstractNumId w:val="4"/>
  </w:num>
  <w:num w:numId="10">
    <w:abstractNumId w:val="2"/>
  </w:num>
  <w:num w:numId="11">
    <w:abstractNumId w:val="36"/>
  </w:num>
  <w:num w:numId="12">
    <w:abstractNumId w:val="34"/>
  </w:num>
  <w:num w:numId="13">
    <w:abstractNumId w:val="6"/>
  </w:num>
  <w:num w:numId="14">
    <w:abstractNumId w:val="10"/>
  </w:num>
  <w:num w:numId="15">
    <w:abstractNumId w:val="42"/>
  </w:num>
  <w:num w:numId="16">
    <w:abstractNumId w:val="18"/>
  </w:num>
  <w:num w:numId="17">
    <w:abstractNumId w:val="39"/>
  </w:num>
  <w:num w:numId="18">
    <w:abstractNumId w:val="8"/>
  </w:num>
  <w:num w:numId="19">
    <w:abstractNumId w:val="25"/>
  </w:num>
  <w:num w:numId="20">
    <w:abstractNumId w:val="27"/>
  </w:num>
  <w:num w:numId="21">
    <w:abstractNumId w:val="12"/>
  </w:num>
  <w:num w:numId="22">
    <w:abstractNumId w:val="14"/>
  </w:num>
  <w:num w:numId="23">
    <w:abstractNumId w:val="23"/>
  </w:num>
  <w:num w:numId="24">
    <w:abstractNumId w:val="0"/>
  </w:num>
  <w:num w:numId="25">
    <w:abstractNumId w:val="31"/>
  </w:num>
  <w:num w:numId="26">
    <w:abstractNumId w:val="22"/>
  </w:num>
  <w:num w:numId="27">
    <w:abstractNumId w:val="32"/>
  </w:num>
  <w:num w:numId="28">
    <w:abstractNumId w:val="3"/>
  </w:num>
  <w:num w:numId="29">
    <w:abstractNumId w:val="13"/>
  </w:num>
  <w:num w:numId="30">
    <w:abstractNumId w:val="37"/>
  </w:num>
  <w:num w:numId="31">
    <w:abstractNumId w:val="20"/>
  </w:num>
  <w:num w:numId="32">
    <w:abstractNumId w:val="17"/>
  </w:num>
  <w:num w:numId="33">
    <w:abstractNumId w:val="1"/>
  </w:num>
  <w:num w:numId="34">
    <w:abstractNumId w:val="21"/>
  </w:num>
  <w:num w:numId="35">
    <w:abstractNumId w:val="5"/>
  </w:num>
  <w:num w:numId="36">
    <w:abstractNumId w:val="24"/>
  </w:num>
  <w:num w:numId="37">
    <w:abstractNumId w:val="40"/>
  </w:num>
  <w:num w:numId="38">
    <w:abstractNumId w:val="38"/>
  </w:num>
  <w:num w:numId="39">
    <w:abstractNumId w:val="26"/>
  </w:num>
  <w:num w:numId="40">
    <w:abstractNumId w:val="15"/>
  </w:num>
  <w:num w:numId="41">
    <w:abstractNumId w:val="33"/>
  </w:num>
  <w:num w:numId="42">
    <w:abstractNumId w:val="16"/>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017"/>
    <w:rsid w:val="00000EE9"/>
    <w:rsid w:val="000141CB"/>
    <w:rsid w:val="00015B7D"/>
    <w:rsid w:val="00020032"/>
    <w:rsid w:val="00026C64"/>
    <w:rsid w:val="00032AD8"/>
    <w:rsid w:val="0004095E"/>
    <w:rsid w:val="00040CA9"/>
    <w:rsid w:val="00042B64"/>
    <w:rsid w:val="0005213F"/>
    <w:rsid w:val="0005657A"/>
    <w:rsid w:val="00067C3B"/>
    <w:rsid w:val="00085600"/>
    <w:rsid w:val="00096588"/>
    <w:rsid w:val="000A6DD5"/>
    <w:rsid w:val="000B2C40"/>
    <w:rsid w:val="000B7F04"/>
    <w:rsid w:val="000C467D"/>
    <w:rsid w:val="000D6EF6"/>
    <w:rsid w:val="000E02DB"/>
    <w:rsid w:val="000E0442"/>
    <w:rsid w:val="000E558A"/>
    <w:rsid w:val="000F3BBF"/>
    <w:rsid w:val="001001F1"/>
    <w:rsid w:val="00104FD0"/>
    <w:rsid w:val="00105365"/>
    <w:rsid w:val="00120E3D"/>
    <w:rsid w:val="00130B02"/>
    <w:rsid w:val="00137EBA"/>
    <w:rsid w:val="001772B7"/>
    <w:rsid w:val="0018672E"/>
    <w:rsid w:val="00187C45"/>
    <w:rsid w:val="001B7544"/>
    <w:rsid w:val="001C1353"/>
    <w:rsid w:val="001C6647"/>
    <w:rsid w:val="001F491C"/>
    <w:rsid w:val="00211304"/>
    <w:rsid w:val="002161D7"/>
    <w:rsid w:val="0021738E"/>
    <w:rsid w:val="00234016"/>
    <w:rsid w:val="002559AA"/>
    <w:rsid w:val="00273FA7"/>
    <w:rsid w:val="002770AB"/>
    <w:rsid w:val="002855F2"/>
    <w:rsid w:val="00285998"/>
    <w:rsid w:val="002A4BDD"/>
    <w:rsid w:val="002C5506"/>
    <w:rsid w:val="002D3F55"/>
    <w:rsid w:val="002F2883"/>
    <w:rsid w:val="00315673"/>
    <w:rsid w:val="0032746F"/>
    <w:rsid w:val="003367B6"/>
    <w:rsid w:val="00343569"/>
    <w:rsid w:val="00344BDB"/>
    <w:rsid w:val="003512EA"/>
    <w:rsid w:val="00375A84"/>
    <w:rsid w:val="00383ED9"/>
    <w:rsid w:val="00387C65"/>
    <w:rsid w:val="00392347"/>
    <w:rsid w:val="003A38DA"/>
    <w:rsid w:val="003C0645"/>
    <w:rsid w:val="003C5AB7"/>
    <w:rsid w:val="003C7370"/>
    <w:rsid w:val="003D4D29"/>
    <w:rsid w:val="003D76A4"/>
    <w:rsid w:val="003E1115"/>
    <w:rsid w:val="003E174D"/>
    <w:rsid w:val="003F350D"/>
    <w:rsid w:val="003F4574"/>
    <w:rsid w:val="00431BE1"/>
    <w:rsid w:val="00462A22"/>
    <w:rsid w:val="00472BB2"/>
    <w:rsid w:val="00477540"/>
    <w:rsid w:val="00482679"/>
    <w:rsid w:val="00484844"/>
    <w:rsid w:val="004877B0"/>
    <w:rsid w:val="004A5D93"/>
    <w:rsid w:val="004C3E97"/>
    <w:rsid w:val="004D03C3"/>
    <w:rsid w:val="004D5E7A"/>
    <w:rsid w:val="004E1DC7"/>
    <w:rsid w:val="004E24D3"/>
    <w:rsid w:val="004E3900"/>
    <w:rsid w:val="004E4346"/>
    <w:rsid w:val="004F0C77"/>
    <w:rsid w:val="004F2070"/>
    <w:rsid w:val="00500141"/>
    <w:rsid w:val="00506726"/>
    <w:rsid w:val="00507D1C"/>
    <w:rsid w:val="00512B2E"/>
    <w:rsid w:val="005160A4"/>
    <w:rsid w:val="005261C5"/>
    <w:rsid w:val="005402CA"/>
    <w:rsid w:val="00542A02"/>
    <w:rsid w:val="00544EEF"/>
    <w:rsid w:val="0054799C"/>
    <w:rsid w:val="00552E05"/>
    <w:rsid w:val="00555BC6"/>
    <w:rsid w:val="00557BB2"/>
    <w:rsid w:val="0056273C"/>
    <w:rsid w:val="00562C51"/>
    <w:rsid w:val="005639A0"/>
    <w:rsid w:val="00566279"/>
    <w:rsid w:val="00567D92"/>
    <w:rsid w:val="00570EB8"/>
    <w:rsid w:val="00572D5A"/>
    <w:rsid w:val="0058312B"/>
    <w:rsid w:val="005922D3"/>
    <w:rsid w:val="00595714"/>
    <w:rsid w:val="005969CA"/>
    <w:rsid w:val="00596FD3"/>
    <w:rsid w:val="005A2337"/>
    <w:rsid w:val="005A3FDD"/>
    <w:rsid w:val="005B7117"/>
    <w:rsid w:val="005C5800"/>
    <w:rsid w:val="00602589"/>
    <w:rsid w:val="0060465A"/>
    <w:rsid w:val="006070BA"/>
    <w:rsid w:val="00614935"/>
    <w:rsid w:val="0061583C"/>
    <w:rsid w:val="006215EF"/>
    <w:rsid w:val="00621D48"/>
    <w:rsid w:val="0063266D"/>
    <w:rsid w:val="00644A30"/>
    <w:rsid w:val="0065030A"/>
    <w:rsid w:val="006653C2"/>
    <w:rsid w:val="006711A4"/>
    <w:rsid w:val="00686EE4"/>
    <w:rsid w:val="0068727E"/>
    <w:rsid w:val="0069522C"/>
    <w:rsid w:val="006A5F6B"/>
    <w:rsid w:val="006D433C"/>
    <w:rsid w:val="006E542F"/>
    <w:rsid w:val="006F2278"/>
    <w:rsid w:val="00722B05"/>
    <w:rsid w:val="00732846"/>
    <w:rsid w:val="007345E8"/>
    <w:rsid w:val="00742DDA"/>
    <w:rsid w:val="00761FCE"/>
    <w:rsid w:val="00781E36"/>
    <w:rsid w:val="00784C3D"/>
    <w:rsid w:val="00790B74"/>
    <w:rsid w:val="007935BD"/>
    <w:rsid w:val="007C4CDC"/>
    <w:rsid w:val="007C59ED"/>
    <w:rsid w:val="00803DA8"/>
    <w:rsid w:val="008124F3"/>
    <w:rsid w:val="0081761F"/>
    <w:rsid w:val="00820E09"/>
    <w:rsid w:val="0082175D"/>
    <w:rsid w:val="00831408"/>
    <w:rsid w:val="0083518B"/>
    <w:rsid w:val="00835EB1"/>
    <w:rsid w:val="008404FE"/>
    <w:rsid w:val="008526EC"/>
    <w:rsid w:val="00854B76"/>
    <w:rsid w:val="0085784A"/>
    <w:rsid w:val="00865953"/>
    <w:rsid w:val="00891AE7"/>
    <w:rsid w:val="00894E27"/>
    <w:rsid w:val="008A1D2B"/>
    <w:rsid w:val="008A4791"/>
    <w:rsid w:val="008B0761"/>
    <w:rsid w:val="008B34C4"/>
    <w:rsid w:val="008B671B"/>
    <w:rsid w:val="008C62B7"/>
    <w:rsid w:val="008F07EE"/>
    <w:rsid w:val="008F3194"/>
    <w:rsid w:val="00902920"/>
    <w:rsid w:val="00906BDF"/>
    <w:rsid w:val="00906DE9"/>
    <w:rsid w:val="009141E2"/>
    <w:rsid w:val="009200EA"/>
    <w:rsid w:val="009211DD"/>
    <w:rsid w:val="009313D1"/>
    <w:rsid w:val="009560A9"/>
    <w:rsid w:val="00960E62"/>
    <w:rsid w:val="009705E7"/>
    <w:rsid w:val="00981E8C"/>
    <w:rsid w:val="00994454"/>
    <w:rsid w:val="009C249E"/>
    <w:rsid w:val="009D383E"/>
    <w:rsid w:val="009D3948"/>
    <w:rsid w:val="009D699C"/>
    <w:rsid w:val="009E1A11"/>
    <w:rsid w:val="009E3038"/>
    <w:rsid w:val="009E51FB"/>
    <w:rsid w:val="009F2DD5"/>
    <w:rsid w:val="009F4A5E"/>
    <w:rsid w:val="00A02B35"/>
    <w:rsid w:val="00A10204"/>
    <w:rsid w:val="00A10ABB"/>
    <w:rsid w:val="00A13DA3"/>
    <w:rsid w:val="00A20BFB"/>
    <w:rsid w:val="00A40CBE"/>
    <w:rsid w:val="00A4622D"/>
    <w:rsid w:val="00A4677C"/>
    <w:rsid w:val="00A46FB1"/>
    <w:rsid w:val="00A5259B"/>
    <w:rsid w:val="00A56346"/>
    <w:rsid w:val="00A61A67"/>
    <w:rsid w:val="00A61E4C"/>
    <w:rsid w:val="00A711DD"/>
    <w:rsid w:val="00A7206E"/>
    <w:rsid w:val="00A751C2"/>
    <w:rsid w:val="00A81A99"/>
    <w:rsid w:val="00A8641A"/>
    <w:rsid w:val="00A8717A"/>
    <w:rsid w:val="00AB53FA"/>
    <w:rsid w:val="00AB58F2"/>
    <w:rsid w:val="00AC01BF"/>
    <w:rsid w:val="00AC0985"/>
    <w:rsid w:val="00AC69CC"/>
    <w:rsid w:val="00AC795B"/>
    <w:rsid w:val="00AD49D8"/>
    <w:rsid w:val="00AE5A00"/>
    <w:rsid w:val="00AE7A13"/>
    <w:rsid w:val="00AE7AF5"/>
    <w:rsid w:val="00AE7CF9"/>
    <w:rsid w:val="00AE7EAF"/>
    <w:rsid w:val="00AF1230"/>
    <w:rsid w:val="00AF228D"/>
    <w:rsid w:val="00B02A39"/>
    <w:rsid w:val="00B04124"/>
    <w:rsid w:val="00B21149"/>
    <w:rsid w:val="00B226D1"/>
    <w:rsid w:val="00B50A83"/>
    <w:rsid w:val="00B54EC3"/>
    <w:rsid w:val="00B6031C"/>
    <w:rsid w:val="00B61552"/>
    <w:rsid w:val="00B8213A"/>
    <w:rsid w:val="00B9121D"/>
    <w:rsid w:val="00B9617F"/>
    <w:rsid w:val="00BA1942"/>
    <w:rsid w:val="00BA1A31"/>
    <w:rsid w:val="00BA64A6"/>
    <w:rsid w:val="00BA768A"/>
    <w:rsid w:val="00BC2366"/>
    <w:rsid w:val="00BE4017"/>
    <w:rsid w:val="00BE7574"/>
    <w:rsid w:val="00BF3B3C"/>
    <w:rsid w:val="00BF4AAF"/>
    <w:rsid w:val="00C008E3"/>
    <w:rsid w:val="00C0241E"/>
    <w:rsid w:val="00C02CD6"/>
    <w:rsid w:val="00C26553"/>
    <w:rsid w:val="00C26BBF"/>
    <w:rsid w:val="00C3450B"/>
    <w:rsid w:val="00C44D43"/>
    <w:rsid w:val="00C460E7"/>
    <w:rsid w:val="00C548E5"/>
    <w:rsid w:val="00C54F17"/>
    <w:rsid w:val="00C71032"/>
    <w:rsid w:val="00C71E68"/>
    <w:rsid w:val="00C74961"/>
    <w:rsid w:val="00C832E1"/>
    <w:rsid w:val="00C8463E"/>
    <w:rsid w:val="00C849BB"/>
    <w:rsid w:val="00CB56CB"/>
    <w:rsid w:val="00CB74FC"/>
    <w:rsid w:val="00CC34C7"/>
    <w:rsid w:val="00CC71A8"/>
    <w:rsid w:val="00CC72EA"/>
    <w:rsid w:val="00CC7469"/>
    <w:rsid w:val="00CD3C2D"/>
    <w:rsid w:val="00CF252C"/>
    <w:rsid w:val="00D27EEB"/>
    <w:rsid w:val="00D33D0B"/>
    <w:rsid w:val="00D35A3B"/>
    <w:rsid w:val="00D36C90"/>
    <w:rsid w:val="00D54978"/>
    <w:rsid w:val="00D70D4E"/>
    <w:rsid w:val="00D70FC6"/>
    <w:rsid w:val="00D84DE0"/>
    <w:rsid w:val="00D84F0A"/>
    <w:rsid w:val="00D85730"/>
    <w:rsid w:val="00D9013C"/>
    <w:rsid w:val="00D94BBF"/>
    <w:rsid w:val="00DA3A15"/>
    <w:rsid w:val="00DA4C0E"/>
    <w:rsid w:val="00DB0EA8"/>
    <w:rsid w:val="00DB626A"/>
    <w:rsid w:val="00DB7DEE"/>
    <w:rsid w:val="00DC4941"/>
    <w:rsid w:val="00DF07F9"/>
    <w:rsid w:val="00DF0BC3"/>
    <w:rsid w:val="00DF3537"/>
    <w:rsid w:val="00DF4DC5"/>
    <w:rsid w:val="00E01F97"/>
    <w:rsid w:val="00E04C6A"/>
    <w:rsid w:val="00E12A28"/>
    <w:rsid w:val="00E13F3C"/>
    <w:rsid w:val="00E1412A"/>
    <w:rsid w:val="00E33A33"/>
    <w:rsid w:val="00E45B51"/>
    <w:rsid w:val="00E47A7E"/>
    <w:rsid w:val="00E5109C"/>
    <w:rsid w:val="00E5563A"/>
    <w:rsid w:val="00E65A5F"/>
    <w:rsid w:val="00E70A84"/>
    <w:rsid w:val="00E711E3"/>
    <w:rsid w:val="00E81250"/>
    <w:rsid w:val="00E82CFA"/>
    <w:rsid w:val="00E83167"/>
    <w:rsid w:val="00E83990"/>
    <w:rsid w:val="00E87E18"/>
    <w:rsid w:val="00E95390"/>
    <w:rsid w:val="00E954E7"/>
    <w:rsid w:val="00EA3CCA"/>
    <w:rsid w:val="00EB58C7"/>
    <w:rsid w:val="00EC0D8C"/>
    <w:rsid w:val="00EC10BF"/>
    <w:rsid w:val="00EC3C12"/>
    <w:rsid w:val="00ED4115"/>
    <w:rsid w:val="00EE39B4"/>
    <w:rsid w:val="00EE6F7C"/>
    <w:rsid w:val="00EF0445"/>
    <w:rsid w:val="00EF2010"/>
    <w:rsid w:val="00EF321B"/>
    <w:rsid w:val="00EF4607"/>
    <w:rsid w:val="00F171A3"/>
    <w:rsid w:val="00F2007C"/>
    <w:rsid w:val="00F31F39"/>
    <w:rsid w:val="00F33CD7"/>
    <w:rsid w:val="00F35719"/>
    <w:rsid w:val="00F42B4F"/>
    <w:rsid w:val="00F6462E"/>
    <w:rsid w:val="00F67632"/>
    <w:rsid w:val="00F74C06"/>
    <w:rsid w:val="00F85D2D"/>
    <w:rsid w:val="00FC5207"/>
    <w:rsid w:val="00FC6B88"/>
    <w:rsid w:val="00FE1A97"/>
    <w:rsid w:val="00FE77C3"/>
    <w:rsid w:val="00FF1AF6"/>
    <w:rsid w:val="0143C1D9"/>
    <w:rsid w:val="0828F949"/>
    <w:rsid w:val="13A2B7C6"/>
    <w:rsid w:val="1A9A12F8"/>
    <w:rsid w:val="2A3FBBFD"/>
    <w:rsid w:val="301F4835"/>
    <w:rsid w:val="431E6DA9"/>
    <w:rsid w:val="4AF2CA44"/>
    <w:rsid w:val="573244C1"/>
    <w:rsid w:val="71BFF52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533730"/>
  <w15:chartTrackingRefBased/>
  <w15:docId w15:val="{DF4DEA4A-AF31-4397-9086-EBB09AE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line="360" w:lineRule="auto"/>
        <w:ind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542A02"/>
    <w:pPr>
      <w:keepNext/>
      <w:keepLines/>
      <w:numPr>
        <w:numId w:val="1"/>
      </w:numPr>
      <w:spacing w:before="240" w:line="259" w:lineRule="auto"/>
      <w:jc w:val="center"/>
      <w:outlineLvl w:val="0"/>
    </w:pPr>
    <w:rPr>
      <w:rFonts w:ascii="Times New Roman" w:eastAsia="Times New Roman" w:hAnsi="Times New Roman" w:cs="Times New Roman"/>
      <w:b/>
      <w:sz w:val="24"/>
      <w:szCs w:val="32"/>
    </w:rPr>
  </w:style>
  <w:style w:type="paragraph" w:styleId="Ttulo2">
    <w:name w:val="heading 2"/>
    <w:basedOn w:val="Normal"/>
    <w:next w:val="Normal"/>
    <w:link w:val="Ttulo2Car"/>
    <w:uiPriority w:val="9"/>
    <w:unhideWhenUsed/>
    <w:qFormat/>
    <w:rsid w:val="00542A02"/>
    <w:pPr>
      <w:keepNext/>
      <w:keepLines/>
      <w:numPr>
        <w:ilvl w:val="1"/>
        <w:numId w:val="1"/>
      </w:numPr>
      <w:spacing w:before="40" w:line="259" w:lineRule="auto"/>
      <w:jc w:val="left"/>
      <w:outlineLvl w:val="1"/>
    </w:pPr>
    <w:rPr>
      <w:rFonts w:ascii="Times New Roman" w:eastAsia="Times New Roman" w:hAnsi="Times New Roman" w:cs="Times New Roman"/>
      <w:b/>
      <w:sz w:val="24"/>
      <w:szCs w:val="26"/>
    </w:rPr>
  </w:style>
  <w:style w:type="paragraph" w:styleId="Ttulo3">
    <w:name w:val="heading 3"/>
    <w:aliases w:val="Título 3."/>
    <w:basedOn w:val="Normal"/>
    <w:link w:val="Ttulo3Car"/>
    <w:uiPriority w:val="9"/>
    <w:qFormat/>
    <w:rsid w:val="00542A02"/>
    <w:pPr>
      <w:numPr>
        <w:ilvl w:val="2"/>
        <w:numId w:val="1"/>
      </w:numPr>
      <w:spacing w:before="100" w:beforeAutospacing="1" w:after="100" w:afterAutospacing="1" w:line="240" w:lineRule="auto"/>
      <w:ind w:left="1428"/>
      <w:jc w:val="left"/>
      <w:outlineLvl w:val="2"/>
    </w:pPr>
    <w:rPr>
      <w:rFonts w:ascii="Times New Roman" w:eastAsia="Times New Roman" w:hAnsi="Times New Roman" w:cs="Times New Roman"/>
      <w:b/>
      <w:bCs/>
      <w:sz w:val="24"/>
      <w:szCs w:val="27"/>
      <w:lang w:eastAsia="es-EC"/>
    </w:rPr>
  </w:style>
  <w:style w:type="paragraph" w:styleId="Ttulo4">
    <w:name w:val="heading 4"/>
    <w:basedOn w:val="Normal"/>
    <w:next w:val="Normal"/>
    <w:link w:val="Ttulo4Car"/>
    <w:uiPriority w:val="9"/>
    <w:unhideWhenUsed/>
    <w:qFormat/>
    <w:rsid w:val="00542A02"/>
    <w:pPr>
      <w:keepNext/>
      <w:keepLines/>
      <w:numPr>
        <w:ilvl w:val="3"/>
        <w:numId w:val="1"/>
      </w:numPr>
      <w:spacing w:before="200" w:line="259" w:lineRule="auto"/>
      <w:ind w:left="1572"/>
      <w:jc w:val="left"/>
      <w:outlineLvl w:val="3"/>
    </w:pPr>
    <w:rPr>
      <w:rFonts w:ascii="Times New Roman" w:eastAsia="Times New Roman" w:hAnsi="Times New Roman" w:cs="Times New Roman"/>
      <w:b/>
      <w:bCs/>
      <w:i/>
      <w:iCs/>
      <w:sz w:val="24"/>
    </w:rPr>
  </w:style>
  <w:style w:type="paragraph" w:styleId="Ttulo5">
    <w:name w:val="heading 5"/>
    <w:basedOn w:val="Normal"/>
    <w:next w:val="Normal"/>
    <w:link w:val="Ttulo5Car"/>
    <w:uiPriority w:val="9"/>
    <w:semiHidden/>
    <w:unhideWhenUsed/>
    <w:qFormat/>
    <w:rsid w:val="00542A02"/>
    <w:pPr>
      <w:keepNext/>
      <w:keepLines/>
      <w:numPr>
        <w:ilvl w:val="4"/>
        <w:numId w:val="1"/>
      </w:numPr>
      <w:spacing w:before="200" w:line="259" w:lineRule="auto"/>
      <w:jc w:val="left"/>
      <w:outlineLvl w:val="4"/>
    </w:pPr>
    <w:rPr>
      <w:rFonts w:ascii="Calibri Light" w:eastAsia="Times New Roman" w:hAnsi="Calibri Light" w:cs="Times New Roman"/>
      <w:color w:val="1F3763"/>
    </w:rPr>
  </w:style>
  <w:style w:type="paragraph" w:styleId="Ttulo6">
    <w:name w:val="heading 6"/>
    <w:basedOn w:val="Normal"/>
    <w:next w:val="Normal"/>
    <w:link w:val="Ttulo6Car"/>
    <w:uiPriority w:val="9"/>
    <w:semiHidden/>
    <w:unhideWhenUsed/>
    <w:qFormat/>
    <w:rsid w:val="00542A02"/>
    <w:pPr>
      <w:keepNext/>
      <w:keepLines/>
      <w:numPr>
        <w:ilvl w:val="5"/>
        <w:numId w:val="1"/>
      </w:numPr>
      <w:spacing w:before="200" w:line="259" w:lineRule="auto"/>
      <w:jc w:val="left"/>
      <w:outlineLvl w:val="5"/>
    </w:pPr>
    <w:rPr>
      <w:rFonts w:ascii="Calibri Light" w:eastAsia="Times New Roman" w:hAnsi="Calibri Light" w:cs="Times New Roman"/>
      <w:i/>
      <w:iCs/>
      <w:color w:val="1F3763"/>
    </w:rPr>
  </w:style>
  <w:style w:type="paragraph" w:styleId="Ttulo7">
    <w:name w:val="heading 7"/>
    <w:basedOn w:val="Normal"/>
    <w:next w:val="Normal"/>
    <w:link w:val="Ttulo7Car"/>
    <w:uiPriority w:val="9"/>
    <w:semiHidden/>
    <w:unhideWhenUsed/>
    <w:qFormat/>
    <w:rsid w:val="00542A02"/>
    <w:pPr>
      <w:keepNext/>
      <w:keepLines/>
      <w:numPr>
        <w:ilvl w:val="6"/>
        <w:numId w:val="1"/>
      </w:numPr>
      <w:spacing w:before="200" w:line="259" w:lineRule="auto"/>
      <w:jc w:val="left"/>
      <w:outlineLvl w:val="6"/>
    </w:pPr>
    <w:rPr>
      <w:rFonts w:ascii="Calibri Light" w:eastAsia="Times New Roman" w:hAnsi="Calibri Light" w:cs="Times New Roman"/>
      <w:i/>
      <w:iCs/>
      <w:color w:val="404040"/>
    </w:rPr>
  </w:style>
  <w:style w:type="paragraph" w:styleId="Ttulo8">
    <w:name w:val="heading 8"/>
    <w:basedOn w:val="Normal"/>
    <w:next w:val="Normal"/>
    <w:link w:val="Ttulo8Car"/>
    <w:uiPriority w:val="9"/>
    <w:semiHidden/>
    <w:unhideWhenUsed/>
    <w:qFormat/>
    <w:rsid w:val="00542A02"/>
    <w:pPr>
      <w:keepNext/>
      <w:keepLines/>
      <w:numPr>
        <w:ilvl w:val="7"/>
        <w:numId w:val="1"/>
      </w:numPr>
      <w:spacing w:before="200" w:line="259" w:lineRule="auto"/>
      <w:jc w:val="left"/>
      <w:outlineLvl w:val="7"/>
    </w:pPr>
    <w:rPr>
      <w:rFonts w:ascii="Calibri Light" w:eastAsia="Times New Roman" w:hAnsi="Calibri Light" w:cs="Times New Roman"/>
      <w:color w:val="404040"/>
      <w:sz w:val="20"/>
      <w:szCs w:val="20"/>
    </w:rPr>
  </w:style>
  <w:style w:type="paragraph" w:styleId="Ttulo9">
    <w:name w:val="heading 9"/>
    <w:basedOn w:val="Normal"/>
    <w:next w:val="Normal"/>
    <w:link w:val="Ttulo9Car"/>
    <w:uiPriority w:val="9"/>
    <w:semiHidden/>
    <w:unhideWhenUsed/>
    <w:qFormat/>
    <w:rsid w:val="00542A02"/>
    <w:pPr>
      <w:keepNext/>
      <w:keepLines/>
      <w:numPr>
        <w:ilvl w:val="8"/>
        <w:numId w:val="1"/>
      </w:numPr>
      <w:spacing w:before="200" w:line="259" w:lineRule="auto"/>
      <w:jc w:val="left"/>
      <w:outlineLvl w:val="8"/>
    </w:pPr>
    <w:rPr>
      <w:rFonts w:ascii="Calibri Light" w:eastAsia="Times New Roman" w:hAnsi="Calibri Light" w:cs="Times New Roman"/>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E4017"/>
    <w:pPr>
      <w:autoSpaceDE w:val="0"/>
      <w:autoSpaceDN w:val="0"/>
      <w:adjustRightInd w:val="0"/>
      <w:spacing w:line="240" w:lineRule="auto"/>
      <w:ind w:firstLine="0"/>
      <w:jc w:val="left"/>
    </w:pPr>
    <w:rPr>
      <w:rFonts w:ascii="Times New Roman" w:hAnsi="Times New Roman" w:cs="Times New Roman"/>
      <w:color w:val="000000"/>
      <w:sz w:val="24"/>
      <w:szCs w:val="24"/>
    </w:rPr>
  </w:style>
  <w:style w:type="table" w:styleId="Tablaconcuadrcula">
    <w:name w:val="Table Grid"/>
    <w:basedOn w:val="Tablanormal"/>
    <w:uiPriority w:val="39"/>
    <w:rsid w:val="00BE40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542A02"/>
  </w:style>
  <w:style w:type="paragraph" w:styleId="Textocomentario">
    <w:name w:val="annotation text"/>
    <w:basedOn w:val="Normal"/>
    <w:link w:val="TextocomentarioCar"/>
    <w:uiPriority w:val="99"/>
    <w:unhideWhenUsed/>
    <w:rsid w:val="00542A02"/>
    <w:pPr>
      <w:spacing w:after="160" w:line="259" w:lineRule="auto"/>
      <w:ind w:firstLine="0"/>
      <w:jc w:val="left"/>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rsid w:val="00542A02"/>
    <w:rPr>
      <w:rFonts w:ascii="Calibri" w:eastAsia="Calibri" w:hAnsi="Calibri" w:cs="Times New Roman"/>
      <w:sz w:val="20"/>
      <w:szCs w:val="20"/>
    </w:rPr>
  </w:style>
  <w:style w:type="character" w:customStyle="1" w:styleId="Ttulo1Car">
    <w:name w:val="Título 1 Car"/>
    <w:basedOn w:val="Fuentedeprrafopredeter"/>
    <w:link w:val="Ttulo1"/>
    <w:uiPriority w:val="9"/>
    <w:rsid w:val="00542A02"/>
    <w:rPr>
      <w:rFonts w:ascii="Times New Roman" w:eastAsia="Times New Roman" w:hAnsi="Times New Roman" w:cs="Times New Roman"/>
      <w:b/>
      <w:sz w:val="24"/>
      <w:szCs w:val="32"/>
    </w:rPr>
  </w:style>
  <w:style w:type="character" w:customStyle="1" w:styleId="Ttulo2Car">
    <w:name w:val="Título 2 Car"/>
    <w:basedOn w:val="Fuentedeprrafopredeter"/>
    <w:link w:val="Ttulo2"/>
    <w:uiPriority w:val="9"/>
    <w:rsid w:val="00542A02"/>
    <w:rPr>
      <w:rFonts w:ascii="Times New Roman" w:eastAsia="Times New Roman" w:hAnsi="Times New Roman" w:cs="Times New Roman"/>
      <w:b/>
      <w:sz w:val="24"/>
      <w:szCs w:val="26"/>
    </w:rPr>
  </w:style>
  <w:style w:type="character" w:customStyle="1" w:styleId="Ttulo3Car">
    <w:name w:val="Título 3 Car"/>
    <w:aliases w:val="Título 3. Car"/>
    <w:basedOn w:val="Fuentedeprrafopredeter"/>
    <w:link w:val="Ttulo3"/>
    <w:uiPriority w:val="9"/>
    <w:rsid w:val="00542A02"/>
    <w:rPr>
      <w:rFonts w:ascii="Times New Roman" w:eastAsia="Times New Roman" w:hAnsi="Times New Roman" w:cs="Times New Roman"/>
      <w:b/>
      <w:bCs/>
      <w:sz w:val="24"/>
      <w:szCs w:val="27"/>
      <w:lang w:eastAsia="es-EC"/>
    </w:rPr>
  </w:style>
  <w:style w:type="character" w:customStyle="1" w:styleId="Ttulo4Car">
    <w:name w:val="Título 4 Car"/>
    <w:basedOn w:val="Fuentedeprrafopredeter"/>
    <w:link w:val="Ttulo4"/>
    <w:uiPriority w:val="9"/>
    <w:rsid w:val="00542A02"/>
    <w:rPr>
      <w:rFonts w:ascii="Times New Roman" w:eastAsia="Times New Roman" w:hAnsi="Times New Roman" w:cs="Times New Roman"/>
      <w:b/>
      <w:bCs/>
      <w:i/>
      <w:iCs/>
      <w:sz w:val="24"/>
    </w:rPr>
  </w:style>
  <w:style w:type="character" w:customStyle="1" w:styleId="Ttulo5Car">
    <w:name w:val="Título 5 Car"/>
    <w:basedOn w:val="Fuentedeprrafopredeter"/>
    <w:link w:val="Ttulo5"/>
    <w:uiPriority w:val="9"/>
    <w:semiHidden/>
    <w:rsid w:val="00542A02"/>
    <w:rPr>
      <w:rFonts w:ascii="Calibri Light" w:eastAsia="Times New Roman" w:hAnsi="Calibri Light" w:cs="Times New Roman"/>
      <w:color w:val="1F3763"/>
    </w:rPr>
  </w:style>
  <w:style w:type="character" w:customStyle="1" w:styleId="Ttulo6Car">
    <w:name w:val="Título 6 Car"/>
    <w:basedOn w:val="Fuentedeprrafopredeter"/>
    <w:link w:val="Ttulo6"/>
    <w:uiPriority w:val="9"/>
    <w:semiHidden/>
    <w:rsid w:val="00542A02"/>
    <w:rPr>
      <w:rFonts w:ascii="Calibri Light" w:eastAsia="Times New Roman" w:hAnsi="Calibri Light" w:cs="Times New Roman"/>
      <w:i/>
      <w:iCs/>
      <w:color w:val="1F3763"/>
    </w:rPr>
  </w:style>
  <w:style w:type="character" w:customStyle="1" w:styleId="Ttulo7Car">
    <w:name w:val="Título 7 Car"/>
    <w:basedOn w:val="Fuentedeprrafopredeter"/>
    <w:link w:val="Ttulo7"/>
    <w:uiPriority w:val="9"/>
    <w:semiHidden/>
    <w:rsid w:val="00542A02"/>
    <w:rPr>
      <w:rFonts w:ascii="Calibri Light" w:eastAsia="Times New Roman" w:hAnsi="Calibri Light" w:cs="Times New Roman"/>
      <w:i/>
      <w:iCs/>
      <w:color w:val="404040"/>
    </w:rPr>
  </w:style>
  <w:style w:type="character" w:customStyle="1" w:styleId="Ttulo8Car">
    <w:name w:val="Título 8 Car"/>
    <w:basedOn w:val="Fuentedeprrafopredeter"/>
    <w:link w:val="Ttulo8"/>
    <w:uiPriority w:val="9"/>
    <w:semiHidden/>
    <w:rsid w:val="00542A02"/>
    <w:rPr>
      <w:rFonts w:ascii="Calibri Light" w:eastAsia="Times New Roman" w:hAnsi="Calibri Light" w:cs="Times New Roman"/>
      <w:color w:val="404040"/>
      <w:sz w:val="20"/>
      <w:szCs w:val="20"/>
    </w:rPr>
  </w:style>
  <w:style w:type="character" w:customStyle="1" w:styleId="Ttulo9Car">
    <w:name w:val="Título 9 Car"/>
    <w:basedOn w:val="Fuentedeprrafopredeter"/>
    <w:link w:val="Ttulo9"/>
    <w:uiPriority w:val="9"/>
    <w:semiHidden/>
    <w:rsid w:val="00542A02"/>
    <w:rPr>
      <w:rFonts w:ascii="Calibri Light" w:eastAsia="Times New Roman" w:hAnsi="Calibri Light" w:cs="Times New Roman"/>
      <w:i/>
      <w:iCs/>
      <w:color w:val="404040"/>
      <w:sz w:val="20"/>
      <w:szCs w:val="20"/>
    </w:rPr>
  </w:style>
  <w:style w:type="paragraph" w:styleId="Prrafodelista">
    <w:name w:val="List Paragraph"/>
    <w:aliases w:val="Multi Level List 1,TIT 2 IND"/>
    <w:basedOn w:val="Normal"/>
    <w:link w:val="PrrafodelistaCar"/>
    <w:uiPriority w:val="34"/>
    <w:qFormat/>
    <w:rsid w:val="00542A02"/>
    <w:pPr>
      <w:spacing w:after="160" w:line="259" w:lineRule="auto"/>
      <w:ind w:left="720" w:firstLine="0"/>
      <w:contextualSpacing/>
      <w:jc w:val="left"/>
    </w:pPr>
    <w:rPr>
      <w:rFonts w:ascii="Calibri" w:eastAsia="Calibri" w:hAnsi="Calibri" w:cs="Times New Roman"/>
    </w:rPr>
  </w:style>
  <w:style w:type="character" w:styleId="Refdecomentario">
    <w:name w:val="annotation reference"/>
    <w:uiPriority w:val="99"/>
    <w:semiHidden/>
    <w:unhideWhenUsed/>
    <w:rsid w:val="00542A02"/>
    <w:rPr>
      <w:sz w:val="16"/>
      <w:szCs w:val="16"/>
    </w:rPr>
  </w:style>
  <w:style w:type="character" w:styleId="Hipervnculo">
    <w:name w:val="Hyperlink"/>
    <w:uiPriority w:val="99"/>
    <w:rsid w:val="00EB58C7"/>
    <w:rPr>
      <w:color w:val="0000FF"/>
      <w:u w:val="single"/>
    </w:rPr>
  </w:style>
  <w:style w:type="table" w:customStyle="1" w:styleId="Tablaconcuadrcula1">
    <w:name w:val="Tabla con cuadrícula1"/>
    <w:basedOn w:val="Tablanormal"/>
    <w:next w:val="Tablaconcuadrcula"/>
    <w:uiPriority w:val="39"/>
    <w:rsid w:val="00EB58C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81E8C"/>
    <w:pPr>
      <w:spacing w:before="100" w:beforeAutospacing="1" w:after="100" w:afterAutospacing="1" w:line="240" w:lineRule="auto"/>
      <w:ind w:firstLine="0"/>
      <w:jc w:val="left"/>
    </w:pPr>
    <w:rPr>
      <w:rFonts w:ascii="Times New Roman" w:eastAsia="Times New Roman" w:hAnsi="Times New Roman" w:cs="Times New Roman"/>
      <w:sz w:val="24"/>
      <w:szCs w:val="24"/>
      <w:lang w:eastAsia="es-EC"/>
    </w:rPr>
  </w:style>
  <w:style w:type="character" w:customStyle="1" w:styleId="normaltextrun">
    <w:name w:val="normaltextrun"/>
    <w:basedOn w:val="Fuentedeprrafopredeter"/>
    <w:rsid w:val="00981E8C"/>
  </w:style>
  <w:style w:type="character" w:customStyle="1" w:styleId="eop">
    <w:name w:val="eop"/>
    <w:basedOn w:val="Fuentedeprrafopredeter"/>
    <w:rsid w:val="00981E8C"/>
  </w:style>
  <w:style w:type="paragraph" w:styleId="Asuntodelcomentario">
    <w:name w:val="annotation subject"/>
    <w:basedOn w:val="Textocomentario"/>
    <w:next w:val="Textocomentario"/>
    <w:link w:val="AsuntodelcomentarioCar"/>
    <w:uiPriority w:val="99"/>
    <w:semiHidden/>
    <w:unhideWhenUsed/>
    <w:rsid w:val="00A40CBE"/>
    <w:pPr>
      <w:spacing w:after="0" w:line="240" w:lineRule="auto"/>
      <w:ind w:firstLine="720"/>
      <w:jc w:val="both"/>
    </w:pPr>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A40CBE"/>
    <w:rPr>
      <w:rFonts w:ascii="Calibri" w:eastAsia="Calibri" w:hAnsi="Calibri" w:cs="Times New Roman"/>
      <w:b/>
      <w:bCs/>
      <w:sz w:val="20"/>
      <w:szCs w:val="20"/>
    </w:rPr>
  </w:style>
  <w:style w:type="paragraph" w:styleId="Textodeglobo">
    <w:name w:val="Balloon Text"/>
    <w:basedOn w:val="Normal"/>
    <w:link w:val="TextodegloboCar"/>
    <w:uiPriority w:val="99"/>
    <w:semiHidden/>
    <w:unhideWhenUsed/>
    <w:rsid w:val="009E51F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51FB"/>
    <w:rPr>
      <w:rFonts w:ascii="Segoe UI" w:hAnsi="Segoe UI" w:cs="Segoe UI"/>
      <w:sz w:val="18"/>
      <w:szCs w:val="18"/>
    </w:rPr>
  </w:style>
  <w:style w:type="paragraph" w:styleId="Encabezado">
    <w:name w:val="header"/>
    <w:basedOn w:val="Normal"/>
    <w:link w:val="EncabezadoCar"/>
    <w:uiPriority w:val="99"/>
    <w:unhideWhenUsed/>
    <w:rsid w:val="00552E0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52E05"/>
  </w:style>
  <w:style w:type="paragraph" w:styleId="Piedepgina">
    <w:name w:val="footer"/>
    <w:basedOn w:val="Normal"/>
    <w:link w:val="PiedepginaCar"/>
    <w:uiPriority w:val="99"/>
    <w:unhideWhenUsed/>
    <w:rsid w:val="00552E0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52E05"/>
  </w:style>
  <w:style w:type="paragraph" w:styleId="Textonotapie">
    <w:name w:val="footnote text"/>
    <w:basedOn w:val="Normal"/>
    <w:link w:val="TextonotapieCar"/>
    <w:uiPriority w:val="99"/>
    <w:unhideWhenUsed/>
    <w:rsid w:val="00E65A5F"/>
    <w:pPr>
      <w:spacing w:after="160" w:line="259" w:lineRule="auto"/>
      <w:ind w:firstLine="0"/>
      <w:jc w:val="left"/>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qFormat/>
    <w:rsid w:val="00E65A5F"/>
    <w:rPr>
      <w:rFonts w:ascii="Calibri" w:eastAsia="Calibri" w:hAnsi="Calibri" w:cs="Times New Roman"/>
      <w:sz w:val="20"/>
      <w:szCs w:val="20"/>
    </w:rPr>
  </w:style>
  <w:style w:type="character" w:styleId="Refdenotaalpie">
    <w:name w:val="footnote reference"/>
    <w:uiPriority w:val="99"/>
    <w:unhideWhenUsed/>
    <w:rsid w:val="00E65A5F"/>
    <w:rPr>
      <w:vertAlign w:val="superscript"/>
    </w:rPr>
  </w:style>
  <w:style w:type="paragraph" w:styleId="Textoindependiente">
    <w:name w:val="Body Text"/>
    <w:basedOn w:val="Normal"/>
    <w:link w:val="TextoindependienteCar"/>
    <w:rsid w:val="00A10ABB"/>
    <w:pPr>
      <w:widowControl w:val="0"/>
      <w:spacing w:after="120" w:line="240" w:lineRule="auto"/>
      <w:ind w:firstLine="0"/>
      <w:jc w:val="left"/>
    </w:pPr>
    <w:rPr>
      <w:rFonts w:ascii="Times New Roman" w:eastAsia="SimSun" w:hAnsi="Times New Roman" w:cs="Mangal"/>
      <w:kern w:val="1"/>
      <w:sz w:val="24"/>
      <w:szCs w:val="24"/>
      <w:lang w:eastAsia="es-MX" w:bidi="hi-IN"/>
    </w:rPr>
  </w:style>
  <w:style w:type="character" w:customStyle="1" w:styleId="TextoindependienteCar">
    <w:name w:val="Texto independiente Car"/>
    <w:basedOn w:val="Fuentedeprrafopredeter"/>
    <w:link w:val="Textoindependiente"/>
    <w:rsid w:val="00A10ABB"/>
    <w:rPr>
      <w:rFonts w:ascii="Times New Roman" w:eastAsia="SimSun" w:hAnsi="Times New Roman" w:cs="Mangal"/>
      <w:kern w:val="1"/>
      <w:sz w:val="24"/>
      <w:szCs w:val="24"/>
      <w:lang w:eastAsia="es-MX" w:bidi="hi-IN"/>
    </w:rPr>
  </w:style>
  <w:style w:type="character" w:customStyle="1" w:styleId="PrrafodelistaCar">
    <w:name w:val="Párrafo de lista Car"/>
    <w:aliases w:val="Multi Level List 1 Car,TIT 2 IND Car"/>
    <w:link w:val="Prrafodelista"/>
    <w:uiPriority w:val="1"/>
    <w:locked/>
    <w:rsid w:val="00A10ABB"/>
    <w:rPr>
      <w:rFonts w:ascii="Calibri" w:eastAsia="Calibri" w:hAnsi="Calibri" w:cs="Times New Roman"/>
    </w:rPr>
  </w:style>
  <w:style w:type="character" w:customStyle="1" w:styleId="font">
    <w:name w:val="font"/>
    <w:rsid w:val="001C6647"/>
    <w:rPr>
      <w:rFonts w:ascii="Calibri" w:eastAsia="Calibri" w:hAnsi="Calibri" w:cs="Calibri"/>
      <w:sz w:val="24"/>
      <w:szCs w:val="24"/>
    </w:rPr>
  </w:style>
  <w:style w:type="paragraph" w:customStyle="1" w:styleId="div">
    <w:name w:val="div"/>
    <w:basedOn w:val="Normal"/>
    <w:rsid w:val="001C6647"/>
    <w:pPr>
      <w:pBdr>
        <w:top w:val="none" w:sz="0" w:space="5" w:color="auto"/>
        <w:bottom w:val="none" w:sz="0" w:space="2" w:color="auto"/>
      </w:pBdr>
      <w:spacing w:line="240" w:lineRule="auto"/>
      <w:ind w:firstLine="0"/>
    </w:pPr>
    <w:rPr>
      <w:rFonts w:ascii="Calibri" w:eastAsia="Calibri" w:hAnsi="Calibri" w:cs="Calibri"/>
      <w:sz w:val="24"/>
      <w:szCs w:val="24"/>
      <w:lang w:val="en-US"/>
    </w:rPr>
  </w:style>
  <w:style w:type="paragraph" w:customStyle="1" w:styleId="p">
    <w:name w:val="p"/>
    <w:basedOn w:val="Normal"/>
    <w:rsid w:val="001C6647"/>
    <w:pPr>
      <w:spacing w:line="240" w:lineRule="auto"/>
      <w:ind w:firstLine="0"/>
    </w:pPr>
    <w:rPr>
      <w:rFonts w:ascii="Calibri" w:eastAsia="Calibri" w:hAnsi="Calibri" w:cs="Calibri"/>
      <w:sz w:val="24"/>
      <w:szCs w:val="24"/>
      <w:lang w:val="en-US"/>
    </w:rPr>
  </w:style>
  <w:style w:type="paragraph" w:customStyle="1" w:styleId="xxmsonormal">
    <w:name w:val="x_xmsonormal"/>
    <w:basedOn w:val="Normal"/>
    <w:rsid w:val="001C6647"/>
    <w:pPr>
      <w:spacing w:before="100" w:beforeAutospacing="1" w:after="100" w:afterAutospacing="1" w:line="240" w:lineRule="auto"/>
      <w:ind w:firstLine="0"/>
      <w:jc w:val="left"/>
    </w:pPr>
    <w:rPr>
      <w:rFonts w:ascii="Times New Roman" w:eastAsia="Times New Roman" w:hAnsi="Times New Roman" w:cs="Times New Roman"/>
      <w:sz w:val="24"/>
      <w:szCs w:val="24"/>
      <w:lang w:val="es-ES" w:eastAsia="es-ES"/>
    </w:rPr>
  </w:style>
  <w:style w:type="character" w:customStyle="1" w:styleId="b">
    <w:name w:val="b"/>
    <w:rsid w:val="001C6647"/>
    <w:rPr>
      <w:rFonts w:ascii="Calibri" w:eastAsia="Calibri" w:hAnsi="Calibri" w:cs="Calibri"/>
      <w:sz w:val="24"/>
      <w:szCs w:val="24"/>
    </w:rPr>
  </w:style>
  <w:style w:type="character" w:customStyle="1" w:styleId="Mencinsinresolver1">
    <w:name w:val="Mención sin resolver1"/>
    <w:basedOn w:val="Fuentedeprrafopredeter"/>
    <w:uiPriority w:val="99"/>
    <w:semiHidden/>
    <w:unhideWhenUsed/>
    <w:rsid w:val="005402CA"/>
    <w:rPr>
      <w:color w:val="605E5C"/>
      <w:shd w:val="clear" w:color="auto" w:fill="E1DFDD"/>
    </w:rPr>
  </w:style>
  <w:style w:type="paragraph" w:styleId="NormalWeb">
    <w:name w:val="Normal (Web)"/>
    <w:basedOn w:val="Normal"/>
    <w:uiPriority w:val="99"/>
    <w:unhideWhenUsed/>
    <w:rsid w:val="00DF07F9"/>
    <w:pPr>
      <w:spacing w:before="100" w:beforeAutospacing="1" w:after="100" w:afterAutospacing="1" w:line="240" w:lineRule="auto"/>
      <w:ind w:firstLine="0"/>
      <w:jc w:val="left"/>
    </w:pPr>
    <w:rPr>
      <w:rFonts w:ascii="Times New Roman" w:eastAsia="Times New Roman" w:hAnsi="Times New Roman" w:cs="Times New Roman"/>
      <w:sz w:val="24"/>
      <w:szCs w:val="24"/>
      <w:lang w:eastAsia="es-EC"/>
    </w:rPr>
  </w:style>
  <w:style w:type="character" w:styleId="Textoennegrita">
    <w:name w:val="Strong"/>
    <w:uiPriority w:val="22"/>
    <w:qFormat/>
    <w:rsid w:val="00DF07F9"/>
    <w:rPr>
      <w:b/>
      <w:bCs/>
    </w:rPr>
  </w:style>
  <w:style w:type="paragraph" w:customStyle="1" w:styleId="H1G">
    <w:name w:val="_ H_1_G"/>
    <w:basedOn w:val="Normal"/>
    <w:next w:val="Normal"/>
    <w:qFormat/>
    <w:rsid w:val="00AC795B"/>
    <w:pPr>
      <w:keepNext/>
      <w:keepLines/>
      <w:tabs>
        <w:tab w:val="right" w:pos="851"/>
      </w:tabs>
      <w:suppressAutoHyphens/>
      <w:spacing w:before="360" w:after="240" w:line="270" w:lineRule="exact"/>
      <w:ind w:left="1134" w:right="1134" w:hanging="1134"/>
      <w:jc w:val="left"/>
      <w:outlineLvl w:val="2"/>
    </w:pPr>
    <w:rPr>
      <w:rFonts w:ascii="Times New Roman" w:eastAsia="Times New Roman" w:hAnsi="Times New Roman" w:cs="Times New Roman"/>
      <w:b/>
      <w:sz w:val="24"/>
      <w:szCs w:val="20"/>
      <w:lang w:val="es-ES" w:eastAsia="es-ES"/>
    </w:rPr>
  </w:style>
  <w:style w:type="paragraph" w:styleId="Listaconvietas">
    <w:name w:val="List Bullet"/>
    <w:basedOn w:val="Normal"/>
    <w:uiPriority w:val="99"/>
    <w:unhideWhenUsed/>
    <w:rsid w:val="00854B76"/>
    <w:pPr>
      <w:numPr>
        <w:numId w:val="33"/>
      </w:numPr>
      <w:spacing w:after="200" w:line="276" w:lineRule="auto"/>
      <w:contextualSpacing/>
      <w:jc w:val="left"/>
    </w:pPr>
    <w:rPr>
      <w:rFonts w:ascii="Times New Roman" w:eastAsiaTheme="minorEastAsia" w:hAnsi="Times New Roman"/>
      <w:sz w:val="24"/>
      <w:lang w:val="en-US"/>
    </w:rPr>
  </w:style>
  <w:style w:type="paragraph" w:customStyle="1" w:styleId="isselectedend">
    <w:name w:val="isselectedend"/>
    <w:basedOn w:val="Normal"/>
    <w:rsid w:val="009F4A5E"/>
    <w:pPr>
      <w:spacing w:before="100" w:beforeAutospacing="1" w:after="100" w:afterAutospacing="1" w:line="240" w:lineRule="auto"/>
      <w:ind w:firstLine="0"/>
      <w:jc w:val="left"/>
    </w:pPr>
    <w:rPr>
      <w:rFonts w:ascii="Times New Roman" w:eastAsia="Times New Roman" w:hAnsi="Times New Roman" w:cs="Times New Roman"/>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14973">
      <w:bodyDiv w:val="1"/>
      <w:marLeft w:val="0"/>
      <w:marRight w:val="0"/>
      <w:marTop w:val="0"/>
      <w:marBottom w:val="0"/>
      <w:divBdr>
        <w:top w:val="none" w:sz="0" w:space="0" w:color="auto"/>
        <w:left w:val="none" w:sz="0" w:space="0" w:color="auto"/>
        <w:bottom w:val="none" w:sz="0" w:space="0" w:color="auto"/>
        <w:right w:val="none" w:sz="0" w:space="0" w:color="auto"/>
      </w:divBdr>
    </w:div>
    <w:div w:id="241258709">
      <w:bodyDiv w:val="1"/>
      <w:marLeft w:val="0"/>
      <w:marRight w:val="0"/>
      <w:marTop w:val="0"/>
      <w:marBottom w:val="0"/>
      <w:divBdr>
        <w:top w:val="none" w:sz="0" w:space="0" w:color="auto"/>
        <w:left w:val="none" w:sz="0" w:space="0" w:color="auto"/>
        <w:bottom w:val="none" w:sz="0" w:space="0" w:color="auto"/>
        <w:right w:val="none" w:sz="0" w:space="0" w:color="auto"/>
      </w:divBdr>
      <w:divsChild>
        <w:div w:id="1001660427">
          <w:marLeft w:val="0"/>
          <w:marRight w:val="0"/>
          <w:marTop w:val="0"/>
          <w:marBottom w:val="0"/>
          <w:divBdr>
            <w:top w:val="none" w:sz="0" w:space="0" w:color="auto"/>
            <w:left w:val="none" w:sz="0" w:space="0" w:color="auto"/>
            <w:bottom w:val="none" w:sz="0" w:space="0" w:color="auto"/>
            <w:right w:val="none" w:sz="0" w:space="0" w:color="auto"/>
          </w:divBdr>
          <w:divsChild>
            <w:div w:id="1217664346">
              <w:marLeft w:val="0"/>
              <w:marRight w:val="0"/>
              <w:marTop w:val="0"/>
              <w:marBottom w:val="0"/>
              <w:divBdr>
                <w:top w:val="none" w:sz="0" w:space="0" w:color="auto"/>
                <w:left w:val="none" w:sz="0" w:space="0" w:color="auto"/>
                <w:bottom w:val="none" w:sz="0" w:space="0" w:color="auto"/>
                <w:right w:val="none" w:sz="0" w:space="0" w:color="auto"/>
              </w:divBdr>
              <w:divsChild>
                <w:div w:id="1585332614">
                  <w:marLeft w:val="0"/>
                  <w:marRight w:val="0"/>
                  <w:marTop w:val="0"/>
                  <w:marBottom w:val="0"/>
                  <w:divBdr>
                    <w:top w:val="none" w:sz="0" w:space="0" w:color="auto"/>
                    <w:left w:val="none" w:sz="0" w:space="0" w:color="auto"/>
                    <w:bottom w:val="none" w:sz="0" w:space="0" w:color="auto"/>
                    <w:right w:val="none" w:sz="0" w:space="0" w:color="auto"/>
                  </w:divBdr>
                  <w:divsChild>
                    <w:div w:id="844319605">
                      <w:marLeft w:val="0"/>
                      <w:marRight w:val="0"/>
                      <w:marTop w:val="0"/>
                      <w:marBottom w:val="0"/>
                      <w:divBdr>
                        <w:top w:val="none" w:sz="0" w:space="0" w:color="auto"/>
                        <w:left w:val="none" w:sz="0" w:space="0" w:color="auto"/>
                        <w:bottom w:val="none" w:sz="0" w:space="0" w:color="auto"/>
                        <w:right w:val="none" w:sz="0" w:space="0" w:color="auto"/>
                      </w:divBdr>
                      <w:divsChild>
                        <w:div w:id="1281257378">
                          <w:marLeft w:val="0"/>
                          <w:marRight w:val="0"/>
                          <w:marTop w:val="0"/>
                          <w:marBottom w:val="0"/>
                          <w:divBdr>
                            <w:top w:val="none" w:sz="0" w:space="0" w:color="auto"/>
                            <w:left w:val="none" w:sz="0" w:space="0" w:color="auto"/>
                            <w:bottom w:val="none" w:sz="0" w:space="0" w:color="auto"/>
                            <w:right w:val="none" w:sz="0" w:space="0" w:color="auto"/>
                          </w:divBdr>
                          <w:divsChild>
                            <w:div w:id="957641461">
                              <w:marLeft w:val="0"/>
                              <w:marRight w:val="0"/>
                              <w:marTop w:val="0"/>
                              <w:marBottom w:val="0"/>
                              <w:divBdr>
                                <w:top w:val="none" w:sz="0" w:space="0" w:color="auto"/>
                                <w:left w:val="none" w:sz="0" w:space="0" w:color="auto"/>
                                <w:bottom w:val="none" w:sz="0" w:space="0" w:color="auto"/>
                                <w:right w:val="none" w:sz="0" w:space="0" w:color="auto"/>
                              </w:divBdr>
                              <w:divsChild>
                                <w:div w:id="929309703">
                                  <w:marLeft w:val="0"/>
                                  <w:marRight w:val="0"/>
                                  <w:marTop w:val="0"/>
                                  <w:marBottom w:val="0"/>
                                  <w:divBdr>
                                    <w:top w:val="none" w:sz="0" w:space="0" w:color="auto"/>
                                    <w:left w:val="none" w:sz="0" w:space="0" w:color="auto"/>
                                    <w:bottom w:val="none" w:sz="0" w:space="0" w:color="auto"/>
                                    <w:right w:val="none" w:sz="0" w:space="0" w:color="auto"/>
                                  </w:divBdr>
                                  <w:divsChild>
                                    <w:div w:id="322970351">
                                      <w:marLeft w:val="0"/>
                                      <w:marRight w:val="0"/>
                                      <w:marTop w:val="0"/>
                                      <w:marBottom w:val="0"/>
                                      <w:divBdr>
                                        <w:top w:val="none" w:sz="0" w:space="0" w:color="auto"/>
                                        <w:left w:val="none" w:sz="0" w:space="0" w:color="auto"/>
                                        <w:bottom w:val="none" w:sz="0" w:space="0" w:color="auto"/>
                                        <w:right w:val="none" w:sz="0" w:space="0" w:color="auto"/>
                                      </w:divBdr>
                                      <w:divsChild>
                                        <w:div w:id="824472935">
                                          <w:marLeft w:val="0"/>
                                          <w:marRight w:val="0"/>
                                          <w:marTop w:val="0"/>
                                          <w:marBottom w:val="0"/>
                                          <w:divBdr>
                                            <w:top w:val="none" w:sz="0" w:space="0" w:color="auto"/>
                                            <w:left w:val="none" w:sz="0" w:space="0" w:color="auto"/>
                                            <w:bottom w:val="none" w:sz="0" w:space="0" w:color="auto"/>
                                            <w:right w:val="none" w:sz="0" w:space="0" w:color="auto"/>
                                          </w:divBdr>
                                          <w:divsChild>
                                            <w:div w:id="1275098058">
                                              <w:marLeft w:val="0"/>
                                              <w:marRight w:val="0"/>
                                              <w:marTop w:val="0"/>
                                              <w:marBottom w:val="0"/>
                                              <w:divBdr>
                                                <w:top w:val="none" w:sz="0" w:space="0" w:color="auto"/>
                                                <w:left w:val="none" w:sz="0" w:space="0" w:color="auto"/>
                                                <w:bottom w:val="none" w:sz="0" w:space="0" w:color="auto"/>
                                                <w:right w:val="none" w:sz="0" w:space="0" w:color="auto"/>
                                              </w:divBdr>
                                              <w:divsChild>
                                                <w:div w:id="420638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830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388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5743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647034">
                                                  <w:blockQuote w:val="1"/>
                                                  <w:marLeft w:val="720"/>
                                                  <w:marRight w:val="720"/>
                                                  <w:marTop w:val="100"/>
                                                  <w:marBottom w:val="100"/>
                                                  <w:divBdr>
                                                    <w:top w:val="none" w:sz="0" w:space="0" w:color="auto"/>
                                                    <w:left w:val="none" w:sz="0" w:space="0" w:color="auto"/>
                                                    <w:bottom w:val="none" w:sz="0" w:space="0" w:color="auto"/>
                                                    <w:right w:val="none" w:sz="0" w:space="0" w:color="auto"/>
                                                  </w:divBdr>
                                                </w:div>
                                                <w:div w:id="90008398">
                                                  <w:blockQuote w:val="1"/>
                                                  <w:marLeft w:val="720"/>
                                                  <w:marRight w:val="720"/>
                                                  <w:marTop w:val="100"/>
                                                  <w:marBottom w:val="100"/>
                                                  <w:divBdr>
                                                    <w:top w:val="none" w:sz="0" w:space="0" w:color="auto"/>
                                                    <w:left w:val="none" w:sz="0" w:space="0" w:color="auto"/>
                                                    <w:bottom w:val="none" w:sz="0" w:space="0" w:color="auto"/>
                                                    <w:right w:val="none" w:sz="0" w:space="0" w:color="auto"/>
                                                  </w:divBdr>
                                                </w:div>
                                                <w:div w:id="8989762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65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253198">
                                                  <w:blockQuote w:val="1"/>
                                                  <w:marLeft w:val="720"/>
                                                  <w:marRight w:val="720"/>
                                                  <w:marTop w:val="100"/>
                                                  <w:marBottom w:val="100"/>
                                                  <w:divBdr>
                                                    <w:top w:val="none" w:sz="0" w:space="0" w:color="auto"/>
                                                    <w:left w:val="none" w:sz="0" w:space="0" w:color="auto"/>
                                                    <w:bottom w:val="none" w:sz="0" w:space="0" w:color="auto"/>
                                                    <w:right w:val="none" w:sz="0" w:space="0" w:color="auto"/>
                                                  </w:divBdr>
                                                </w:div>
                                                <w:div w:id="6554525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910053">
                                                  <w:blockQuote w:val="1"/>
                                                  <w:marLeft w:val="720"/>
                                                  <w:marRight w:val="720"/>
                                                  <w:marTop w:val="100"/>
                                                  <w:marBottom w:val="100"/>
                                                  <w:divBdr>
                                                    <w:top w:val="none" w:sz="0" w:space="0" w:color="auto"/>
                                                    <w:left w:val="none" w:sz="0" w:space="0" w:color="auto"/>
                                                    <w:bottom w:val="none" w:sz="0" w:space="0" w:color="auto"/>
                                                    <w:right w:val="none" w:sz="0" w:space="0" w:color="auto"/>
                                                  </w:divBdr>
                                                </w:div>
                                                <w:div w:id="9848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44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2440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54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609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131188">
                                                  <w:blockQuote w:val="1"/>
                                                  <w:marLeft w:val="720"/>
                                                  <w:marRight w:val="720"/>
                                                  <w:marTop w:val="100"/>
                                                  <w:marBottom w:val="100"/>
                                                  <w:divBdr>
                                                    <w:top w:val="none" w:sz="0" w:space="0" w:color="auto"/>
                                                    <w:left w:val="none" w:sz="0" w:space="0" w:color="auto"/>
                                                    <w:bottom w:val="none" w:sz="0" w:space="0" w:color="auto"/>
                                                    <w:right w:val="none" w:sz="0" w:space="0" w:color="auto"/>
                                                  </w:divBdr>
                                                </w:div>
                                                <w:div w:id="548298933">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981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4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743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36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348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042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9049863">
          <w:marLeft w:val="0"/>
          <w:marRight w:val="0"/>
          <w:marTop w:val="0"/>
          <w:marBottom w:val="0"/>
          <w:divBdr>
            <w:top w:val="none" w:sz="0" w:space="0" w:color="auto"/>
            <w:left w:val="none" w:sz="0" w:space="0" w:color="auto"/>
            <w:bottom w:val="none" w:sz="0" w:space="0" w:color="auto"/>
            <w:right w:val="none" w:sz="0" w:space="0" w:color="auto"/>
          </w:divBdr>
          <w:divsChild>
            <w:div w:id="1606956412">
              <w:marLeft w:val="0"/>
              <w:marRight w:val="0"/>
              <w:marTop w:val="0"/>
              <w:marBottom w:val="0"/>
              <w:divBdr>
                <w:top w:val="none" w:sz="0" w:space="0" w:color="auto"/>
                <w:left w:val="none" w:sz="0" w:space="0" w:color="auto"/>
                <w:bottom w:val="none" w:sz="0" w:space="0" w:color="auto"/>
                <w:right w:val="none" w:sz="0" w:space="0" w:color="auto"/>
              </w:divBdr>
              <w:divsChild>
                <w:div w:id="1723362601">
                  <w:marLeft w:val="0"/>
                  <w:marRight w:val="0"/>
                  <w:marTop w:val="0"/>
                  <w:marBottom w:val="0"/>
                  <w:divBdr>
                    <w:top w:val="none" w:sz="0" w:space="0" w:color="auto"/>
                    <w:left w:val="none" w:sz="0" w:space="0" w:color="auto"/>
                    <w:bottom w:val="none" w:sz="0" w:space="0" w:color="auto"/>
                    <w:right w:val="none" w:sz="0" w:space="0" w:color="auto"/>
                  </w:divBdr>
                  <w:divsChild>
                    <w:div w:id="8214397">
                      <w:marLeft w:val="0"/>
                      <w:marRight w:val="0"/>
                      <w:marTop w:val="0"/>
                      <w:marBottom w:val="0"/>
                      <w:divBdr>
                        <w:top w:val="none" w:sz="0" w:space="0" w:color="auto"/>
                        <w:left w:val="none" w:sz="0" w:space="0" w:color="auto"/>
                        <w:bottom w:val="none" w:sz="0" w:space="0" w:color="auto"/>
                        <w:right w:val="none" w:sz="0" w:space="0" w:color="auto"/>
                      </w:divBdr>
                      <w:divsChild>
                        <w:div w:id="1963339095">
                          <w:marLeft w:val="0"/>
                          <w:marRight w:val="0"/>
                          <w:marTop w:val="0"/>
                          <w:marBottom w:val="0"/>
                          <w:divBdr>
                            <w:top w:val="none" w:sz="0" w:space="0" w:color="auto"/>
                            <w:left w:val="none" w:sz="0" w:space="0" w:color="auto"/>
                            <w:bottom w:val="none" w:sz="0" w:space="0" w:color="auto"/>
                            <w:right w:val="none" w:sz="0" w:space="0" w:color="auto"/>
                          </w:divBdr>
                          <w:divsChild>
                            <w:div w:id="2063551463">
                              <w:marLeft w:val="0"/>
                              <w:marRight w:val="0"/>
                              <w:marTop w:val="0"/>
                              <w:marBottom w:val="0"/>
                              <w:divBdr>
                                <w:top w:val="none" w:sz="0" w:space="0" w:color="auto"/>
                                <w:left w:val="none" w:sz="0" w:space="0" w:color="auto"/>
                                <w:bottom w:val="none" w:sz="0" w:space="0" w:color="auto"/>
                                <w:right w:val="none" w:sz="0" w:space="0" w:color="auto"/>
                              </w:divBdr>
                              <w:divsChild>
                                <w:div w:id="1140074452">
                                  <w:marLeft w:val="0"/>
                                  <w:marRight w:val="0"/>
                                  <w:marTop w:val="0"/>
                                  <w:marBottom w:val="0"/>
                                  <w:divBdr>
                                    <w:top w:val="none" w:sz="0" w:space="0" w:color="auto"/>
                                    <w:left w:val="none" w:sz="0" w:space="0" w:color="auto"/>
                                    <w:bottom w:val="none" w:sz="0" w:space="0" w:color="auto"/>
                                    <w:right w:val="none" w:sz="0" w:space="0" w:color="auto"/>
                                  </w:divBdr>
                                  <w:divsChild>
                                    <w:div w:id="1923907381">
                                      <w:marLeft w:val="0"/>
                                      <w:marRight w:val="0"/>
                                      <w:marTop w:val="0"/>
                                      <w:marBottom w:val="0"/>
                                      <w:divBdr>
                                        <w:top w:val="none" w:sz="0" w:space="0" w:color="auto"/>
                                        <w:left w:val="none" w:sz="0" w:space="0" w:color="auto"/>
                                        <w:bottom w:val="none" w:sz="0" w:space="0" w:color="auto"/>
                                        <w:right w:val="none" w:sz="0" w:space="0" w:color="auto"/>
                                      </w:divBdr>
                                      <w:divsChild>
                                        <w:div w:id="299966449">
                                          <w:marLeft w:val="0"/>
                                          <w:marRight w:val="0"/>
                                          <w:marTop w:val="0"/>
                                          <w:marBottom w:val="0"/>
                                          <w:divBdr>
                                            <w:top w:val="none" w:sz="0" w:space="0" w:color="auto"/>
                                            <w:left w:val="none" w:sz="0" w:space="0" w:color="auto"/>
                                            <w:bottom w:val="none" w:sz="0" w:space="0" w:color="auto"/>
                                            <w:right w:val="none" w:sz="0" w:space="0" w:color="auto"/>
                                          </w:divBdr>
                                          <w:divsChild>
                                            <w:div w:id="1478954936">
                                              <w:marLeft w:val="0"/>
                                              <w:marRight w:val="0"/>
                                              <w:marTop w:val="0"/>
                                              <w:marBottom w:val="0"/>
                                              <w:divBdr>
                                                <w:top w:val="none" w:sz="0" w:space="0" w:color="auto"/>
                                                <w:left w:val="none" w:sz="0" w:space="0" w:color="auto"/>
                                                <w:bottom w:val="none" w:sz="0" w:space="0" w:color="auto"/>
                                                <w:right w:val="none" w:sz="0" w:space="0" w:color="auto"/>
                                              </w:divBdr>
                                              <w:divsChild>
                                                <w:div w:id="2171588">
                                                  <w:marLeft w:val="0"/>
                                                  <w:marRight w:val="0"/>
                                                  <w:marTop w:val="0"/>
                                                  <w:marBottom w:val="0"/>
                                                  <w:divBdr>
                                                    <w:top w:val="none" w:sz="0" w:space="0" w:color="auto"/>
                                                    <w:left w:val="none" w:sz="0" w:space="0" w:color="auto"/>
                                                    <w:bottom w:val="none" w:sz="0" w:space="0" w:color="auto"/>
                                                    <w:right w:val="none" w:sz="0" w:space="0" w:color="auto"/>
                                                  </w:divBdr>
                                                  <w:divsChild>
                                                    <w:div w:id="957639667">
                                                      <w:marLeft w:val="0"/>
                                                      <w:marRight w:val="0"/>
                                                      <w:marTop w:val="0"/>
                                                      <w:marBottom w:val="0"/>
                                                      <w:divBdr>
                                                        <w:top w:val="none" w:sz="0" w:space="0" w:color="auto"/>
                                                        <w:left w:val="none" w:sz="0" w:space="0" w:color="auto"/>
                                                        <w:bottom w:val="none" w:sz="0" w:space="0" w:color="auto"/>
                                                        <w:right w:val="none" w:sz="0" w:space="0" w:color="auto"/>
                                                      </w:divBdr>
                                                      <w:divsChild>
                                                        <w:div w:id="15461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5626237">
      <w:bodyDiv w:val="1"/>
      <w:marLeft w:val="0"/>
      <w:marRight w:val="0"/>
      <w:marTop w:val="0"/>
      <w:marBottom w:val="0"/>
      <w:divBdr>
        <w:top w:val="none" w:sz="0" w:space="0" w:color="auto"/>
        <w:left w:val="none" w:sz="0" w:space="0" w:color="auto"/>
        <w:bottom w:val="none" w:sz="0" w:space="0" w:color="auto"/>
        <w:right w:val="none" w:sz="0" w:space="0" w:color="auto"/>
      </w:divBdr>
      <w:divsChild>
        <w:div w:id="1601334153">
          <w:marLeft w:val="0"/>
          <w:marRight w:val="0"/>
          <w:marTop w:val="0"/>
          <w:marBottom w:val="0"/>
          <w:divBdr>
            <w:top w:val="none" w:sz="0" w:space="0" w:color="auto"/>
            <w:left w:val="none" w:sz="0" w:space="0" w:color="auto"/>
            <w:bottom w:val="none" w:sz="0" w:space="0" w:color="auto"/>
            <w:right w:val="none" w:sz="0" w:space="0" w:color="auto"/>
          </w:divBdr>
        </w:div>
      </w:divsChild>
    </w:div>
    <w:div w:id="547646055">
      <w:bodyDiv w:val="1"/>
      <w:marLeft w:val="0"/>
      <w:marRight w:val="0"/>
      <w:marTop w:val="0"/>
      <w:marBottom w:val="0"/>
      <w:divBdr>
        <w:top w:val="none" w:sz="0" w:space="0" w:color="auto"/>
        <w:left w:val="none" w:sz="0" w:space="0" w:color="auto"/>
        <w:bottom w:val="none" w:sz="0" w:space="0" w:color="auto"/>
        <w:right w:val="none" w:sz="0" w:space="0" w:color="auto"/>
      </w:divBdr>
    </w:div>
    <w:div w:id="803961361">
      <w:bodyDiv w:val="1"/>
      <w:marLeft w:val="0"/>
      <w:marRight w:val="0"/>
      <w:marTop w:val="0"/>
      <w:marBottom w:val="0"/>
      <w:divBdr>
        <w:top w:val="none" w:sz="0" w:space="0" w:color="auto"/>
        <w:left w:val="none" w:sz="0" w:space="0" w:color="auto"/>
        <w:bottom w:val="none" w:sz="0" w:space="0" w:color="auto"/>
        <w:right w:val="none" w:sz="0" w:space="0" w:color="auto"/>
      </w:divBdr>
      <w:divsChild>
        <w:div w:id="289827384">
          <w:marLeft w:val="0"/>
          <w:marRight w:val="0"/>
          <w:marTop w:val="0"/>
          <w:marBottom w:val="0"/>
          <w:divBdr>
            <w:top w:val="none" w:sz="0" w:space="0" w:color="auto"/>
            <w:left w:val="none" w:sz="0" w:space="0" w:color="auto"/>
            <w:bottom w:val="none" w:sz="0" w:space="0" w:color="auto"/>
            <w:right w:val="none" w:sz="0" w:space="0" w:color="auto"/>
          </w:divBdr>
        </w:div>
        <w:div w:id="438451689">
          <w:marLeft w:val="0"/>
          <w:marRight w:val="0"/>
          <w:marTop w:val="0"/>
          <w:marBottom w:val="0"/>
          <w:divBdr>
            <w:top w:val="none" w:sz="0" w:space="0" w:color="auto"/>
            <w:left w:val="none" w:sz="0" w:space="0" w:color="auto"/>
            <w:bottom w:val="none" w:sz="0" w:space="0" w:color="auto"/>
            <w:right w:val="none" w:sz="0" w:space="0" w:color="auto"/>
          </w:divBdr>
        </w:div>
      </w:divsChild>
    </w:div>
    <w:div w:id="891965856">
      <w:bodyDiv w:val="1"/>
      <w:marLeft w:val="0"/>
      <w:marRight w:val="0"/>
      <w:marTop w:val="0"/>
      <w:marBottom w:val="0"/>
      <w:divBdr>
        <w:top w:val="none" w:sz="0" w:space="0" w:color="auto"/>
        <w:left w:val="none" w:sz="0" w:space="0" w:color="auto"/>
        <w:bottom w:val="none" w:sz="0" w:space="0" w:color="auto"/>
        <w:right w:val="none" w:sz="0" w:space="0" w:color="auto"/>
      </w:divBdr>
    </w:div>
    <w:div w:id="896209332">
      <w:bodyDiv w:val="1"/>
      <w:marLeft w:val="0"/>
      <w:marRight w:val="0"/>
      <w:marTop w:val="0"/>
      <w:marBottom w:val="0"/>
      <w:divBdr>
        <w:top w:val="none" w:sz="0" w:space="0" w:color="auto"/>
        <w:left w:val="none" w:sz="0" w:space="0" w:color="auto"/>
        <w:bottom w:val="none" w:sz="0" w:space="0" w:color="auto"/>
        <w:right w:val="none" w:sz="0" w:space="0" w:color="auto"/>
      </w:divBdr>
    </w:div>
    <w:div w:id="961419468">
      <w:bodyDiv w:val="1"/>
      <w:marLeft w:val="0"/>
      <w:marRight w:val="0"/>
      <w:marTop w:val="0"/>
      <w:marBottom w:val="0"/>
      <w:divBdr>
        <w:top w:val="none" w:sz="0" w:space="0" w:color="auto"/>
        <w:left w:val="none" w:sz="0" w:space="0" w:color="auto"/>
        <w:bottom w:val="none" w:sz="0" w:space="0" w:color="auto"/>
        <w:right w:val="none" w:sz="0" w:space="0" w:color="auto"/>
      </w:divBdr>
    </w:div>
    <w:div w:id="1006400316">
      <w:bodyDiv w:val="1"/>
      <w:marLeft w:val="0"/>
      <w:marRight w:val="0"/>
      <w:marTop w:val="0"/>
      <w:marBottom w:val="0"/>
      <w:divBdr>
        <w:top w:val="none" w:sz="0" w:space="0" w:color="auto"/>
        <w:left w:val="none" w:sz="0" w:space="0" w:color="auto"/>
        <w:bottom w:val="none" w:sz="0" w:space="0" w:color="auto"/>
        <w:right w:val="none" w:sz="0" w:space="0" w:color="auto"/>
      </w:divBdr>
    </w:div>
    <w:div w:id="1067460378">
      <w:bodyDiv w:val="1"/>
      <w:marLeft w:val="0"/>
      <w:marRight w:val="0"/>
      <w:marTop w:val="0"/>
      <w:marBottom w:val="0"/>
      <w:divBdr>
        <w:top w:val="none" w:sz="0" w:space="0" w:color="auto"/>
        <w:left w:val="none" w:sz="0" w:space="0" w:color="auto"/>
        <w:bottom w:val="none" w:sz="0" w:space="0" w:color="auto"/>
        <w:right w:val="none" w:sz="0" w:space="0" w:color="auto"/>
      </w:divBdr>
    </w:div>
    <w:div w:id="1210385593">
      <w:bodyDiv w:val="1"/>
      <w:marLeft w:val="0"/>
      <w:marRight w:val="0"/>
      <w:marTop w:val="0"/>
      <w:marBottom w:val="0"/>
      <w:divBdr>
        <w:top w:val="none" w:sz="0" w:space="0" w:color="auto"/>
        <w:left w:val="none" w:sz="0" w:space="0" w:color="auto"/>
        <w:bottom w:val="none" w:sz="0" w:space="0" w:color="auto"/>
        <w:right w:val="none" w:sz="0" w:space="0" w:color="auto"/>
      </w:divBdr>
    </w:div>
    <w:div w:id="1261059295">
      <w:bodyDiv w:val="1"/>
      <w:marLeft w:val="0"/>
      <w:marRight w:val="0"/>
      <w:marTop w:val="0"/>
      <w:marBottom w:val="0"/>
      <w:divBdr>
        <w:top w:val="none" w:sz="0" w:space="0" w:color="auto"/>
        <w:left w:val="none" w:sz="0" w:space="0" w:color="auto"/>
        <w:bottom w:val="none" w:sz="0" w:space="0" w:color="auto"/>
        <w:right w:val="none" w:sz="0" w:space="0" w:color="auto"/>
      </w:divBdr>
    </w:div>
    <w:div w:id="1264024736">
      <w:bodyDiv w:val="1"/>
      <w:marLeft w:val="0"/>
      <w:marRight w:val="0"/>
      <w:marTop w:val="0"/>
      <w:marBottom w:val="0"/>
      <w:divBdr>
        <w:top w:val="none" w:sz="0" w:space="0" w:color="auto"/>
        <w:left w:val="none" w:sz="0" w:space="0" w:color="auto"/>
        <w:bottom w:val="none" w:sz="0" w:space="0" w:color="auto"/>
        <w:right w:val="none" w:sz="0" w:space="0" w:color="auto"/>
      </w:divBdr>
    </w:div>
    <w:div w:id="1525630252">
      <w:bodyDiv w:val="1"/>
      <w:marLeft w:val="0"/>
      <w:marRight w:val="0"/>
      <w:marTop w:val="0"/>
      <w:marBottom w:val="0"/>
      <w:divBdr>
        <w:top w:val="none" w:sz="0" w:space="0" w:color="auto"/>
        <w:left w:val="none" w:sz="0" w:space="0" w:color="auto"/>
        <w:bottom w:val="none" w:sz="0" w:space="0" w:color="auto"/>
        <w:right w:val="none" w:sz="0" w:space="0" w:color="auto"/>
      </w:divBdr>
    </w:div>
    <w:div w:id="1612127842">
      <w:bodyDiv w:val="1"/>
      <w:marLeft w:val="0"/>
      <w:marRight w:val="0"/>
      <w:marTop w:val="0"/>
      <w:marBottom w:val="0"/>
      <w:divBdr>
        <w:top w:val="none" w:sz="0" w:space="0" w:color="auto"/>
        <w:left w:val="none" w:sz="0" w:space="0" w:color="auto"/>
        <w:bottom w:val="none" w:sz="0" w:space="0" w:color="auto"/>
        <w:right w:val="none" w:sz="0" w:space="0" w:color="auto"/>
      </w:divBdr>
      <w:divsChild>
        <w:div w:id="1117093205">
          <w:marLeft w:val="0"/>
          <w:marRight w:val="0"/>
          <w:marTop w:val="0"/>
          <w:marBottom w:val="0"/>
          <w:divBdr>
            <w:top w:val="none" w:sz="0" w:space="0" w:color="auto"/>
            <w:left w:val="none" w:sz="0" w:space="0" w:color="auto"/>
            <w:bottom w:val="none" w:sz="0" w:space="0" w:color="auto"/>
            <w:right w:val="none" w:sz="0" w:space="0" w:color="auto"/>
          </w:divBdr>
        </w:div>
        <w:div w:id="1532452704">
          <w:marLeft w:val="0"/>
          <w:marRight w:val="0"/>
          <w:marTop w:val="0"/>
          <w:marBottom w:val="0"/>
          <w:divBdr>
            <w:top w:val="none" w:sz="0" w:space="0" w:color="auto"/>
            <w:left w:val="none" w:sz="0" w:space="0" w:color="auto"/>
            <w:bottom w:val="none" w:sz="0" w:space="0" w:color="auto"/>
            <w:right w:val="none" w:sz="0" w:space="0" w:color="auto"/>
          </w:divBdr>
        </w:div>
        <w:div w:id="299918189">
          <w:marLeft w:val="0"/>
          <w:marRight w:val="0"/>
          <w:marTop w:val="0"/>
          <w:marBottom w:val="0"/>
          <w:divBdr>
            <w:top w:val="none" w:sz="0" w:space="0" w:color="auto"/>
            <w:left w:val="none" w:sz="0" w:space="0" w:color="auto"/>
            <w:bottom w:val="none" w:sz="0" w:space="0" w:color="auto"/>
            <w:right w:val="none" w:sz="0" w:space="0" w:color="auto"/>
          </w:divBdr>
        </w:div>
        <w:div w:id="2024747420">
          <w:marLeft w:val="0"/>
          <w:marRight w:val="0"/>
          <w:marTop w:val="0"/>
          <w:marBottom w:val="0"/>
          <w:divBdr>
            <w:top w:val="none" w:sz="0" w:space="0" w:color="auto"/>
            <w:left w:val="none" w:sz="0" w:space="0" w:color="auto"/>
            <w:bottom w:val="none" w:sz="0" w:space="0" w:color="auto"/>
            <w:right w:val="none" w:sz="0" w:space="0" w:color="auto"/>
          </w:divBdr>
        </w:div>
        <w:div w:id="942491070">
          <w:marLeft w:val="0"/>
          <w:marRight w:val="0"/>
          <w:marTop w:val="0"/>
          <w:marBottom w:val="0"/>
          <w:divBdr>
            <w:top w:val="none" w:sz="0" w:space="0" w:color="auto"/>
            <w:left w:val="none" w:sz="0" w:space="0" w:color="auto"/>
            <w:bottom w:val="none" w:sz="0" w:space="0" w:color="auto"/>
            <w:right w:val="none" w:sz="0" w:space="0" w:color="auto"/>
          </w:divBdr>
        </w:div>
        <w:div w:id="469977586">
          <w:marLeft w:val="0"/>
          <w:marRight w:val="0"/>
          <w:marTop w:val="0"/>
          <w:marBottom w:val="0"/>
          <w:divBdr>
            <w:top w:val="none" w:sz="0" w:space="0" w:color="auto"/>
            <w:left w:val="none" w:sz="0" w:space="0" w:color="auto"/>
            <w:bottom w:val="none" w:sz="0" w:space="0" w:color="auto"/>
            <w:right w:val="none" w:sz="0" w:space="0" w:color="auto"/>
          </w:divBdr>
        </w:div>
        <w:div w:id="1491092839">
          <w:marLeft w:val="0"/>
          <w:marRight w:val="0"/>
          <w:marTop w:val="0"/>
          <w:marBottom w:val="0"/>
          <w:divBdr>
            <w:top w:val="none" w:sz="0" w:space="0" w:color="auto"/>
            <w:left w:val="none" w:sz="0" w:space="0" w:color="auto"/>
            <w:bottom w:val="none" w:sz="0" w:space="0" w:color="auto"/>
            <w:right w:val="none" w:sz="0" w:space="0" w:color="auto"/>
          </w:divBdr>
        </w:div>
        <w:div w:id="769664101">
          <w:marLeft w:val="0"/>
          <w:marRight w:val="0"/>
          <w:marTop w:val="0"/>
          <w:marBottom w:val="0"/>
          <w:divBdr>
            <w:top w:val="none" w:sz="0" w:space="0" w:color="auto"/>
            <w:left w:val="none" w:sz="0" w:space="0" w:color="auto"/>
            <w:bottom w:val="none" w:sz="0" w:space="0" w:color="auto"/>
            <w:right w:val="none" w:sz="0" w:space="0" w:color="auto"/>
          </w:divBdr>
        </w:div>
        <w:div w:id="939989657">
          <w:marLeft w:val="0"/>
          <w:marRight w:val="0"/>
          <w:marTop w:val="0"/>
          <w:marBottom w:val="0"/>
          <w:divBdr>
            <w:top w:val="none" w:sz="0" w:space="0" w:color="auto"/>
            <w:left w:val="none" w:sz="0" w:space="0" w:color="auto"/>
            <w:bottom w:val="none" w:sz="0" w:space="0" w:color="auto"/>
            <w:right w:val="none" w:sz="0" w:space="0" w:color="auto"/>
          </w:divBdr>
        </w:div>
        <w:div w:id="1655257294">
          <w:marLeft w:val="0"/>
          <w:marRight w:val="0"/>
          <w:marTop w:val="0"/>
          <w:marBottom w:val="0"/>
          <w:divBdr>
            <w:top w:val="none" w:sz="0" w:space="0" w:color="auto"/>
            <w:left w:val="none" w:sz="0" w:space="0" w:color="auto"/>
            <w:bottom w:val="none" w:sz="0" w:space="0" w:color="auto"/>
            <w:right w:val="none" w:sz="0" w:space="0" w:color="auto"/>
          </w:divBdr>
        </w:div>
      </w:divsChild>
    </w:div>
    <w:div w:id="1683894372">
      <w:bodyDiv w:val="1"/>
      <w:marLeft w:val="0"/>
      <w:marRight w:val="0"/>
      <w:marTop w:val="0"/>
      <w:marBottom w:val="0"/>
      <w:divBdr>
        <w:top w:val="none" w:sz="0" w:space="0" w:color="auto"/>
        <w:left w:val="none" w:sz="0" w:space="0" w:color="auto"/>
        <w:bottom w:val="none" w:sz="0" w:space="0" w:color="auto"/>
        <w:right w:val="none" w:sz="0" w:space="0" w:color="auto"/>
      </w:divBdr>
    </w:div>
    <w:div w:id="1736665645">
      <w:bodyDiv w:val="1"/>
      <w:marLeft w:val="0"/>
      <w:marRight w:val="0"/>
      <w:marTop w:val="0"/>
      <w:marBottom w:val="0"/>
      <w:divBdr>
        <w:top w:val="none" w:sz="0" w:space="0" w:color="auto"/>
        <w:left w:val="none" w:sz="0" w:space="0" w:color="auto"/>
        <w:bottom w:val="none" w:sz="0" w:space="0" w:color="auto"/>
        <w:right w:val="none" w:sz="0" w:space="0" w:color="auto"/>
      </w:divBdr>
    </w:div>
    <w:div w:id="1799643427">
      <w:bodyDiv w:val="1"/>
      <w:marLeft w:val="0"/>
      <w:marRight w:val="0"/>
      <w:marTop w:val="0"/>
      <w:marBottom w:val="0"/>
      <w:divBdr>
        <w:top w:val="none" w:sz="0" w:space="0" w:color="auto"/>
        <w:left w:val="none" w:sz="0" w:space="0" w:color="auto"/>
        <w:bottom w:val="none" w:sz="0" w:space="0" w:color="auto"/>
        <w:right w:val="none" w:sz="0" w:space="0" w:color="auto"/>
      </w:divBdr>
    </w:div>
    <w:div w:id="1881940267">
      <w:bodyDiv w:val="1"/>
      <w:marLeft w:val="0"/>
      <w:marRight w:val="0"/>
      <w:marTop w:val="0"/>
      <w:marBottom w:val="0"/>
      <w:divBdr>
        <w:top w:val="none" w:sz="0" w:space="0" w:color="auto"/>
        <w:left w:val="none" w:sz="0" w:space="0" w:color="auto"/>
        <w:bottom w:val="none" w:sz="0" w:space="0" w:color="auto"/>
        <w:right w:val="none" w:sz="0" w:space="0" w:color="auto"/>
      </w:divBdr>
    </w:div>
    <w:div w:id="211629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blicaciones@dpe.gob.e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F57FE-916E-4AEB-B07A-08A4CB6C4D00}">
  <ds:schemaRefs>
    <ds:schemaRef ds:uri="http://schemas.microsoft.com/sharepoint/v3/contenttype/forms"/>
  </ds:schemaRefs>
</ds:datastoreItem>
</file>

<file path=customXml/itemProps2.xml><?xml version="1.0" encoding="utf-8"?>
<ds:datastoreItem xmlns:ds="http://schemas.openxmlformats.org/officeDocument/2006/customXml" ds:itemID="{0D7CB142-1D5B-46B8-92EE-699EC95F8571}"/>
</file>

<file path=customXml/itemProps3.xml><?xml version="1.0" encoding="utf-8"?>
<ds:datastoreItem xmlns:ds="http://schemas.openxmlformats.org/officeDocument/2006/customXml" ds:itemID="{C265C93C-405B-4A98-A4C7-E28C29F8A407}">
  <ds:schemaRefs>
    <ds:schemaRef ds:uri="http://schemas.microsoft.com/office/2006/metadata/properties"/>
    <ds:schemaRef ds:uri="http://schemas.microsoft.com/office/infopath/2007/PartnerControls"/>
    <ds:schemaRef ds:uri="e2366756-b8d0-4ddf-a8ab-46a609fdf3d0"/>
    <ds:schemaRef ds:uri="c7068992-516c-472c-bda7-0f9efc02b1c5"/>
  </ds:schemaRefs>
</ds:datastoreItem>
</file>

<file path=customXml/itemProps4.xml><?xml version="1.0" encoding="utf-8"?>
<ds:datastoreItem xmlns:ds="http://schemas.openxmlformats.org/officeDocument/2006/customXml" ds:itemID="{F0FD697B-BC15-4100-8D8F-AF2E1EF92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3607</Words>
  <Characters>19841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Angélica Llumipanta Viscaino</dc:creator>
  <cp:keywords/>
  <dc:description/>
  <cp:lastModifiedBy>Ana Lucía Fuentes Domínguez</cp:lastModifiedBy>
  <cp:revision>2</cp:revision>
  <dcterms:created xsi:type="dcterms:W3CDTF">2026-06-30T18:06:00Z</dcterms:created>
  <dcterms:modified xsi:type="dcterms:W3CDTF">2026-06-30T18:06:00Z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