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A0AB6" w14:textId="77777777" w:rsidR="0004634B" w:rsidRPr="0004634B" w:rsidRDefault="0004634B" w:rsidP="0004634B">
      <w:pPr>
        <w:jc w:val="center"/>
        <w:rPr>
          <w:rFonts w:ascii="Times New Roman" w:hAnsi="Times New Roman" w:cs="Times New Roman"/>
        </w:rPr>
      </w:pPr>
    </w:p>
    <w:p w14:paraId="36E11595" w14:textId="77777777" w:rsidR="0004634B" w:rsidRPr="0004634B" w:rsidRDefault="0004634B" w:rsidP="0004634B">
      <w:pPr>
        <w:jc w:val="center"/>
        <w:rPr>
          <w:rFonts w:ascii="Times New Roman" w:hAnsi="Times New Roman" w:cs="Times New Roman"/>
        </w:rPr>
      </w:pPr>
    </w:p>
    <w:p w14:paraId="1F09E473" w14:textId="77777777" w:rsidR="0004634B" w:rsidRPr="0004634B" w:rsidRDefault="0004634B" w:rsidP="0004634B">
      <w:pPr>
        <w:jc w:val="center"/>
        <w:rPr>
          <w:rFonts w:ascii="Times New Roman" w:hAnsi="Times New Roman" w:cs="Times New Roman"/>
        </w:rPr>
      </w:pPr>
    </w:p>
    <w:p w14:paraId="2E1B2B33" w14:textId="77777777" w:rsidR="0004634B" w:rsidRDefault="0004634B" w:rsidP="0004634B">
      <w:pPr>
        <w:jc w:val="center"/>
        <w:rPr>
          <w:rFonts w:ascii="Times New Roman" w:hAnsi="Times New Roman" w:cs="Times New Roman"/>
        </w:rPr>
      </w:pPr>
    </w:p>
    <w:p w14:paraId="5133D806" w14:textId="77777777" w:rsidR="00CE7C13" w:rsidRDefault="00CE7C13" w:rsidP="0004634B">
      <w:pPr>
        <w:jc w:val="center"/>
        <w:rPr>
          <w:rFonts w:ascii="Times New Roman" w:hAnsi="Times New Roman" w:cs="Times New Roman"/>
        </w:rPr>
      </w:pPr>
    </w:p>
    <w:p w14:paraId="2A7980D3" w14:textId="77777777" w:rsidR="00CE7C13" w:rsidRPr="0004634B" w:rsidRDefault="00CE7C13" w:rsidP="0004634B">
      <w:pPr>
        <w:jc w:val="center"/>
        <w:rPr>
          <w:rFonts w:ascii="Times New Roman" w:hAnsi="Times New Roman" w:cs="Times New Roman"/>
        </w:rPr>
      </w:pPr>
    </w:p>
    <w:p w14:paraId="53BBEC2A" w14:textId="77777777" w:rsidR="0004634B" w:rsidRPr="0004634B" w:rsidRDefault="0004634B" w:rsidP="0004634B">
      <w:pPr>
        <w:jc w:val="center"/>
        <w:rPr>
          <w:rFonts w:ascii="Times New Roman" w:hAnsi="Times New Roman" w:cs="Times New Roman"/>
        </w:rPr>
      </w:pPr>
    </w:p>
    <w:p w14:paraId="58FD85BC" w14:textId="77777777" w:rsidR="0004634B" w:rsidRPr="0004634B" w:rsidRDefault="0004634B" w:rsidP="0004634B">
      <w:pPr>
        <w:jc w:val="center"/>
        <w:rPr>
          <w:rFonts w:ascii="Times New Roman" w:hAnsi="Times New Roman" w:cs="Times New Roman"/>
        </w:rPr>
      </w:pPr>
    </w:p>
    <w:p w14:paraId="56FE95A9" w14:textId="77777777" w:rsidR="0004634B" w:rsidRPr="0004634B" w:rsidRDefault="0004634B" w:rsidP="0004634B">
      <w:pPr>
        <w:jc w:val="center"/>
        <w:rPr>
          <w:rFonts w:ascii="Times New Roman" w:hAnsi="Times New Roman" w:cs="Times New Roman"/>
        </w:rPr>
      </w:pPr>
    </w:p>
    <w:p w14:paraId="48669763" w14:textId="77777777" w:rsidR="0004634B" w:rsidRPr="00CF099A" w:rsidRDefault="0004634B" w:rsidP="00CF099A">
      <w:pPr>
        <w:pStyle w:val="Title"/>
      </w:pPr>
      <w:r w:rsidRPr="00CF099A">
        <w:t>Draft Guidelines on identifying and addressing</w:t>
      </w:r>
      <w:r w:rsidRPr="00CF099A">
        <w:br/>
        <w:t>disability-based violence</w:t>
      </w:r>
    </w:p>
    <w:p w14:paraId="7E751846" w14:textId="77777777" w:rsidR="0004634B" w:rsidRPr="00CE7C13" w:rsidRDefault="0004634B" w:rsidP="0004634B">
      <w:pPr>
        <w:pBdr>
          <w:bottom w:val="single" w:sz="6" w:space="1" w:color="auto"/>
        </w:pBdr>
        <w:jc w:val="center"/>
        <w:rPr>
          <w:rFonts w:ascii="Times New Roman" w:hAnsi="Times New Roman" w:cs="Times New Roman"/>
          <w:b/>
          <w:bCs/>
          <w:sz w:val="28"/>
          <w:szCs w:val="28"/>
        </w:rPr>
      </w:pPr>
    </w:p>
    <w:p w14:paraId="13CF3A6F" w14:textId="77777777" w:rsidR="0004634B" w:rsidRPr="00CE7C13" w:rsidRDefault="0004634B" w:rsidP="0004634B">
      <w:pPr>
        <w:pBdr>
          <w:bottom w:val="single" w:sz="6" w:space="1" w:color="auto"/>
        </w:pBdr>
        <w:jc w:val="center"/>
        <w:rPr>
          <w:rFonts w:ascii="Times New Roman" w:hAnsi="Times New Roman" w:cs="Times New Roman"/>
          <w:b/>
          <w:bCs/>
          <w:sz w:val="28"/>
          <w:szCs w:val="28"/>
        </w:rPr>
      </w:pPr>
    </w:p>
    <w:p w14:paraId="1F7C8638" w14:textId="77777777" w:rsidR="0004634B" w:rsidRPr="00CE7C13" w:rsidRDefault="0004634B" w:rsidP="0004634B">
      <w:pPr>
        <w:pBdr>
          <w:bottom w:val="single" w:sz="6" w:space="1" w:color="auto"/>
        </w:pBdr>
        <w:jc w:val="center"/>
        <w:rPr>
          <w:rFonts w:ascii="Times New Roman" w:hAnsi="Times New Roman" w:cs="Times New Roman"/>
          <w:b/>
          <w:bCs/>
          <w:sz w:val="28"/>
          <w:szCs w:val="28"/>
        </w:rPr>
      </w:pPr>
    </w:p>
    <w:p w14:paraId="35EA0FD7" w14:textId="77777777" w:rsidR="0004634B" w:rsidRPr="00CE7C13" w:rsidRDefault="0004634B" w:rsidP="0004634B">
      <w:pPr>
        <w:pBdr>
          <w:bottom w:val="single" w:sz="6" w:space="1" w:color="auto"/>
        </w:pBdr>
        <w:jc w:val="center"/>
        <w:rPr>
          <w:rFonts w:ascii="Times New Roman" w:hAnsi="Times New Roman" w:cs="Times New Roman"/>
          <w:b/>
          <w:bCs/>
          <w:sz w:val="28"/>
          <w:szCs w:val="28"/>
        </w:rPr>
      </w:pPr>
    </w:p>
    <w:p w14:paraId="7C7F1A23" w14:textId="77777777" w:rsidR="0004634B" w:rsidRPr="00CE7C13" w:rsidRDefault="0004634B" w:rsidP="0004634B">
      <w:pPr>
        <w:pBdr>
          <w:bottom w:val="single" w:sz="6" w:space="1" w:color="auto"/>
        </w:pBdr>
        <w:jc w:val="center"/>
        <w:rPr>
          <w:rFonts w:ascii="Times New Roman" w:hAnsi="Times New Roman" w:cs="Times New Roman"/>
          <w:b/>
          <w:bCs/>
          <w:sz w:val="28"/>
          <w:szCs w:val="28"/>
        </w:rPr>
      </w:pPr>
    </w:p>
    <w:p w14:paraId="20868A31" w14:textId="77777777" w:rsidR="0004634B" w:rsidRPr="00CE7C13" w:rsidRDefault="0004634B" w:rsidP="0004634B">
      <w:pPr>
        <w:pBdr>
          <w:bottom w:val="single" w:sz="6" w:space="1" w:color="auto"/>
        </w:pBdr>
        <w:jc w:val="center"/>
        <w:rPr>
          <w:rFonts w:ascii="Times New Roman" w:hAnsi="Times New Roman" w:cs="Times New Roman"/>
          <w:b/>
          <w:bCs/>
          <w:sz w:val="28"/>
          <w:szCs w:val="28"/>
        </w:rPr>
      </w:pPr>
    </w:p>
    <w:p w14:paraId="5EA93C50" w14:textId="2738CBFD" w:rsidR="0004634B" w:rsidRPr="00CE7C13" w:rsidRDefault="0004634B" w:rsidP="0004634B">
      <w:pPr>
        <w:pBdr>
          <w:bottom w:val="single" w:sz="6" w:space="1" w:color="auto"/>
        </w:pBdr>
        <w:jc w:val="center"/>
        <w:rPr>
          <w:rFonts w:ascii="Times New Roman" w:hAnsi="Times New Roman" w:cs="Times New Roman"/>
          <w:sz w:val="28"/>
          <w:szCs w:val="28"/>
        </w:rPr>
      </w:pPr>
      <w:r w:rsidRPr="00CE7C13">
        <w:rPr>
          <w:rFonts w:ascii="Times New Roman" w:hAnsi="Times New Roman" w:cs="Times New Roman"/>
          <w:sz w:val="28"/>
          <w:szCs w:val="28"/>
        </w:rPr>
        <w:t>Submission of</w:t>
      </w:r>
      <w:r w:rsidRPr="00CE7C13">
        <w:rPr>
          <w:rFonts w:ascii="Times New Roman" w:hAnsi="Times New Roman" w:cs="Times New Roman"/>
          <w:sz w:val="28"/>
          <w:szCs w:val="28"/>
        </w:rPr>
        <w:br/>
        <w:t>The Validity Foundation</w:t>
      </w:r>
      <w:r w:rsidRPr="00CE7C13">
        <w:rPr>
          <w:rFonts w:ascii="Times New Roman" w:hAnsi="Times New Roman" w:cs="Times New Roman"/>
          <w:sz w:val="28"/>
          <w:szCs w:val="28"/>
        </w:rPr>
        <w:br/>
        <w:t>on the zero draft</w:t>
      </w:r>
    </w:p>
    <w:p w14:paraId="658D5E94" w14:textId="77777777" w:rsidR="0004634B" w:rsidRDefault="0004634B" w:rsidP="0004634B">
      <w:pPr>
        <w:pBdr>
          <w:bottom w:val="single" w:sz="6" w:space="1" w:color="auto"/>
        </w:pBdr>
        <w:jc w:val="center"/>
        <w:rPr>
          <w:rFonts w:ascii="Times New Roman" w:hAnsi="Times New Roman" w:cs="Times New Roman"/>
          <w:sz w:val="24"/>
          <w:szCs w:val="24"/>
        </w:rPr>
      </w:pPr>
    </w:p>
    <w:p w14:paraId="52B52DD9" w14:textId="77777777" w:rsidR="00CE7C13" w:rsidRDefault="00CE7C13" w:rsidP="0004634B">
      <w:pPr>
        <w:pBdr>
          <w:bottom w:val="single" w:sz="6" w:space="1" w:color="auto"/>
        </w:pBdr>
        <w:jc w:val="center"/>
        <w:rPr>
          <w:rFonts w:ascii="Times New Roman" w:hAnsi="Times New Roman" w:cs="Times New Roman"/>
          <w:sz w:val="24"/>
          <w:szCs w:val="24"/>
        </w:rPr>
      </w:pPr>
    </w:p>
    <w:p w14:paraId="7B82397D" w14:textId="77777777" w:rsidR="00CE7C13" w:rsidRDefault="00CE7C13" w:rsidP="0004634B">
      <w:pPr>
        <w:pBdr>
          <w:bottom w:val="single" w:sz="6" w:space="1" w:color="auto"/>
        </w:pBdr>
        <w:jc w:val="center"/>
        <w:rPr>
          <w:rFonts w:ascii="Times New Roman" w:hAnsi="Times New Roman" w:cs="Times New Roman"/>
          <w:sz w:val="24"/>
          <w:szCs w:val="24"/>
        </w:rPr>
      </w:pPr>
    </w:p>
    <w:p w14:paraId="03255E28" w14:textId="77777777" w:rsidR="0004634B" w:rsidRDefault="0004634B" w:rsidP="0004634B">
      <w:pPr>
        <w:jc w:val="center"/>
        <w:rPr>
          <w:rFonts w:ascii="Times New Roman" w:hAnsi="Times New Roman" w:cs="Times New Roman"/>
          <w:sz w:val="24"/>
          <w:szCs w:val="24"/>
        </w:rPr>
      </w:pPr>
    </w:p>
    <w:p w14:paraId="33870792" w14:textId="77777777" w:rsidR="0004634B" w:rsidRPr="0004634B" w:rsidRDefault="0004634B" w:rsidP="0004634B">
      <w:pPr>
        <w:jc w:val="center"/>
        <w:rPr>
          <w:rFonts w:ascii="Times New Roman" w:hAnsi="Times New Roman" w:cs="Times New Roman"/>
          <w:sz w:val="24"/>
          <w:szCs w:val="24"/>
        </w:rPr>
      </w:pPr>
    </w:p>
    <w:p w14:paraId="65998A20" w14:textId="51D52148" w:rsidR="00CE7C13" w:rsidRDefault="0004634B" w:rsidP="00CE7C13">
      <w:pPr>
        <w:jc w:val="center"/>
        <w:rPr>
          <w:rFonts w:ascii="Times New Roman" w:hAnsi="Times New Roman" w:cs="Times New Roman"/>
          <w:sz w:val="24"/>
          <w:szCs w:val="24"/>
        </w:rPr>
        <w:sectPr w:rsidR="00CE7C13" w:rsidSect="00CE7C13">
          <w:headerReference w:type="default" r:id="rId11"/>
          <w:footerReference w:type="default" r:id="rId12"/>
          <w:headerReference w:type="first" r:id="rId13"/>
          <w:pgSz w:w="11906" w:h="16838"/>
          <w:pgMar w:top="1417" w:right="1417" w:bottom="1417" w:left="1417" w:header="708" w:footer="708" w:gutter="0"/>
          <w:pgNumType w:start="1"/>
          <w:cols w:space="708"/>
          <w:titlePg/>
          <w:docGrid w:linePitch="360"/>
        </w:sectPr>
      </w:pPr>
      <w:r w:rsidRPr="00CF099A">
        <w:rPr>
          <w:rFonts w:ascii="Times New Roman" w:hAnsi="Times New Roman" w:cs="Times New Roman"/>
          <w:sz w:val="24"/>
          <w:szCs w:val="24"/>
        </w:rPr>
        <w:t>August 20</w:t>
      </w:r>
      <w:r w:rsidR="00CE7C13" w:rsidRPr="00CF099A">
        <w:rPr>
          <w:rFonts w:ascii="Times New Roman" w:hAnsi="Times New Roman" w:cs="Times New Roman"/>
          <w:sz w:val="24"/>
          <w:szCs w:val="24"/>
        </w:rPr>
        <w:t>26</w:t>
      </w:r>
    </w:p>
    <w:p w14:paraId="1CC39172" w14:textId="59736089" w:rsidR="00CE7C13" w:rsidRPr="00FA2955" w:rsidRDefault="00DB7A2F" w:rsidP="00CF099A">
      <w:pPr>
        <w:pStyle w:val="Heading2"/>
        <w:spacing w:after="160"/>
      </w:pPr>
      <w:r w:rsidRPr="00FA2955">
        <w:lastRenderedPageBreak/>
        <w:t xml:space="preserve">I. </w:t>
      </w:r>
      <w:r w:rsidR="00CE7C13" w:rsidRPr="00FA2955">
        <w:t>INTRODUCTION</w:t>
      </w:r>
    </w:p>
    <w:p w14:paraId="6510E67C" w14:textId="1A0B7BC4" w:rsidR="004F11B3" w:rsidRDefault="007352CA" w:rsidP="006A4CC4">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T</w:t>
      </w:r>
      <w:r w:rsidRPr="007352CA">
        <w:rPr>
          <w:rFonts w:ascii="Times New Roman" w:hAnsi="Times New Roman" w:cs="Times New Roman"/>
          <w:sz w:val="20"/>
          <w:szCs w:val="20"/>
        </w:rPr>
        <w:t>he Validity Foundation (“Validity”) commends the United Nations Committee on the Rights of Persons with Disabilities (</w:t>
      </w:r>
      <w:r>
        <w:rPr>
          <w:rFonts w:ascii="Times New Roman" w:hAnsi="Times New Roman" w:cs="Times New Roman"/>
          <w:sz w:val="20"/>
          <w:szCs w:val="20"/>
        </w:rPr>
        <w:t xml:space="preserve">“CRPD Committee” or </w:t>
      </w:r>
      <w:r w:rsidRPr="007352CA">
        <w:rPr>
          <w:rFonts w:ascii="Times New Roman" w:hAnsi="Times New Roman" w:cs="Times New Roman"/>
          <w:sz w:val="20"/>
          <w:szCs w:val="20"/>
        </w:rPr>
        <w:t>“Committee”) for developing Guidelines on identifying and addressing disability-based violence (“DBV Guidelines”). Disability-based violence remains persistent and widespread in public, private and digital spheres. It occurs within homes and communities, through violence by public authorities and private actors, and through discriminatory laws and systems of institutionalisation, forced psychiatry, segregation and disability-based control. Such violence is enabled and perpetuated by ableism, structural discrimination and unequal relations of power. The Guidelines should provide State</w:t>
      </w:r>
      <w:r w:rsidR="00955D25">
        <w:rPr>
          <w:rFonts w:ascii="Times New Roman" w:hAnsi="Times New Roman" w:cs="Times New Roman"/>
          <w:sz w:val="20"/>
          <w:szCs w:val="20"/>
        </w:rPr>
        <w:t>s</w:t>
      </w:r>
      <w:r w:rsidRPr="007352CA">
        <w:rPr>
          <w:rFonts w:ascii="Times New Roman" w:hAnsi="Times New Roman" w:cs="Times New Roman"/>
          <w:sz w:val="20"/>
          <w:szCs w:val="20"/>
        </w:rPr>
        <w:t xml:space="preserve"> parties with clear guidance to identify, prevent and cease disability-based violence; investigate violations and ensure accountability; provide effective remedies and comprehensive reparations; and dismantle the laws, policies, practices and systems that permit its continuation. These measures must respect the dignity, autonomy and equality of persons with disabilities and centre the knowledge</w:t>
      </w:r>
      <w:r>
        <w:rPr>
          <w:rFonts w:ascii="Times New Roman" w:hAnsi="Times New Roman" w:cs="Times New Roman"/>
          <w:sz w:val="20"/>
          <w:szCs w:val="20"/>
        </w:rPr>
        <w:t xml:space="preserve"> and</w:t>
      </w:r>
      <w:r w:rsidRPr="007352CA">
        <w:rPr>
          <w:rFonts w:ascii="Times New Roman" w:hAnsi="Times New Roman" w:cs="Times New Roman"/>
          <w:sz w:val="20"/>
          <w:szCs w:val="20"/>
        </w:rPr>
        <w:t xml:space="preserve"> leadership of survivors.</w:t>
      </w:r>
    </w:p>
    <w:p w14:paraId="32F48798" w14:textId="77777777" w:rsidR="007352CA" w:rsidRPr="0087506C" w:rsidRDefault="007352CA" w:rsidP="007352CA">
      <w:pPr>
        <w:pStyle w:val="ListParagraph"/>
        <w:ind w:left="360"/>
        <w:rPr>
          <w:rFonts w:ascii="Times New Roman" w:hAnsi="Times New Roman" w:cs="Times New Roman"/>
          <w:sz w:val="20"/>
          <w:szCs w:val="20"/>
        </w:rPr>
      </w:pPr>
    </w:p>
    <w:p w14:paraId="718023E4" w14:textId="41F585D3" w:rsidR="00CE7C13" w:rsidRPr="0087506C" w:rsidRDefault="007352CA" w:rsidP="006A4CC4">
      <w:pPr>
        <w:pStyle w:val="ListParagraph"/>
        <w:numPr>
          <w:ilvl w:val="0"/>
          <w:numId w:val="1"/>
        </w:numPr>
        <w:rPr>
          <w:rFonts w:ascii="Times New Roman" w:hAnsi="Times New Roman" w:cs="Times New Roman"/>
          <w:sz w:val="20"/>
          <w:szCs w:val="20"/>
        </w:rPr>
      </w:pPr>
      <w:r w:rsidRPr="007352CA">
        <w:rPr>
          <w:rFonts w:ascii="Times New Roman" w:hAnsi="Times New Roman" w:cs="Times New Roman"/>
          <w:sz w:val="20"/>
          <w:szCs w:val="20"/>
        </w:rPr>
        <w:t>Validity is an international non-governmental organisation established in 2002 that undertakes strategic litigation and legal advocacy to promote, protect and defend the human rights of persons with disabilities, particularly persons with intellectual disabilities and persons with psychosocial disabilities. Headquartered in Budapest, Hungary, Validity works with persons with disabilities, their representative organisations, lawyers and civil</w:t>
      </w:r>
      <w:r>
        <w:rPr>
          <w:rFonts w:ascii="Times New Roman" w:hAnsi="Times New Roman" w:cs="Times New Roman"/>
          <w:sz w:val="20"/>
          <w:szCs w:val="20"/>
        </w:rPr>
        <w:t xml:space="preserve"> </w:t>
      </w:r>
      <w:r w:rsidRPr="007352CA">
        <w:rPr>
          <w:rFonts w:ascii="Times New Roman" w:hAnsi="Times New Roman" w:cs="Times New Roman"/>
          <w:sz w:val="20"/>
          <w:szCs w:val="20"/>
        </w:rPr>
        <w:t>society partners across Europe and Africa. It maintains a substantial international docket and has contributed to precedent-setting proceedings before regional and international courts and human</w:t>
      </w:r>
      <w:r>
        <w:rPr>
          <w:rFonts w:ascii="Times New Roman" w:hAnsi="Times New Roman" w:cs="Times New Roman"/>
          <w:sz w:val="20"/>
          <w:szCs w:val="20"/>
        </w:rPr>
        <w:t xml:space="preserve"> </w:t>
      </w:r>
      <w:r w:rsidRPr="007352CA">
        <w:rPr>
          <w:rFonts w:ascii="Times New Roman" w:hAnsi="Times New Roman" w:cs="Times New Roman"/>
          <w:sz w:val="20"/>
          <w:szCs w:val="20"/>
        </w:rPr>
        <w:t xml:space="preserve">rights mechanisms concerning institutionalisation, legal capacity, forced treatment, violence, access to justice and related </w:t>
      </w:r>
      <w:r>
        <w:rPr>
          <w:rFonts w:ascii="Times New Roman" w:hAnsi="Times New Roman" w:cs="Times New Roman"/>
          <w:sz w:val="20"/>
          <w:szCs w:val="20"/>
        </w:rPr>
        <w:t xml:space="preserve">structural </w:t>
      </w:r>
      <w:r w:rsidRPr="007352CA">
        <w:rPr>
          <w:rFonts w:ascii="Times New Roman" w:hAnsi="Times New Roman" w:cs="Times New Roman"/>
          <w:sz w:val="20"/>
          <w:szCs w:val="20"/>
        </w:rPr>
        <w:t xml:space="preserve">violations. Validity holds special consultative status with the United Nations Economic and Social Council and participatory status with the Conference of INGOs of the Council of Europe, </w:t>
      </w:r>
      <w:r>
        <w:rPr>
          <w:rFonts w:ascii="Times New Roman" w:hAnsi="Times New Roman" w:cs="Times New Roman"/>
          <w:sz w:val="20"/>
          <w:szCs w:val="20"/>
        </w:rPr>
        <w:t>was a</w:t>
      </w:r>
      <w:r w:rsidRPr="007352CA">
        <w:rPr>
          <w:rFonts w:ascii="Times New Roman" w:hAnsi="Times New Roman" w:cs="Times New Roman"/>
          <w:sz w:val="20"/>
          <w:szCs w:val="20"/>
        </w:rPr>
        <w:t xml:space="preserve"> founding member of the COVID-19 Disability Rights Monitor and </w:t>
      </w:r>
      <w:r>
        <w:rPr>
          <w:rFonts w:ascii="Times New Roman" w:hAnsi="Times New Roman" w:cs="Times New Roman"/>
          <w:sz w:val="20"/>
          <w:szCs w:val="20"/>
        </w:rPr>
        <w:t xml:space="preserve">is a founding and continuing member of </w:t>
      </w:r>
      <w:r w:rsidRPr="007352CA">
        <w:rPr>
          <w:rFonts w:ascii="Times New Roman" w:hAnsi="Times New Roman" w:cs="Times New Roman"/>
          <w:sz w:val="20"/>
          <w:szCs w:val="20"/>
        </w:rPr>
        <w:t>the Global Coalition on Deinstitutionalization</w:t>
      </w:r>
      <w:r>
        <w:rPr>
          <w:rFonts w:ascii="Times New Roman" w:hAnsi="Times New Roman" w:cs="Times New Roman"/>
          <w:sz w:val="20"/>
          <w:szCs w:val="20"/>
        </w:rPr>
        <w:t xml:space="preserve"> (“GC-DI”)</w:t>
      </w:r>
      <w:r w:rsidRPr="007352CA">
        <w:rPr>
          <w:rFonts w:ascii="Times New Roman" w:hAnsi="Times New Roman" w:cs="Times New Roman"/>
          <w:sz w:val="20"/>
          <w:szCs w:val="20"/>
        </w:rPr>
        <w:t>.</w:t>
      </w:r>
      <w:r w:rsidR="005365AF" w:rsidRPr="0087506C">
        <w:rPr>
          <w:rFonts w:ascii="Times New Roman" w:hAnsi="Times New Roman" w:cs="Times New Roman"/>
          <w:sz w:val="20"/>
          <w:szCs w:val="20"/>
        </w:rPr>
        <w:br/>
      </w:r>
    </w:p>
    <w:p w14:paraId="67D0AD37" w14:textId="71F071C5" w:rsidR="007352CA" w:rsidRPr="007352CA" w:rsidRDefault="007352CA" w:rsidP="007352CA">
      <w:pPr>
        <w:pStyle w:val="ListParagraph"/>
        <w:numPr>
          <w:ilvl w:val="0"/>
          <w:numId w:val="1"/>
        </w:numPr>
        <w:rPr>
          <w:rFonts w:ascii="Times New Roman" w:hAnsi="Times New Roman" w:cs="Times New Roman"/>
          <w:b/>
          <w:bCs/>
          <w:sz w:val="20"/>
          <w:szCs w:val="20"/>
        </w:rPr>
      </w:pPr>
      <w:r w:rsidRPr="007352CA">
        <w:rPr>
          <w:rFonts w:ascii="Times New Roman" w:hAnsi="Times New Roman" w:cs="Times New Roman"/>
          <w:sz w:val="20"/>
          <w:szCs w:val="20"/>
        </w:rPr>
        <w:t>This submission draws on Validity’s experience challenging individual acts and structural systems of disability-based violence alongside survivors and representative organisations of persons with disabilities.</w:t>
      </w:r>
      <w:r w:rsidR="00A0780D">
        <w:rPr>
          <w:rFonts w:ascii="Times New Roman" w:hAnsi="Times New Roman" w:cs="Times New Roman"/>
          <w:sz w:val="20"/>
          <w:szCs w:val="20"/>
        </w:rPr>
        <w:t xml:space="preserve"> We would </w:t>
      </w:r>
      <w:r w:rsidR="004B7947">
        <w:rPr>
          <w:rFonts w:ascii="Times New Roman" w:hAnsi="Times New Roman" w:cs="Times New Roman"/>
          <w:sz w:val="20"/>
          <w:szCs w:val="20"/>
        </w:rPr>
        <w:t xml:space="preserve">also </w:t>
      </w:r>
      <w:r w:rsidR="00A0780D">
        <w:rPr>
          <w:rFonts w:ascii="Times New Roman" w:hAnsi="Times New Roman" w:cs="Times New Roman"/>
          <w:sz w:val="20"/>
          <w:szCs w:val="20"/>
        </w:rPr>
        <w:t xml:space="preserve">particularly like to </w:t>
      </w:r>
      <w:r w:rsidR="00777EA5">
        <w:rPr>
          <w:rFonts w:ascii="Times New Roman" w:hAnsi="Times New Roman" w:cs="Times New Roman"/>
          <w:sz w:val="20"/>
          <w:szCs w:val="20"/>
        </w:rPr>
        <w:t>thank colleagues from the</w:t>
      </w:r>
      <w:r w:rsidR="00A64B10">
        <w:rPr>
          <w:rFonts w:ascii="Times New Roman" w:hAnsi="Times New Roman" w:cs="Times New Roman"/>
          <w:sz w:val="20"/>
          <w:szCs w:val="20"/>
        </w:rPr>
        <w:t xml:space="preserve"> Center for Human Rights of Users and Survivors of Psychiatry (“CHRUSP”)</w:t>
      </w:r>
      <w:r w:rsidR="00090486">
        <w:rPr>
          <w:rFonts w:ascii="Times New Roman" w:hAnsi="Times New Roman" w:cs="Times New Roman"/>
          <w:sz w:val="20"/>
          <w:szCs w:val="20"/>
        </w:rPr>
        <w:t xml:space="preserve"> </w:t>
      </w:r>
      <w:r w:rsidR="00A64B10">
        <w:rPr>
          <w:rFonts w:ascii="Times New Roman" w:hAnsi="Times New Roman" w:cs="Times New Roman"/>
          <w:sz w:val="20"/>
          <w:szCs w:val="20"/>
        </w:rPr>
        <w:t xml:space="preserve">and </w:t>
      </w:r>
      <w:r w:rsidR="009F1422">
        <w:rPr>
          <w:rFonts w:ascii="Times New Roman" w:hAnsi="Times New Roman" w:cs="Times New Roman"/>
          <w:sz w:val="20"/>
          <w:szCs w:val="20"/>
        </w:rPr>
        <w:t>Transforming Communities for Inclusio</w:t>
      </w:r>
      <w:r w:rsidR="00FD0B24">
        <w:rPr>
          <w:rFonts w:ascii="Times New Roman" w:hAnsi="Times New Roman" w:cs="Times New Roman"/>
          <w:sz w:val="20"/>
          <w:szCs w:val="20"/>
        </w:rPr>
        <w:t xml:space="preserve">n Global (“TCI Global”) for </w:t>
      </w:r>
      <w:r w:rsidR="00D24A30">
        <w:rPr>
          <w:rFonts w:ascii="Times New Roman" w:hAnsi="Times New Roman" w:cs="Times New Roman"/>
          <w:sz w:val="20"/>
          <w:szCs w:val="20"/>
        </w:rPr>
        <w:t>sharing their expertise, thoughts and ideas throughout the process of developing this paper</w:t>
      </w:r>
      <w:r w:rsidR="00181ACE">
        <w:rPr>
          <w:rFonts w:ascii="Times New Roman" w:hAnsi="Times New Roman" w:cs="Times New Roman"/>
          <w:sz w:val="20"/>
          <w:szCs w:val="20"/>
        </w:rPr>
        <w:t>. The submission</w:t>
      </w:r>
      <w:r w:rsidRPr="007352CA">
        <w:rPr>
          <w:rFonts w:ascii="Times New Roman" w:hAnsi="Times New Roman" w:cs="Times New Roman"/>
          <w:sz w:val="20"/>
          <w:szCs w:val="20"/>
        </w:rPr>
        <w:t xml:space="preserve"> proposes elements for strengthening the substance and legal architecture of the Guidelines, while emphasising the need for a further accessible and inclusive consultation process led by persons with disabilities, particularly survivors of disability-based violence. Such participation is essential to the legitimacy, ownership and effectiveness of the Guidelines and is itself an important part of acknowledging ongoing and historic harms.</w:t>
      </w:r>
      <w:r w:rsidR="006A4D35">
        <w:rPr>
          <w:rFonts w:ascii="Times New Roman" w:hAnsi="Times New Roman" w:cs="Times New Roman"/>
          <w:sz w:val="20"/>
          <w:szCs w:val="20"/>
        </w:rPr>
        <w:t xml:space="preserve"> </w:t>
      </w:r>
      <w:r w:rsidR="006A4D35" w:rsidRPr="006A4D35">
        <w:rPr>
          <w:rFonts w:ascii="Times New Roman" w:hAnsi="Times New Roman" w:cs="Times New Roman"/>
          <w:b/>
          <w:bCs/>
          <w:sz w:val="20"/>
          <w:szCs w:val="20"/>
        </w:rPr>
        <w:t>Section II</w:t>
      </w:r>
      <w:r w:rsidR="006A4D35">
        <w:rPr>
          <w:rFonts w:ascii="Times New Roman" w:hAnsi="Times New Roman" w:cs="Times New Roman"/>
          <w:sz w:val="20"/>
          <w:szCs w:val="20"/>
        </w:rPr>
        <w:t xml:space="preserve"> </w:t>
      </w:r>
      <w:r w:rsidR="006A4D35" w:rsidRPr="006A4D35">
        <w:rPr>
          <w:rFonts w:ascii="Times New Roman" w:hAnsi="Times New Roman" w:cs="Times New Roman"/>
          <w:sz w:val="20"/>
          <w:szCs w:val="20"/>
        </w:rPr>
        <w:t>proposes a conceptual framework and definitions of disability-based violence, structural violence and structural discrimination; addresses grave or systematic violations under article 6 of the Optional Protocol; and clarifies the treatment of institutionalisation</w:t>
      </w:r>
      <w:r w:rsidR="006A4D35">
        <w:rPr>
          <w:rFonts w:ascii="Times New Roman" w:hAnsi="Times New Roman" w:cs="Times New Roman"/>
          <w:sz w:val="20"/>
          <w:szCs w:val="20"/>
        </w:rPr>
        <w:t xml:space="preserve"> in the Guidelines</w:t>
      </w:r>
      <w:r w:rsidR="006A4D35" w:rsidRPr="006A4D35">
        <w:rPr>
          <w:rFonts w:ascii="Times New Roman" w:hAnsi="Times New Roman" w:cs="Times New Roman"/>
          <w:sz w:val="20"/>
          <w:szCs w:val="20"/>
        </w:rPr>
        <w:t xml:space="preserve">. </w:t>
      </w:r>
      <w:r w:rsidR="006A4D35" w:rsidRPr="006A4D35">
        <w:rPr>
          <w:rFonts w:ascii="Times New Roman" w:hAnsi="Times New Roman" w:cs="Times New Roman"/>
          <w:b/>
          <w:bCs/>
          <w:sz w:val="20"/>
          <w:szCs w:val="20"/>
        </w:rPr>
        <w:t>Section III</w:t>
      </w:r>
      <w:r w:rsidR="006A4D35" w:rsidRPr="006A4D35">
        <w:rPr>
          <w:rFonts w:ascii="Times New Roman" w:hAnsi="Times New Roman" w:cs="Times New Roman"/>
          <w:sz w:val="20"/>
          <w:szCs w:val="20"/>
        </w:rPr>
        <w:t xml:space="preserve"> sets out a framework for </w:t>
      </w:r>
      <w:r w:rsidR="00955D25">
        <w:rPr>
          <w:rFonts w:ascii="Times New Roman" w:hAnsi="Times New Roman" w:cs="Times New Roman"/>
          <w:sz w:val="20"/>
          <w:szCs w:val="20"/>
        </w:rPr>
        <w:t>S</w:t>
      </w:r>
      <w:r w:rsidR="006A4D35" w:rsidRPr="006A4D35">
        <w:rPr>
          <w:rFonts w:ascii="Times New Roman" w:hAnsi="Times New Roman" w:cs="Times New Roman"/>
          <w:sz w:val="20"/>
          <w:szCs w:val="20"/>
        </w:rPr>
        <w:t>tate obligations, including immediate duties, cessation of State-authorised violence, due diligence concerning private actors, investigation, access to justice, remedies, reparations and guarantees of non-repetition,</w:t>
      </w:r>
      <w:r w:rsidR="006A4D35">
        <w:rPr>
          <w:rFonts w:ascii="Times New Roman" w:hAnsi="Times New Roman" w:cs="Times New Roman"/>
          <w:sz w:val="20"/>
          <w:szCs w:val="20"/>
        </w:rPr>
        <w:t xml:space="preserve"> and the connection with specific obligations arising under</w:t>
      </w:r>
      <w:r w:rsidR="006A4D35" w:rsidRPr="006A4D35">
        <w:rPr>
          <w:rFonts w:ascii="Times New Roman" w:hAnsi="Times New Roman" w:cs="Times New Roman"/>
          <w:sz w:val="20"/>
          <w:szCs w:val="20"/>
        </w:rPr>
        <w:t xml:space="preserve"> articles 12–17, 19 and 25 of the Convention. </w:t>
      </w:r>
      <w:r w:rsidR="006A4D35" w:rsidRPr="006A4D35">
        <w:rPr>
          <w:rFonts w:ascii="Times New Roman" w:hAnsi="Times New Roman" w:cs="Times New Roman"/>
          <w:b/>
          <w:bCs/>
          <w:sz w:val="20"/>
          <w:szCs w:val="20"/>
        </w:rPr>
        <w:t>Section IV</w:t>
      </w:r>
      <w:r w:rsidR="006A4D35" w:rsidRPr="006A4D35">
        <w:rPr>
          <w:rFonts w:ascii="Times New Roman" w:hAnsi="Times New Roman" w:cs="Times New Roman"/>
          <w:sz w:val="20"/>
          <w:szCs w:val="20"/>
        </w:rPr>
        <w:t xml:space="preserve"> addresses disability-based violence amounting to torture or other ill-treatment, institutionalisation and psychiatric violence, international crimes and coercive behavioural</w:t>
      </w:r>
      <w:r w:rsidR="00B20472">
        <w:rPr>
          <w:rFonts w:ascii="Times New Roman" w:hAnsi="Times New Roman" w:cs="Times New Roman"/>
          <w:sz w:val="20"/>
          <w:szCs w:val="20"/>
        </w:rPr>
        <w:t>-</w:t>
      </w:r>
      <w:r w:rsidR="006A4D35" w:rsidRPr="006A4D35">
        <w:rPr>
          <w:rFonts w:ascii="Times New Roman" w:hAnsi="Times New Roman" w:cs="Times New Roman"/>
          <w:sz w:val="20"/>
          <w:szCs w:val="20"/>
        </w:rPr>
        <w:t xml:space="preserve">control or modification practices. </w:t>
      </w:r>
      <w:r w:rsidR="006A4D35" w:rsidRPr="006A4D35">
        <w:rPr>
          <w:rFonts w:ascii="Times New Roman" w:hAnsi="Times New Roman" w:cs="Times New Roman"/>
          <w:b/>
          <w:bCs/>
          <w:sz w:val="20"/>
          <w:szCs w:val="20"/>
        </w:rPr>
        <w:t>Section V</w:t>
      </w:r>
      <w:r w:rsidR="006A4D35" w:rsidRPr="006A4D35">
        <w:rPr>
          <w:rFonts w:ascii="Times New Roman" w:hAnsi="Times New Roman" w:cs="Times New Roman"/>
          <w:sz w:val="20"/>
          <w:szCs w:val="20"/>
        </w:rPr>
        <w:t xml:space="preserve"> considers the complementary roles of article 16(3) monitoring, article 33 independent monitoring frameworks, national preventive mechanisms, domestic regulatory and justice bodies, and international and regional mechanisms. </w:t>
      </w:r>
      <w:r w:rsidR="006A4D35" w:rsidRPr="006A4D35">
        <w:rPr>
          <w:rFonts w:ascii="Times New Roman" w:hAnsi="Times New Roman" w:cs="Times New Roman"/>
          <w:b/>
          <w:bCs/>
          <w:sz w:val="20"/>
          <w:szCs w:val="20"/>
        </w:rPr>
        <w:t>Section VI</w:t>
      </w:r>
      <w:r w:rsidR="006A4D35" w:rsidRPr="006A4D35">
        <w:rPr>
          <w:rFonts w:ascii="Times New Roman" w:hAnsi="Times New Roman" w:cs="Times New Roman"/>
          <w:sz w:val="20"/>
          <w:szCs w:val="20"/>
        </w:rPr>
        <w:t xml:space="preserve"> concludes with recommendations for a revised draft and a comprehensive, accessible and survivor-centred consultation process</w:t>
      </w:r>
      <w:r w:rsidR="006A4D35">
        <w:rPr>
          <w:rFonts w:ascii="Times New Roman" w:hAnsi="Times New Roman" w:cs="Times New Roman"/>
          <w:sz w:val="20"/>
          <w:szCs w:val="20"/>
        </w:rPr>
        <w:t xml:space="preserve"> going forward</w:t>
      </w:r>
      <w:r w:rsidR="006A4D35" w:rsidRPr="006A4D35">
        <w:rPr>
          <w:rFonts w:ascii="Times New Roman" w:hAnsi="Times New Roman" w:cs="Times New Roman"/>
          <w:sz w:val="20"/>
          <w:szCs w:val="20"/>
        </w:rPr>
        <w:t>.</w:t>
      </w:r>
    </w:p>
    <w:p w14:paraId="7CB290E4" w14:textId="212371C7" w:rsidR="0087506C" w:rsidRPr="007352CA" w:rsidRDefault="00DB7A2F" w:rsidP="00FA2955">
      <w:pPr>
        <w:pStyle w:val="Heading2"/>
      </w:pPr>
      <w:r w:rsidRPr="007352CA">
        <w:t xml:space="preserve">II. </w:t>
      </w:r>
      <w:r w:rsidR="00CE7C13" w:rsidRPr="007352CA">
        <w:t>CONCEPTUAL FRAMING</w:t>
      </w:r>
    </w:p>
    <w:p w14:paraId="77C917EB" w14:textId="30497985" w:rsidR="008F19E8" w:rsidRPr="008F19E8" w:rsidRDefault="006545CA" w:rsidP="0087506C">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While</w:t>
      </w:r>
      <w:r w:rsidR="008F19E8">
        <w:rPr>
          <w:rFonts w:ascii="Times New Roman" w:hAnsi="Times New Roman" w:cs="Times New Roman"/>
          <w:sz w:val="20"/>
          <w:szCs w:val="20"/>
        </w:rPr>
        <w:t xml:space="preserve"> we welcome the attempt to identify specific forms of disability-based violence throughout the zero draft, we believe it is important for the document to include a clear</w:t>
      </w:r>
      <w:r w:rsidR="003641A1">
        <w:rPr>
          <w:rFonts w:ascii="Times New Roman" w:hAnsi="Times New Roman" w:cs="Times New Roman"/>
          <w:sz w:val="20"/>
          <w:szCs w:val="20"/>
        </w:rPr>
        <w:t xml:space="preserve"> conceptual framework that will enable State</w:t>
      </w:r>
      <w:r w:rsidR="00955D25">
        <w:rPr>
          <w:rFonts w:ascii="Times New Roman" w:hAnsi="Times New Roman" w:cs="Times New Roman"/>
          <w:sz w:val="20"/>
          <w:szCs w:val="20"/>
        </w:rPr>
        <w:t>s</w:t>
      </w:r>
      <w:r w:rsidR="003641A1">
        <w:rPr>
          <w:rFonts w:ascii="Times New Roman" w:hAnsi="Times New Roman" w:cs="Times New Roman"/>
          <w:sz w:val="20"/>
          <w:szCs w:val="20"/>
        </w:rPr>
        <w:t xml:space="preserve"> parties to identify and address this complex set of phenomena. First, we propose a</w:t>
      </w:r>
      <w:r w:rsidR="008F19E8">
        <w:rPr>
          <w:rFonts w:ascii="Times New Roman" w:hAnsi="Times New Roman" w:cs="Times New Roman"/>
          <w:sz w:val="20"/>
          <w:szCs w:val="20"/>
        </w:rPr>
        <w:t xml:space="preserve"> definition of the concept of </w:t>
      </w:r>
      <w:r w:rsidR="009A0445">
        <w:rPr>
          <w:rFonts w:ascii="Times New Roman" w:hAnsi="Times New Roman" w:cs="Times New Roman"/>
          <w:sz w:val="20"/>
          <w:szCs w:val="20"/>
        </w:rPr>
        <w:t>“</w:t>
      </w:r>
      <w:r w:rsidR="008F19E8" w:rsidRPr="00CE7CB7">
        <w:rPr>
          <w:rFonts w:ascii="Times New Roman" w:hAnsi="Times New Roman" w:cs="Times New Roman"/>
          <w:b/>
          <w:bCs/>
          <w:sz w:val="20"/>
          <w:szCs w:val="20"/>
        </w:rPr>
        <w:t>disability-based violence</w:t>
      </w:r>
      <w:r w:rsidR="009A0445">
        <w:rPr>
          <w:rFonts w:ascii="Times New Roman" w:hAnsi="Times New Roman" w:cs="Times New Roman"/>
          <w:sz w:val="20"/>
          <w:szCs w:val="20"/>
        </w:rPr>
        <w:t>”</w:t>
      </w:r>
      <w:r w:rsidR="008F19E8">
        <w:rPr>
          <w:rFonts w:ascii="Times New Roman" w:hAnsi="Times New Roman" w:cs="Times New Roman"/>
          <w:sz w:val="20"/>
          <w:szCs w:val="20"/>
        </w:rPr>
        <w:t xml:space="preserve"> as distinct from other forms of violence which may disproportionately impact on persons with disabilities</w:t>
      </w:r>
      <w:r w:rsidR="00D91EAA">
        <w:rPr>
          <w:rFonts w:ascii="Times New Roman" w:hAnsi="Times New Roman" w:cs="Times New Roman"/>
          <w:sz w:val="20"/>
          <w:szCs w:val="20"/>
        </w:rPr>
        <w:t>.</w:t>
      </w:r>
      <w:r w:rsidR="009A0445">
        <w:rPr>
          <w:rFonts w:ascii="Times New Roman" w:hAnsi="Times New Roman" w:cs="Times New Roman"/>
          <w:sz w:val="20"/>
          <w:szCs w:val="20"/>
        </w:rPr>
        <w:t xml:space="preserve"> </w:t>
      </w:r>
      <w:r w:rsidR="003641A1">
        <w:rPr>
          <w:rFonts w:ascii="Times New Roman" w:hAnsi="Times New Roman" w:cs="Times New Roman"/>
          <w:sz w:val="20"/>
          <w:szCs w:val="20"/>
        </w:rPr>
        <w:t>Secondly</w:t>
      </w:r>
      <w:r w:rsidR="00D91EAA">
        <w:rPr>
          <w:rFonts w:ascii="Times New Roman" w:hAnsi="Times New Roman" w:cs="Times New Roman"/>
          <w:sz w:val="20"/>
          <w:szCs w:val="20"/>
        </w:rPr>
        <w:t>, the zero draft uses a wide variety of terms to refer to systems</w:t>
      </w:r>
      <w:r w:rsidR="00410A93">
        <w:rPr>
          <w:rFonts w:ascii="Times New Roman" w:hAnsi="Times New Roman" w:cs="Times New Roman"/>
          <w:sz w:val="20"/>
          <w:szCs w:val="20"/>
        </w:rPr>
        <w:t xml:space="preserve"> or structures </w:t>
      </w:r>
      <w:r w:rsidR="00D91EAA">
        <w:rPr>
          <w:rFonts w:ascii="Times New Roman" w:hAnsi="Times New Roman" w:cs="Times New Roman"/>
          <w:sz w:val="20"/>
          <w:szCs w:val="20"/>
        </w:rPr>
        <w:t>that perpetrate</w:t>
      </w:r>
      <w:r w:rsidR="006D4420">
        <w:rPr>
          <w:rFonts w:ascii="Times New Roman" w:hAnsi="Times New Roman" w:cs="Times New Roman"/>
          <w:sz w:val="20"/>
          <w:szCs w:val="20"/>
        </w:rPr>
        <w:t>, perpetuate</w:t>
      </w:r>
      <w:r w:rsidR="00D91EAA">
        <w:rPr>
          <w:rFonts w:ascii="Times New Roman" w:hAnsi="Times New Roman" w:cs="Times New Roman"/>
          <w:sz w:val="20"/>
          <w:szCs w:val="20"/>
        </w:rPr>
        <w:t xml:space="preserve"> or cause disability-based violence, however the</w:t>
      </w:r>
      <w:r w:rsidR="003641A1">
        <w:rPr>
          <w:rFonts w:ascii="Times New Roman" w:hAnsi="Times New Roman" w:cs="Times New Roman"/>
          <w:sz w:val="20"/>
          <w:szCs w:val="20"/>
        </w:rPr>
        <w:t>se</w:t>
      </w:r>
      <w:r w:rsidR="00D91EAA">
        <w:rPr>
          <w:rFonts w:ascii="Times New Roman" w:hAnsi="Times New Roman" w:cs="Times New Roman"/>
          <w:sz w:val="20"/>
          <w:szCs w:val="20"/>
        </w:rPr>
        <w:t xml:space="preserve"> </w:t>
      </w:r>
      <w:r w:rsidR="00D91EAA">
        <w:rPr>
          <w:rFonts w:ascii="Times New Roman" w:hAnsi="Times New Roman" w:cs="Times New Roman"/>
          <w:sz w:val="20"/>
          <w:szCs w:val="20"/>
        </w:rPr>
        <w:lastRenderedPageBreak/>
        <w:t>terms are currently used inconsistently</w:t>
      </w:r>
      <w:r w:rsidR="009A0445">
        <w:rPr>
          <w:rFonts w:ascii="Times New Roman" w:hAnsi="Times New Roman" w:cs="Times New Roman"/>
          <w:sz w:val="20"/>
          <w:szCs w:val="20"/>
        </w:rPr>
        <w:t>, sometimes interchangeably,</w:t>
      </w:r>
      <w:r w:rsidR="00D91EAA">
        <w:rPr>
          <w:rFonts w:ascii="Times New Roman" w:hAnsi="Times New Roman" w:cs="Times New Roman"/>
          <w:sz w:val="20"/>
          <w:szCs w:val="20"/>
        </w:rPr>
        <w:t xml:space="preserve"> and are not always clearly defined</w:t>
      </w:r>
      <w:r w:rsidR="009A0445">
        <w:rPr>
          <w:rFonts w:ascii="Times New Roman" w:hAnsi="Times New Roman" w:cs="Times New Roman"/>
          <w:sz w:val="20"/>
          <w:szCs w:val="20"/>
        </w:rPr>
        <w:t>.</w:t>
      </w:r>
      <w:r w:rsidR="00D91EAA">
        <w:rPr>
          <w:rStyle w:val="FootnoteReference"/>
          <w:rFonts w:ascii="Times New Roman" w:hAnsi="Times New Roman" w:cs="Times New Roman"/>
          <w:sz w:val="20"/>
          <w:szCs w:val="20"/>
        </w:rPr>
        <w:footnoteReference w:id="1"/>
      </w:r>
      <w:r w:rsidR="00D91EAA">
        <w:rPr>
          <w:rFonts w:ascii="Times New Roman" w:hAnsi="Times New Roman" w:cs="Times New Roman"/>
          <w:sz w:val="20"/>
          <w:szCs w:val="20"/>
        </w:rPr>
        <w:t xml:space="preserve"> </w:t>
      </w:r>
      <w:r w:rsidR="00410A93">
        <w:rPr>
          <w:rFonts w:ascii="Times New Roman" w:hAnsi="Times New Roman" w:cs="Times New Roman"/>
          <w:sz w:val="20"/>
          <w:szCs w:val="20"/>
        </w:rPr>
        <w:t>In our submission, c</w:t>
      </w:r>
      <w:r w:rsidR="00D91EAA">
        <w:rPr>
          <w:rFonts w:ascii="Times New Roman" w:hAnsi="Times New Roman" w:cs="Times New Roman"/>
          <w:sz w:val="20"/>
          <w:szCs w:val="20"/>
        </w:rPr>
        <w:t>ertain manifestations of disability-based violence emanate from inherently abusive systems of incarceration and control of persons with disabilities that are embedded in discriminatory laws, policies and practices, such as institutionalisation, guardianship, forced psychiatry, eugenics, and segregated systems of education and “care”</w:t>
      </w:r>
      <w:r w:rsidR="00410A93">
        <w:rPr>
          <w:rFonts w:ascii="Times New Roman" w:hAnsi="Times New Roman" w:cs="Times New Roman"/>
          <w:sz w:val="20"/>
          <w:szCs w:val="20"/>
        </w:rPr>
        <w:t>, and so we propose using the term “</w:t>
      </w:r>
      <w:r w:rsidR="00410A93" w:rsidRPr="00CE7CB7">
        <w:rPr>
          <w:rFonts w:ascii="Times New Roman" w:hAnsi="Times New Roman" w:cs="Times New Roman"/>
          <w:b/>
          <w:bCs/>
          <w:sz w:val="20"/>
          <w:szCs w:val="20"/>
        </w:rPr>
        <w:t>structural violence</w:t>
      </w:r>
      <w:r w:rsidR="00410A93">
        <w:rPr>
          <w:rFonts w:ascii="Times New Roman" w:hAnsi="Times New Roman" w:cs="Times New Roman"/>
          <w:sz w:val="20"/>
          <w:szCs w:val="20"/>
        </w:rPr>
        <w:t>”</w:t>
      </w:r>
      <w:r w:rsidR="003641A1">
        <w:rPr>
          <w:rFonts w:ascii="Times New Roman" w:hAnsi="Times New Roman" w:cs="Times New Roman"/>
          <w:sz w:val="20"/>
          <w:szCs w:val="20"/>
        </w:rPr>
        <w:t xml:space="preserve"> along with a draft definition</w:t>
      </w:r>
      <w:r w:rsidR="00410A93">
        <w:rPr>
          <w:rFonts w:ascii="Times New Roman" w:hAnsi="Times New Roman" w:cs="Times New Roman"/>
          <w:sz w:val="20"/>
          <w:szCs w:val="20"/>
        </w:rPr>
        <w:t>.</w:t>
      </w:r>
      <w:r w:rsidR="003641A1">
        <w:rPr>
          <w:rFonts w:ascii="Times New Roman" w:hAnsi="Times New Roman" w:cs="Times New Roman"/>
          <w:sz w:val="20"/>
          <w:szCs w:val="20"/>
        </w:rPr>
        <w:t xml:space="preserve"> The Committee may also wish to refer to the interconnected set of social practices and attitudes, whether or not formalised through law or policy, that enable structural violence, and indeed other forms of disability-based violence; we therefore propose a definition of “</w:t>
      </w:r>
      <w:r w:rsidR="003641A1" w:rsidRPr="00CE7CB7">
        <w:rPr>
          <w:rFonts w:ascii="Times New Roman" w:hAnsi="Times New Roman" w:cs="Times New Roman"/>
          <w:b/>
          <w:bCs/>
          <w:sz w:val="20"/>
          <w:szCs w:val="20"/>
        </w:rPr>
        <w:t>structural discrimination</w:t>
      </w:r>
      <w:r w:rsidR="003641A1">
        <w:rPr>
          <w:rFonts w:ascii="Times New Roman" w:hAnsi="Times New Roman" w:cs="Times New Roman"/>
          <w:sz w:val="20"/>
          <w:szCs w:val="20"/>
        </w:rPr>
        <w:t xml:space="preserve">” that may be considered. </w:t>
      </w:r>
      <w:r w:rsidR="00FB1B50">
        <w:rPr>
          <w:rFonts w:ascii="Times New Roman" w:hAnsi="Times New Roman" w:cs="Times New Roman"/>
          <w:sz w:val="20"/>
          <w:szCs w:val="20"/>
        </w:rPr>
        <w:t xml:space="preserve">In our submission, </w:t>
      </w:r>
      <w:r w:rsidR="00FB1B50" w:rsidRPr="00CE7CB7">
        <w:rPr>
          <w:rFonts w:ascii="Times New Roman" w:hAnsi="Times New Roman" w:cs="Times New Roman"/>
          <w:b/>
          <w:bCs/>
          <w:sz w:val="20"/>
          <w:szCs w:val="20"/>
        </w:rPr>
        <w:t>structural discrimination</w:t>
      </w:r>
      <w:r w:rsidR="00FB1B50" w:rsidRPr="00FB1B50">
        <w:rPr>
          <w:rFonts w:ascii="Times New Roman" w:hAnsi="Times New Roman" w:cs="Times New Roman"/>
          <w:sz w:val="20"/>
          <w:szCs w:val="20"/>
        </w:rPr>
        <w:t xml:space="preserve"> describes the systems and patterns that produce unequal status and power</w:t>
      </w:r>
      <w:r w:rsidR="00FB1B50">
        <w:rPr>
          <w:rFonts w:ascii="Times New Roman" w:hAnsi="Times New Roman" w:cs="Times New Roman"/>
          <w:sz w:val="20"/>
          <w:szCs w:val="20"/>
        </w:rPr>
        <w:t xml:space="preserve">, while </w:t>
      </w:r>
      <w:r w:rsidR="00FB1B50" w:rsidRPr="00CE7CB7">
        <w:rPr>
          <w:rFonts w:ascii="Times New Roman" w:hAnsi="Times New Roman" w:cs="Times New Roman"/>
          <w:b/>
          <w:bCs/>
          <w:sz w:val="20"/>
          <w:szCs w:val="20"/>
        </w:rPr>
        <w:t>structural violence</w:t>
      </w:r>
      <w:r w:rsidR="00FB1B50" w:rsidRPr="00FB1B50">
        <w:rPr>
          <w:rFonts w:ascii="Times New Roman" w:hAnsi="Times New Roman" w:cs="Times New Roman"/>
          <w:sz w:val="20"/>
          <w:szCs w:val="20"/>
        </w:rPr>
        <w:t xml:space="preserve"> describes the harm, coercion or deprivation caused or facilitated by those systems and patterns.</w:t>
      </w:r>
      <w:r w:rsidR="00FB1B50">
        <w:rPr>
          <w:rFonts w:ascii="Times New Roman" w:hAnsi="Times New Roman" w:cs="Times New Roman"/>
          <w:sz w:val="20"/>
          <w:szCs w:val="20"/>
        </w:rPr>
        <w:t xml:space="preserve"> </w:t>
      </w:r>
      <w:r w:rsidR="00410A93">
        <w:rPr>
          <w:rFonts w:ascii="Times New Roman" w:hAnsi="Times New Roman" w:cs="Times New Roman"/>
          <w:sz w:val="20"/>
          <w:szCs w:val="20"/>
        </w:rPr>
        <w:t xml:space="preserve">Further, some forms of disability-based violence, whether structural or not, may also amount to grave or systematic violations of the rights of persons with disabilities; to ensure </w:t>
      </w:r>
      <w:r w:rsidR="00A53490">
        <w:rPr>
          <w:rFonts w:ascii="Times New Roman" w:hAnsi="Times New Roman" w:cs="Times New Roman"/>
          <w:sz w:val="20"/>
          <w:szCs w:val="20"/>
        </w:rPr>
        <w:t>as much clarity as possible</w:t>
      </w:r>
      <w:r w:rsidR="00410A93">
        <w:rPr>
          <w:rFonts w:ascii="Times New Roman" w:hAnsi="Times New Roman" w:cs="Times New Roman"/>
          <w:sz w:val="20"/>
          <w:szCs w:val="20"/>
        </w:rPr>
        <w:t xml:space="preserve"> we recommend that the </w:t>
      </w:r>
      <w:r w:rsidR="00FC4419">
        <w:rPr>
          <w:rFonts w:ascii="Times New Roman" w:hAnsi="Times New Roman" w:cs="Times New Roman"/>
          <w:sz w:val="20"/>
          <w:szCs w:val="20"/>
        </w:rPr>
        <w:t>phrase</w:t>
      </w:r>
      <w:r w:rsidR="00410A93">
        <w:rPr>
          <w:rFonts w:ascii="Times New Roman" w:hAnsi="Times New Roman" w:cs="Times New Roman"/>
          <w:sz w:val="20"/>
          <w:szCs w:val="20"/>
        </w:rPr>
        <w:t xml:space="preserve"> “</w:t>
      </w:r>
      <w:r w:rsidR="00410A93" w:rsidRPr="00CE7CB7">
        <w:rPr>
          <w:rFonts w:ascii="Times New Roman" w:hAnsi="Times New Roman" w:cs="Times New Roman"/>
          <w:b/>
          <w:bCs/>
          <w:sz w:val="20"/>
          <w:szCs w:val="20"/>
        </w:rPr>
        <w:t xml:space="preserve">grave </w:t>
      </w:r>
      <w:r w:rsidR="00FC4419" w:rsidRPr="00CE7CB7">
        <w:rPr>
          <w:rFonts w:ascii="Times New Roman" w:hAnsi="Times New Roman" w:cs="Times New Roman"/>
          <w:b/>
          <w:bCs/>
          <w:sz w:val="20"/>
          <w:szCs w:val="20"/>
        </w:rPr>
        <w:t>or</w:t>
      </w:r>
      <w:r w:rsidR="00410A93" w:rsidRPr="00CE7CB7">
        <w:rPr>
          <w:rFonts w:ascii="Times New Roman" w:hAnsi="Times New Roman" w:cs="Times New Roman"/>
          <w:b/>
          <w:bCs/>
          <w:sz w:val="20"/>
          <w:szCs w:val="20"/>
        </w:rPr>
        <w:t xml:space="preserve"> systematic violations</w:t>
      </w:r>
      <w:r w:rsidR="00410A93">
        <w:rPr>
          <w:rFonts w:ascii="Times New Roman" w:hAnsi="Times New Roman" w:cs="Times New Roman"/>
          <w:sz w:val="20"/>
          <w:szCs w:val="20"/>
        </w:rPr>
        <w:t>”</w:t>
      </w:r>
      <w:r w:rsidR="00FC4419">
        <w:rPr>
          <w:rFonts w:ascii="Times New Roman" w:hAnsi="Times New Roman" w:cs="Times New Roman"/>
          <w:sz w:val="20"/>
          <w:szCs w:val="20"/>
        </w:rPr>
        <w:t xml:space="preserve"> and its component terms</w:t>
      </w:r>
      <w:r w:rsidR="00410A93">
        <w:rPr>
          <w:rFonts w:ascii="Times New Roman" w:hAnsi="Times New Roman" w:cs="Times New Roman"/>
          <w:sz w:val="20"/>
          <w:szCs w:val="20"/>
        </w:rPr>
        <w:t xml:space="preserve"> be consistently applied in accordance with article 6 of the Optional Protocol to the CRPD (“OP-CRPD”) and the Committee’s evolving jurisprudence thereunder.</w:t>
      </w:r>
      <w:r w:rsidR="00D91EAA">
        <w:rPr>
          <w:rFonts w:ascii="Times New Roman" w:hAnsi="Times New Roman" w:cs="Times New Roman"/>
          <w:sz w:val="20"/>
          <w:szCs w:val="20"/>
        </w:rPr>
        <w:br/>
      </w:r>
    </w:p>
    <w:p w14:paraId="3F1B76C0" w14:textId="1F38CF93" w:rsidR="0087506C" w:rsidRDefault="6964BB82" w:rsidP="0087506C">
      <w:pPr>
        <w:pStyle w:val="ListParagraph"/>
        <w:numPr>
          <w:ilvl w:val="0"/>
          <w:numId w:val="1"/>
        </w:numPr>
        <w:rPr>
          <w:rFonts w:ascii="Times New Roman" w:hAnsi="Times New Roman" w:cs="Times New Roman"/>
          <w:sz w:val="20"/>
          <w:szCs w:val="20"/>
        </w:rPr>
      </w:pPr>
      <w:r w:rsidRPr="41FD223D">
        <w:rPr>
          <w:rFonts w:ascii="Times New Roman" w:hAnsi="Times New Roman" w:cs="Times New Roman"/>
          <w:b/>
          <w:bCs/>
          <w:sz w:val="20"/>
          <w:szCs w:val="20"/>
        </w:rPr>
        <w:t xml:space="preserve">Disability-based violence </w:t>
      </w:r>
      <w:r w:rsidR="1C0CFA6A" w:rsidRPr="41FD223D">
        <w:rPr>
          <w:rFonts w:ascii="Times New Roman" w:hAnsi="Times New Roman" w:cs="Times New Roman"/>
          <w:sz w:val="20"/>
          <w:szCs w:val="20"/>
        </w:rPr>
        <w:t>may</w:t>
      </w:r>
      <w:r w:rsidR="7496E2FF" w:rsidRPr="41FD223D">
        <w:rPr>
          <w:rFonts w:ascii="Times New Roman" w:hAnsi="Times New Roman" w:cs="Times New Roman"/>
          <w:sz w:val="20"/>
          <w:szCs w:val="20"/>
        </w:rPr>
        <w:t xml:space="preserve"> be defined as any act, omission, law, policy, </w:t>
      </w:r>
      <w:r w:rsidR="62CCB96A" w:rsidRPr="41FD223D">
        <w:rPr>
          <w:rFonts w:ascii="Times New Roman" w:hAnsi="Times New Roman" w:cs="Times New Roman"/>
          <w:sz w:val="20"/>
          <w:szCs w:val="20"/>
        </w:rPr>
        <w:t xml:space="preserve">custom, </w:t>
      </w:r>
      <w:r w:rsidR="7496E2FF" w:rsidRPr="41FD223D">
        <w:rPr>
          <w:rFonts w:ascii="Times New Roman" w:hAnsi="Times New Roman" w:cs="Times New Roman"/>
          <w:sz w:val="20"/>
          <w:szCs w:val="20"/>
        </w:rPr>
        <w:t xml:space="preserve">practice or structural arrangement that results in, or is likely to result in, physical, </w:t>
      </w:r>
      <w:r w:rsidR="1C0CFA6A" w:rsidRPr="41FD223D">
        <w:rPr>
          <w:rFonts w:ascii="Times New Roman" w:hAnsi="Times New Roman" w:cs="Times New Roman"/>
          <w:sz w:val="20"/>
          <w:szCs w:val="20"/>
        </w:rPr>
        <w:t>psychological</w:t>
      </w:r>
      <w:r w:rsidR="7496E2FF" w:rsidRPr="41FD223D">
        <w:rPr>
          <w:rFonts w:ascii="Times New Roman" w:hAnsi="Times New Roman" w:cs="Times New Roman"/>
          <w:sz w:val="20"/>
          <w:szCs w:val="20"/>
        </w:rPr>
        <w:t>, sexual, economic or social harm, suffering, coercion, deprivation or violation</w:t>
      </w:r>
      <w:r w:rsidR="1C0CFA6A" w:rsidRPr="41FD223D">
        <w:rPr>
          <w:rFonts w:ascii="Times New Roman" w:hAnsi="Times New Roman" w:cs="Times New Roman"/>
          <w:sz w:val="20"/>
          <w:szCs w:val="20"/>
        </w:rPr>
        <w:t xml:space="preserve"> </w:t>
      </w:r>
      <w:r w:rsidR="7496E2FF" w:rsidRPr="41FD223D">
        <w:rPr>
          <w:rFonts w:ascii="Times New Roman" w:hAnsi="Times New Roman" w:cs="Times New Roman"/>
          <w:sz w:val="20"/>
          <w:szCs w:val="20"/>
        </w:rPr>
        <w:t>o</w:t>
      </w:r>
      <w:r w:rsidR="1C0CFA6A" w:rsidRPr="41FD223D">
        <w:rPr>
          <w:rFonts w:ascii="Times New Roman" w:hAnsi="Times New Roman" w:cs="Times New Roman"/>
          <w:sz w:val="20"/>
          <w:szCs w:val="20"/>
        </w:rPr>
        <w:t>f</w:t>
      </w:r>
      <w:r w:rsidR="7496E2FF" w:rsidRPr="41FD223D">
        <w:rPr>
          <w:rFonts w:ascii="Times New Roman" w:hAnsi="Times New Roman" w:cs="Times New Roman"/>
          <w:sz w:val="20"/>
          <w:szCs w:val="20"/>
        </w:rPr>
        <w:t xml:space="preserve"> bodily or mental integrity </w:t>
      </w:r>
      <w:r w:rsidR="1C0CFA6A" w:rsidRPr="41FD223D">
        <w:rPr>
          <w:rFonts w:ascii="Times New Roman" w:hAnsi="Times New Roman" w:cs="Times New Roman"/>
          <w:sz w:val="20"/>
          <w:szCs w:val="20"/>
        </w:rPr>
        <w:t>of</w:t>
      </w:r>
      <w:r w:rsidR="7496E2FF" w:rsidRPr="41FD223D">
        <w:rPr>
          <w:rFonts w:ascii="Times New Roman" w:hAnsi="Times New Roman" w:cs="Times New Roman"/>
          <w:sz w:val="20"/>
          <w:szCs w:val="20"/>
        </w:rPr>
        <w:t xml:space="preserve"> persons with disabilities on the basis of disability</w:t>
      </w:r>
      <w:r w:rsidR="1C0CFA6A" w:rsidRPr="41FD223D">
        <w:rPr>
          <w:rFonts w:ascii="Times New Roman" w:hAnsi="Times New Roman" w:cs="Times New Roman"/>
          <w:sz w:val="20"/>
          <w:szCs w:val="20"/>
        </w:rPr>
        <w:t xml:space="preserve"> alone or in combination with any other ground. Disability-based violence </w:t>
      </w:r>
      <w:r w:rsidR="54781C6D" w:rsidRPr="41FD223D">
        <w:rPr>
          <w:rFonts w:ascii="Times New Roman" w:hAnsi="Times New Roman" w:cs="Times New Roman"/>
          <w:sz w:val="20"/>
          <w:szCs w:val="20"/>
        </w:rPr>
        <w:t>may take</w:t>
      </w:r>
      <w:r w:rsidR="1C0CFA6A" w:rsidRPr="41FD223D">
        <w:rPr>
          <w:rFonts w:ascii="Times New Roman" w:hAnsi="Times New Roman" w:cs="Times New Roman"/>
          <w:sz w:val="20"/>
          <w:szCs w:val="20"/>
        </w:rPr>
        <w:t xml:space="preserve"> interpersonal</w:t>
      </w:r>
      <w:r w:rsidR="1CBCBE28" w:rsidRPr="41FD223D">
        <w:rPr>
          <w:rFonts w:ascii="Times New Roman" w:hAnsi="Times New Roman" w:cs="Times New Roman"/>
          <w:sz w:val="20"/>
          <w:szCs w:val="20"/>
        </w:rPr>
        <w:t xml:space="preserve"> or </w:t>
      </w:r>
      <w:r w:rsidR="1C0CFA6A" w:rsidRPr="41FD223D">
        <w:rPr>
          <w:rFonts w:ascii="Times New Roman" w:hAnsi="Times New Roman" w:cs="Times New Roman"/>
          <w:sz w:val="20"/>
          <w:szCs w:val="20"/>
        </w:rPr>
        <w:t xml:space="preserve">structural </w:t>
      </w:r>
      <w:r w:rsidR="1CBCBE28" w:rsidRPr="41FD223D">
        <w:rPr>
          <w:rFonts w:ascii="Times New Roman" w:hAnsi="Times New Roman" w:cs="Times New Roman"/>
          <w:sz w:val="20"/>
          <w:szCs w:val="20"/>
        </w:rPr>
        <w:t>forms, may also amount to grave or systematic violations of the Convention</w:t>
      </w:r>
      <w:r w:rsidR="54781C6D" w:rsidRPr="41FD223D">
        <w:rPr>
          <w:rFonts w:ascii="Times New Roman" w:hAnsi="Times New Roman" w:cs="Times New Roman"/>
          <w:sz w:val="20"/>
          <w:szCs w:val="20"/>
        </w:rPr>
        <w:t xml:space="preserve">, and may </w:t>
      </w:r>
      <w:r w:rsidR="1C0CFA6A" w:rsidRPr="41FD223D">
        <w:rPr>
          <w:rFonts w:ascii="Times New Roman" w:hAnsi="Times New Roman" w:cs="Times New Roman"/>
          <w:sz w:val="20"/>
          <w:szCs w:val="20"/>
        </w:rPr>
        <w:t xml:space="preserve">occur in public or private spheres, </w:t>
      </w:r>
      <w:r w:rsidR="25AC9ED5" w:rsidRPr="41FD223D">
        <w:rPr>
          <w:rFonts w:ascii="Times New Roman" w:hAnsi="Times New Roman" w:cs="Times New Roman"/>
          <w:sz w:val="20"/>
          <w:szCs w:val="20"/>
        </w:rPr>
        <w:t>or</w:t>
      </w:r>
      <w:r w:rsidR="1C0CFA6A" w:rsidRPr="41FD223D">
        <w:rPr>
          <w:rFonts w:ascii="Times New Roman" w:hAnsi="Times New Roman" w:cs="Times New Roman"/>
          <w:sz w:val="20"/>
          <w:szCs w:val="20"/>
        </w:rPr>
        <w:t xml:space="preserve"> online</w:t>
      </w:r>
      <w:r w:rsidR="25AC9ED5" w:rsidRPr="41FD223D">
        <w:rPr>
          <w:rFonts w:ascii="Times New Roman" w:hAnsi="Times New Roman" w:cs="Times New Roman"/>
          <w:sz w:val="20"/>
          <w:szCs w:val="20"/>
        </w:rPr>
        <w:t xml:space="preserve"> in digital spaces</w:t>
      </w:r>
      <w:r w:rsidR="1C0CFA6A" w:rsidRPr="41FD223D">
        <w:rPr>
          <w:rFonts w:ascii="Times New Roman" w:hAnsi="Times New Roman" w:cs="Times New Roman"/>
          <w:sz w:val="20"/>
          <w:szCs w:val="20"/>
        </w:rPr>
        <w:t>. It encompasses violence perpetrated, condoned, tolerate</w:t>
      </w:r>
      <w:r w:rsidR="0A00B95B" w:rsidRPr="41FD223D">
        <w:rPr>
          <w:rFonts w:ascii="Times New Roman" w:hAnsi="Times New Roman" w:cs="Times New Roman"/>
          <w:sz w:val="20"/>
          <w:szCs w:val="20"/>
        </w:rPr>
        <w:t>d</w:t>
      </w:r>
      <w:r w:rsidR="1C0CFA6A" w:rsidRPr="41FD223D">
        <w:rPr>
          <w:rFonts w:ascii="Times New Roman" w:hAnsi="Times New Roman" w:cs="Times New Roman"/>
          <w:sz w:val="20"/>
          <w:szCs w:val="20"/>
        </w:rPr>
        <w:t>, facilit</w:t>
      </w:r>
      <w:r w:rsidR="0A00B95B" w:rsidRPr="41FD223D">
        <w:rPr>
          <w:rFonts w:ascii="Times New Roman" w:hAnsi="Times New Roman" w:cs="Times New Roman"/>
          <w:sz w:val="20"/>
          <w:szCs w:val="20"/>
        </w:rPr>
        <w:t>ated</w:t>
      </w:r>
      <w:r w:rsidR="1C0CFA6A" w:rsidRPr="41FD223D">
        <w:rPr>
          <w:rFonts w:ascii="Times New Roman" w:hAnsi="Times New Roman" w:cs="Times New Roman"/>
          <w:sz w:val="20"/>
          <w:szCs w:val="20"/>
        </w:rPr>
        <w:t xml:space="preserve"> or legitimised by the </w:t>
      </w:r>
      <w:r w:rsidR="54781C6D" w:rsidRPr="41FD223D">
        <w:rPr>
          <w:rFonts w:ascii="Times New Roman" w:hAnsi="Times New Roman" w:cs="Times New Roman"/>
          <w:sz w:val="20"/>
          <w:szCs w:val="20"/>
        </w:rPr>
        <w:t>S</w:t>
      </w:r>
      <w:r w:rsidR="1C0CFA6A" w:rsidRPr="41FD223D">
        <w:rPr>
          <w:rFonts w:ascii="Times New Roman" w:hAnsi="Times New Roman" w:cs="Times New Roman"/>
          <w:sz w:val="20"/>
          <w:szCs w:val="20"/>
        </w:rPr>
        <w:t xml:space="preserve">tate </w:t>
      </w:r>
      <w:r w:rsidR="54781C6D" w:rsidRPr="41FD223D">
        <w:rPr>
          <w:rFonts w:ascii="Times New Roman" w:hAnsi="Times New Roman" w:cs="Times New Roman"/>
          <w:sz w:val="20"/>
          <w:szCs w:val="20"/>
        </w:rPr>
        <w:t>or</w:t>
      </w:r>
      <w:r w:rsidR="1C0CFA6A" w:rsidRPr="41FD223D">
        <w:rPr>
          <w:rFonts w:ascii="Times New Roman" w:hAnsi="Times New Roman" w:cs="Times New Roman"/>
          <w:sz w:val="20"/>
          <w:szCs w:val="20"/>
        </w:rPr>
        <w:t xml:space="preserve"> its authorities, private actors, families, service providers, or any social systems</w:t>
      </w:r>
      <w:r w:rsidR="54781C6D" w:rsidRPr="41FD223D">
        <w:rPr>
          <w:rFonts w:ascii="Times New Roman" w:hAnsi="Times New Roman" w:cs="Times New Roman"/>
          <w:sz w:val="20"/>
          <w:szCs w:val="20"/>
        </w:rPr>
        <w:t xml:space="preserve"> or programmes</w:t>
      </w:r>
      <w:r w:rsidR="1C0CFA6A" w:rsidRPr="41FD223D">
        <w:rPr>
          <w:rFonts w:ascii="Times New Roman" w:hAnsi="Times New Roman" w:cs="Times New Roman"/>
          <w:sz w:val="20"/>
          <w:szCs w:val="20"/>
        </w:rPr>
        <w:t xml:space="preserve"> grounded in ableism, paternalism, segregation</w:t>
      </w:r>
      <w:r w:rsidR="0A00B95B" w:rsidRPr="41FD223D">
        <w:rPr>
          <w:rFonts w:ascii="Times New Roman" w:hAnsi="Times New Roman" w:cs="Times New Roman"/>
          <w:sz w:val="20"/>
          <w:szCs w:val="20"/>
        </w:rPr>
        <w:t>, control, discrimination, denial o</w:t>
      </w:r>
      <w:r w:rsidR="54781C6D" w:rsidRPr="41FD223D">
        <w:rPr>
          <w:rFonts w:ascii="Times New Roman" w:hAnsi="Times New Roman" w:cs="Times New Roman"/>
          <w:sz w:val="20"/>
          <w:szCs w:val="20"/>
        </w:rPr>
        <w:t>f</w:t>
      </w:r>
      <w:r w:rsidR="0A00B95B" w:rsidRPr="41FD223D">
        <w:rPr>
          <w:rFonts w:ascii="Times New Roman" w:hAnsi="Times New Roman" w:cs="Times New Roman"/>
          <w:sz w:val="20"/>
          <w:szCs w:val="20"/>
        </w:rPr>
        <w:t xml:space="preserve"> autonomy, the use of force or coercion, on the basis of disability. It may consist of </w:t>
      </w:r>
      <w:r w:rsidR="54781C6D" w:rsidRPr="41FD223D">
        <w:rPr>
          <w:rFonts w:ascii="Times New Roman" w:hAnsi="Times New Roman" w:cs="Times New Roman"/>
          <w:sz w:val="20"/>
          <w:szCs w:val="20"/>
        </w:rPr>
        <w:t xml:space="preserve">a </w:t>
      </w:r>
      <w:r w:rsidR="0A00B95B" w:rsidRPr="41FD223D">
        <w:rPr>
          <w:rFonts w:ascii="Times New Roman" w:hAnsi="Times New Roman" w:cs="Times New Roman"/>
          <w:sz w:val="20"/>
          <w:szCs w:val="20"/>
        </w:rPr>
        <w:t>single act, repeated conduct or practices,</w:t>
      </w:r>
      <w:r w:rsidR="54781C6D" w:rsidRPr="41FD223D">
        <w:rPr>
          <w:rFonts w:ascii="Times New Roman" w:hAnsi="Times New Roman" w:cs="Times New Roman"/>
          <w:sz w:val="20"/>
          <w:szCs w:val="20"/>
        </w:rPr>
        <w:t xml:space="preserve"> or</w:t>
      </w:r>
      <w:r w:rsidR="0A00B95B" w:rsidRPr="41FD223D">
        <w:rPr>
          <w:rFonts w:ascii="Times New Roman" w:hAnsi="Times New Roman" w:cs="Times New Roman"/>
          <w:sz w:val="20"/>
          <w:szCs w:val="20"/>
        </w:rPr>
        <w:t xml:space="preserve"> conditions of deprivation or exclusion</w:t>
      </w:r>
      <w:r w:rsidR="00EC2D59">
        <w:rPr>
          <w:rFonts w:ascii="Times New Roman" w:hAnsi="Times New Roman" w:cs="Times New Roman"/>
          <w:sz w:val="20"/>
          <w:szCs w:val="20"/>
        </w:rPr>
        <w:t xml:space="preserve">, </w:t>
      </w:r>
      <w:r w:rsidR="00C43A63">
        <w:rPr>
          <w:rFonts w:ascii="Times New Roman" w:hAnsi="Times New Roman" w:cs="Times New Roman"/>
          <w:sz w:val="20"/>
          <w:szCs w:val="20"/>
        </w:rPr>
        <w:t>and encompasses neglect or negligent treatment of children with disabilities</w:t>
      </w:r>
      <w:r w:rsidR="0A00B95B" w:rsidRPr="41FD223D">
        <w:rPr>
          <w:rFonts w:ascii="Times New Roman" w:hAnsi="Times New Roman" w:cs="Times New Roman"/>
          <w:sz w:val="20"/>
          <w:szCs w:val="20"/>
        </w:rPr>
        <w:t>,</w:t>
      </w:r>
      <w:r w:rsidR="00600245">
        <w:rPr>
          <w:rStyle w:val="FootnoteReference"/>
          <w:rFonts w:ascii="Times New Roman" w:hAnsi="Times New Roman" w:cs="Times New Roman"/>
          <w:sz w:val="20"/>
          <w:szCs w:val="20"/>
        </w:rPr>
        <w:footnoteReference w:id="2"/>
      </w:r>
      <w:r w:rsidR="0A00B95B" w:rsidRPr="41FD223D">
        <w:rPr>
          <w:rFonts w:ascii="Times New Roman" w:hAnsi="Times New Roman" w:cs="Times New Roman"/>
          <w:sz w:val="20"/>
          <w:szCs w:val="20"/>
        </w:rPr>
        <w:t xml:space="preserve"> </w:t>
      </w:r>
      <w:r w:rsidR="00521750">
        <w:rPr>
          <w:rFonts w:ascii="Times New Roman" w:hAnsi="Times New Roman" w:cs="Times New Roman"/>
          <w:sz w:val="20"/>
          <w:szCs w:val="20"/>
        </w:rPr>
        <w:t>harmful practices</w:t>
      </w:r>
      <w:r w:rsidR="00900BBD">
        <w:rPr>
          <w:rFonts w:ascii="Times New Roman" w:hAnsi="Times New Roman" w:cs="Times New Roman"/>
          <w:sz w:val="20"/>
          <w:szCs w:val="20"/>
        </w:rPr>
        <w:t xml:space="preserve"> against women and girls with disabilities,</w:t>
      </w:r>
      <w:r w:rsidR="00900BBD">
        <w:rPr>
          <w:rStyle w:val="FootnoteReference"/>
          <w:rFonts w:ascii="Times New Roman" w:hAnsi="Times New Roman" w:cs="Times New Roman"/>
          <w:sz w:val="20"/>
          <w:szCs w:val="20"/>
        </w:rPr>
        <w:footnoteReference w:id="3"/>
      </w:r>
      <w:r w:rsidR="00900BBD">
        <w:rPr>
          <w:rFonts w:ascii="Times New Roman" w:hAnsi="Times New Roman" w:cs="Times New Roman"/>
          <w:sz w:val="20"/>
          <w:szCs w:val="20"/>
        </w:rPr>
        <w:t xml:space="preserve"> </w:t>
      </w:r>
      <w:r w:rsidR="0A00B95B" w:rsidRPr="41FD223D">
        <w:rPr>
          <w:rFonts w:ascii="Times New Roman" w:hAnsi="Times New Roman" w:cs="Times New Roman"/>
          <w:sz w:val="20"/>
          <w:szCs w:val="20"/>
        </w:rPr>
        <w:t>and may amount to structural violence. It includes acts and omissions</w:t>
      </w:r>
      <w:r w:rsidR="21377D31" w:rsidRPr="41FD223D">
        <w:rPr>
          <w:rFonts w:ascii="Times New Roman" w:hAnsi="Times New Roman" w:cs="Times New Roman"/>
          <w:sz w:val="20"/>
          <w:szCs w:val="20"/>
        </w:rPr>
        <w:t xml:space="preserve"> where they result in, or create a foreseeable risk of, the forms of harm, suffering, coercion, deprivation or violation of integrity described above, including by</w:t>
      </w:r>
      <w:r w:rsidR="0A00B95B" w:rsidRPr="41FD223D">
        <w:rPr>
          <w:rFonts w:ascii="Times New Roman" w:hAnsi="Times New Roman" w:cs="Times New Roman"/>
          <w:sz w:val="20"/>
          <w:szCs w:val="20"/>
        </w:rPr>
        <w:t xml:space="preserve"> </w:t>
      </w:r>
      <w:r w:rsidR="21377D31" w:rsidRPr="41FD223D">
        <w:rPr>
          <w:rFonts w:ascii="Times New Roman" w:hAnsi="Times New Roman" w:cs="Times New Roman"/>
          <w:sz w:val="20"/>
          <w:szCs w:val="20"/>
        </w:rPr>
        <w:t>creating, perpetuating</w:t>
      </w:r>
      <w:r w:rsidR="0A00B95B" w:rsidRPr="41FD223D">
        <w:rPr>
          <w:rFonts w:ascii="Times New Roman" w:hAnsi="Times New Roman" w:cs="Times New Roman"/>
          <w:sz w:val="20"/>
          <w:szCs w:val="20"/>
        </w:rPr>
        <w:t xml:space="preserve"> or normalis</w:t>
      </w:r>
      <w:r w:rsidR="21377D31" w:rsidRPr="41FD223D">
        <w:rPr>
          <w:rFonts w:ascii="Times New Roman" w:hAnsi="Times New Roman" w:cs="Times New Roman"/>
          <w:sz w:val="20"/>
          <w:szCs w:val="20"/>
        </w:rPr>
        <w:t>ing</w:t>
      </w:r>
      <w:r w:rsidR="0A00B95B" w:rsidRPr="41FD223D">
        <w:rPr>
          <w:rFonts w:ascii="Times New Roman" w:hAnsi="Times New Roman" w:cs="Times New Roman"/>
          <w:sz w:val="20"/>
          <w:szCs w:val="20"/>
        </w:rPr>
        <w:t xml:space="preserve"> dependency, subordination, isolation, fear, humiliation, degradation, exploitation or denial of </w:t>
      </w:r>
      <w:r w:rsidR="54781C6D" w:rsidRPr="41FD223D">
        <w:rPr>
          <w:rFonts w:ascii="Times New Roman" w:hAnsi="Times New Roman" w:cs="Times New Roman"/>
          <w:sz w:val="20"/>
          <w:szCs w:val="20"/>
        </w:rPr>
        <w:t xml:space="preserve">the </w:t>
      </w:r>
      <w:r w:rsidR="0A00B95B" w:rsidRPr="41FD223D">
        <w:rPr>
          <w:rFonts w:ascii="Times New Roman" w:hAnsi="Times New Roman" w:cs="Times New Roman"/>
          <w:sz w:val="20"/>
          <w:szCs w:val="20"/>
        </w:rPr>
        <w:t>equal enjoyment of rights under the Convention.</w:t>
      </w:r>
      <w:r w:rsidR="0087506C">
        <w:br/>
      </w:r>
    </w:p>
    <w:p w14:paraId="43742859" w14:textId="1472A714" w:rsidR="0087506C" w:rsidRPr="001C690C" w:rsidRDefault="003641A1" w:rsidP="0087506C">
      <w:pPr>
        <w:pStyle w:val="ListParagraph"/>
        <w:numPr>
          <w:ilvl w:val="0"/>
          <w:numId w:val="1"/>
        </w:numPr>
        <w:rPr>
          <w:rFonts w:ascii="Times New Roman" w:hAnsi="Times New Roman" w:cs="Times New Roman"/>
          <w:sz w:val="20"/>
          <w:szCs w:val="20"/>
        </w:rPr>
      </w:pPr>
      <w:r w:rsidRPr="00CE7CB7">
        <w:rPr>
          <w:rFonts w:ascii="Times New Roman" w:hAnsi="Times New Roman" w:cs="Times New Roman"/>
          <w:b/>
          <w:bCs/>
          <w:sz w:val="20"/>
          <w:szCs w:val="20"/>
        </w:rPr>
        <w:t>Structural violence</w:t>
      </w:r>
      <w:r w:rsidR="00A53490">
        <w:rPr>
          <w:rFonts w:ascii="Times New Roman" w:hAnsi="Times New Roman" w:cs="Times New Roman"/>
          <w:sz w:val="20"/>
          <w:szCs w:val="20"/>
        </w:rPr>
        <w:t xml:space="preserve">, </w:t>
      </w:r>
      <w:r>
        <w:rPr>
          <w:rFonts w:ascii="Times New Roman" w:hAnsi="Times New Roman" w:cs="Times New Roman"/>
          <w:sz w:val="20"/>
          <w:szCs w:val="20"/>
        </w:rPr>
        <w:t>as it applies to the concept of disability-based violence</w:t>
      </w:r>
      <w:r w:rsidR="00A53490">
        <w:rPr>
          <w:rFonts w:ascii="Times New Roman" w:hAnsi="Times New Roman" w:cs="Times New Roman"/>
          <w:sz w:val="20"/>
          <w:szCs w:val="20"/>
        </w:rPr>
        <w:t xml:space="preserve">, is a form of violence where </w:t>
      </w:r>
      <w:r w:rsidR="00FB1B50">
        <w:rPr>
          <w:rFonts w:ascii="Times New Roman" w:hAnsi="Times New Roman" w:cs="Times New Roman"/>
          <w:sz w:val="20"/>
          <w:szCs w:val="20"/>
        </w:rPr>
        <w:t>laws, policies, institutions, systems or structural arrangements</w:t>
      </w:r>
      <w:r w:rsidR="00A53490">
        <w:rPr>
          <w:rFonts w:ascii="Times New Roman" w:hAnsi="Times New Roman" w:cs="Times New Roman"/>
          <w:sz w:val="20"/>
          <w:szCs w:val="20"/>
        </w:rPr>
        <w:t xml:space="preserve"> cause</w:t>
      </w:r>
      <w:r>
        <w:rPr>
          <w:rFonts w:ascii="Times New Roman" w:hAnsi="Times New Roman" w:cs="Times New Roman"/>
          <w:sz w:val="20"/>
          <w:szCs w:val="20"/>
        </w:rPr>
        <w:t xml:space="preserve"> physical, psychological, sexual, economic or social harm or suffering </w:t>
      </w:r>
      <w:r w:rsidR="00A53490">
        <w:rPr>
          <w:rFonts w:ascii="Times New Roman" w:hAnsi="Times New Roman" w:cs="Times New Roman"/>
          <w:sz w:val="20"/>
          <w:szCs w:val="20"/>
        </w:rPr>
        <w:t>to persons with disabilities</w:t>
      </w:r>
      <w:r w:rsidR="000B2BBC">
        <w:rPr>
          <w:rFonts w:ascii="Times New Roman" w:hAnsi="Times New Roman" w:cs="Times New Roman"/>
          <w:sz w:val="20"/>
          <w:szCs w:val="20"/>
        </w:rPr>
        <w:t xml:space="preserve">. </w:t>
      </w:r>
      <w:r w:rsidR="00A53490">
        <w:rPr>
          <w:rFonts w:ascii="Times New Roman" w:hAnsi="Times New Roman" w:cs="Times New Roman"/>
          <w:sz w:val="20"/>
          <w:szCs w:val="20"/>
        </w:rPr>
        <w:t>Structural violence is a manifestation of structural discrimination that is embedded in</w:t>
      </w:r>
      <w:r w:rsidR="000B2BBC">
        <w:rPr>
          <w:rFonts w:ascii="Times New Roman" w:hAnsi="Times New Roman" w:cs="Times New Roman"/>
          <w:sz w:val="20"/>
          <w:szCs w:val="20"/>
        </w:rPr>
        <w:t xml:space="preserve"> laws, policies, institutional arrangements, social practices or systems grounded in ableism, paternalism, coercion, segregation, exclusion or denial of autonomy, or the creation or perpetuation of conditions that impair di</w:t>
      </w:r>
      <w:r w:rsidR="00A53490">
        <w:rPr>
          <w:rFonts w:ascii="Times New Roman" w:hAnsi="Times New Roman" w:cs="Times New Roman"/>
          <w:sz w:val="20"/>
          <w:szCs w:val="20"/>
        </w:rPr>
        <w:t xml:space="preserve">gnity, equality, liberty, bodily or mental integrity, independent living, or full participation in society of persons with disabilities. It includes institutionalisation on the basis of disability, guardianship and other substitute decision-making systems, forced psychiatry and coercive mental health systems, eugenics programmes targeted at persons with disabilities or impairments, and segregated systems of ‘care’ or education. Structural violence may be continuous, normalised or invisible within social structures or social institutions, and may intersect with other forms of violence and </w:t>
      </w:r>
      <w:r w:rsidR="00A53490">
        <w:rPr>
          <w:rFonts w:ascii="Times New Roman" w:hAnsi="Times New Roman" w:cs="Times New Roman"/>
          <w:sz w:val="20"/>
          <w:szCs w:val="20"/>
        </w:rPr>
        <w:lastRenderedPageBreak/>
        <w:t>discrimination.</w:t>
      </w:r>
      <w:r w:rsidR="0087506C" w:rsidRPr="001C690C">
        <w:rPr>
          <w:rFonts w:ascii="Times New Roman" w:hAnsi="Times New Roman" w:cs="Times New Roman"/>
          <w:sz w:val="20"/>
          <w:szCs w:val="20"/>
        </w:rPr>
        <w:br/>
      </w:r>
    </w:p>
    <w:p w14:paraId="0B03747D" w14:textId="39D78AD3" w:rsidR="00FC4419" w:rsidRDefault="4E7737F1" w:rsidP="0087506C">
      <w:pPr>
        <w:pStyle w:val="ListParagraph"/>
        <w:numPr>
          <w:ilvl w:val="0"/>
          <w:numId w:val="1"/>
        </w:numPr>
        <w:rPr>
          <w:rFonts w:ascii="Times New Roman" w:hAnsi="Times New Roman" w:cs="Times New Roman"/>
          <w:sz w:val="20"/>
          <w:szCs w:val="20"/>
        </w:rPr>
      </w:pPr>
      <w:r w:rsidRPr="11F33801">
        <w:rPr>
          <w:rFonts w:ascii="Times New Roman" w:hAnsi="Times New Roman" w:cs="Times New Roman"/>
          <w:b/>
          <w:bCs/>
          <w:sz w:val="20"/>
          <w:szCs w:val="20"/>
        </w:rPr>
        <w:t>Structural discrimination</w:t>
      </w:r>
      <w:r w:rsidR="00A53490" w:rsidRPr="11F33801">
        <w:rPr>
          <w:rFonts w:ascii="Times New Roman" w:hAnsi="Times New Roman" w:cs="Times New Roman"/>
          <w:sz w:val="20"/>
          <w:szCs w:val="20"/>
        </w:rPr>
        <w:t xml:space="preserve"> may be considered as </w:t>
      </w:r>
      <w:r w:rsidR="786811DC" w:rsidRPr="11F33801">
        <w:rPr>
          <w:rFonts w:ascii="Times New Roman" w:hAnsi="Times New Roman" w:cs="Times New Roman"/>
          <w:sz w:val="20"/>
          <w:szCs w:val="20"/>
        </w:rPr>
        <w:t xml:space="preserve">the combination of laws, policies, institutional arrangements, norms, practices, attitudes and economic systems that create, perpetuate or reinforce disadvantage, exclusion, subordination, dependency or unequal power relations for persons with disabilities, including disability-based violence. Structural discrimination </w:t>
      </w:r>
      <w:r w:rsidR="70D43344" w:rsidRPr="11F33801">
        <w:rPr>
          <w:rFonts w:ascii="Times New Roman" w:hAnsi="Times New Roman" w:cs="Times New Roman"/>
          <w:sz w:val="20"/>
          <w:szCs w:val="20"/>
        </w:rPr>
        <w:t>against</w:t>
      </w:r>
      <w:r w:rsidR="786811DC" w:rsidRPr="11F33801">
        <w:rPr>
          <w:rFonts w:ascii="Times New Roman" w:hAnsi="Times New Roman" w:cs="Times New Roman"/>
          <w:sz w:val="20"/>
          <w:szCs w:val="20"/>
        </w:rPr>
        <w:t xml:space="preserve"> persons with disabilities operates through ableism, segregation, paternalism, stigma, exclusion from community life and unequal access to rights, resources, support, justice and participation in public life. Structural discrimination may be embedded in social, legal, medical, economic or other social structures or systems for the population in general, or for persons with disabilities specifically.</w:t>
      </w:r>
      <w:r w:rsidR="0087506C">
        <w:br/>
      </w:r>
    </w:p>
    <w:p w14:paraId="7C8A0A33" w14:textId="1553C3C5" w:rsidR="0087506C" w:rsidRDefault="00FC4419" w:rsidP="0087506C">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We propose that the phrase “</w:t>
      </w:r>
      <w:r w:rsidRPr="00CE7CB7">
        <w:rPr>
          <w:rFonts w:ascii="Times New Roman" w:hAnsi="Times New Roman" w:cs="Times New Roman"/>
          <w:b/>
          <w:bCs/>
          <w:sz w:val="20"/>
          <w:szCs w:val="20"/>
        </w:rPr>
        <w:t>grave or systematic violations</w:t>
      </w:r>
      <w:r>
        <w:rPr>
          <w:rFonts w:ascii="Times New Roman" w:hAnsi="Times New Roman" w:cs="Times New Roman"/>
          <w:sz w:val="20"/>
          <w:szCs w:val="20"/>
        </w:rPr>
        <w:t>”, and the individual terms “</w:t>
      </w:r>
      <w:r w:rsidRPr="00CE7CB7">
        <w:rPr>
          <w:rFonts w:ascii="Times New Roman" w:hAnsi="Times New Roman" w:cs="Times New Roman"/>
          <w:b/>
          <w:bCs/>
          <w:sz w:val="20"/>
          <w:szCs w:val="20"/>
        </w:rPr>
        <w:t>grave</w:t>
      </w:r>
      <w:r>
        <w:rPr>
          <w:rFonts w:ascii="Times New Roman" w:hAnsi="Times New Roman" w:cs="Times New Roman"/>
          <w:sz w:val="20"/>
          <w:szCs w:val="20"/>
        </w:rPr>
        <w:t>” and “</w:t>
      </w:r>
      <w:r w:rsidRPr="00CE7CB7">
        <w:rPr>
          <w:rFonts w:ascii="Times New Roman" w:hAnsi="Times New Roman" w:cs="Times New Roman"/>
          <w:b/>
          <w:bCs/>
          <w:sz w:val="20"/>
          <w:szCs w:val="20"/>
        </w:rPr>
        <w:t>systematic</w:t>
      </w:r>
      <w:r>
        <w:rPr>
          <w:rFonts w:ascii="Times New Roman" w:hAnsi="Times New Roman" w:cs="Times New Roman"/>
          <w:sz w:val="20"/>
          <w:szCs w:val="20"/>
        </w:rPr>
        <w:t xml:space="preserve">”, </w:t>
      </w:r>
      <w:r w:rsidR="00A17266">
        <w:rPr>
          <w:rFonts w:ascii="Times New Roman" w:hAnsi="Times New Roman" w:cs="Times New Roman"/>
          <w:sz w:val="20"/>
          <w:szCs w:val="20"/>
        </w:rPr>
        <w:t>be used only</w:t>
      </w:r>
      <w:r>
        <w:rPr>
          <w:rFonts w:ascii="Times New Roman" w:hAnsi="Times New Roman" w:cs="Times New Roman"/>
          <w:sz w:val="20"/>
          <w:szCs w:val="20"/>
        </w:rPr>
        <w:t xml:space="preserve"> in the DBV Guidelines in conformity with and specifically referencing article 6 OP-CRPD, and the Committee’s jurisprudence thereunder.</w:t>
      </w:r>
      <w:r w:rsidR="00A64ED4">
        <w:rPr>
          <w:rStyle w:val="FootnoteReference"/>
          <w:rFonts w:ascii="Times New Roman" w:hAnsi="Times New Roman" w:cs="Times New Roman"/>
          <w:sz w:val="20"/>
          <w:szCs w:val="20"/>
        </w:rPr>
        <w:footnoteReference w:id="4"/>
      </w:r>
      <w:r>
        <w:rPr>
          <w:rFonts w:ascii="Times New Roman" w:hAnsi="Times New Roman" w:cs="Times New Roman"/>
          <w:sz w:val="20"/>
          <w:szCs w:val="20"/>
        </w:rPr>
        <w:t xml:space="preserve"> Based on this, the Committee may then wish to make clear that certain forms of disability-based violence, including structural violence against persons with disabilities, may amount </w:t>
      </w:r>
      <w:r w:rsidR="00A17266">
        <w:rPr>
          <w:rFonts w:ascii="Times New Roman" w:hAnsi="Times New Roman" w:cs="Times New Roman"/>
          <w:sz w:val="20"/>
          <w:szCs w:val="20"/>
        </w:rPr>
        <w:t xml:space="preserve">to </w:t>
      </w:r>
      <w:r>
        <w:rPr>
          <w:rFonts w:ascii="Times New Roman" w:hAnsi="Times New Roman" w:cs="Times New Roman"/>
          <w:sz w:val="20"/>
          <w:szCs w:val="20"/>
        </w:rPr>
        <w:t>grave</w:t>
      </w:r>
      <w:r w:rsidR="00B5578D">
        <w:rPr>
          <w:rFonts w:ascii="Times New Roman" w:hAnsi="Times New Roman" w:cs="Times New Roman"/>
          <w:sz w:val="20"/>
          <w:szCs w:val="20"/>
        </w:rPr>
        <w:t>,</w:t>
      </w:r>
      <w:r>
        <w:rPr>
          <w:rFonts w:ascii="Times New Roman" w:hAnsi="Times New Roman" w:cs="Times New Roman"/>
          <w:sz w:val="20"/>
          <w:szCs w:val="20"/>
        </w:rPr>
        <w:t xml:space="preserve"> systematic</w:t>
      </w:r>
      <w:r w:rsidR="00B5578D">
        <w:rPr>
          <w:rFonts w:ascii="Times New Roman" w:hAnsi="Times New Roman" w:cs="Times New Roman"/>
          <w:sz w:val="20"/>
          <w:szCs w:val="20"/>
        </w:rPr>
        <w:t>, or grave and systematic</w:t>
      </w:r>
      <w:r>
        <w:rPr>
          <w:rFonts w:ascii="Times New Roman" w:hAnsi="Times New Roman" w:cs="Times New Roman"/>
          <w:sz w:val="20"/>
          <w:szCs w:val="20"/>
        </w:rPr>
        <w:t xml:space="preserve"> violations of the </w:t>
      </w:r>
      <w:r w:rsidR="00B5578D">
        <w:rPr>
          <w:rFonts w:ascii="Times New Roman" w:hAnsi="Times New Roman" w:cs="Times New Roman"/>
          <w:sz w:val="20"/>
          <w:szCs w:val="20"/>
        </w:rPr>
        <w:t>Convention.</w:t>
      </w:r>
      <w:r w:rsidR="0087506C">
        <w:rPr>
          <w:rFonts w:ascii="Times New Roman" w:hAnsi="Times New Roman" w:cs="Times New Roman"/>
          <w:sz w:val="20"/>
          <w:szCs w:val="20"/>
        </w:rPr>
        <w:br/>
      </w:r>
    </w:p>
    <w:p w14:paraId="20A59934" w14:textId="7CC58E6A" w:rsidR="00130EDB" w:rsidRPr="009D06C6" w:rsidRDefault="00130EDB" w:rsidP="009D06C6">
      <w:pPr>
        <w:pStyle w:val="ListParagraph"/>
        <w:numPr>
          <w:ilvl w:val="0"/>
          <w:numId w:val="1"/>
        </w:numPr>
        <w:rPr>
          <w:rFonts w:ascii="Times New Roman" w:hAnsi="Times New Roman" w:cs="Times New Roman"/>
          <w:sz w:val="20"/>
          <w:szCs w:val="20"/>
        </w:rPr>
      </w:pPr>
      <w:r w:rsidRPr="00130EDB">
        <w:rPr>
          <w:rFonts w:ascii="Times New Roman" w:hAnsi="Times New Roman" w:cs="Times New Roman"/>
          <w:sz w:val="20"/>
          <w:szCs w:val="20"/>
        </w:rPr>
        <w:t xml:space="preserve">We welcome the Committee’s </w:t>
      </w:r>
      <w:r w:rsidR="001D143C">
        <w:rPr>
          <w:rFonts w:ascii="Times New Roman" w:hAnsi="Times New Roman" w:cs="Times New Roman"/>
          <w:sz w:val="20"/>
          <w:szCs w:val="20"/>
        </w:rPr>
        <w:t>clear recognition that</w:t>
      </w:r>
      <w:r>
        <w:rPr>
          <w:rFonts w:ascii="Times New Roman" w:hAnsi="Times New Roman" w:cs="Times New Roman"/>
          <w:sz w:val="20"/>
          <w:szCs w:val="20"/>
        </w:rPr>
        <w:t xml:space="preserve"> institutionalisation is a discriminatory State system (paras. 11</w:t>
      </w:r>
      <w:r w:rsidR="00A17266">
        <w:rPr>
          <w:rFonts w:ascii="Times New Roman" w:hAnsi="Times New Roman" w:cs="Times New Roman"/>
          <w:sz w:val="20"/>
          <w:szCs w:val="20"/>
        </w:rPr>
        <w:t xml:space="preserve"> and </w:t>
      </w:r>
      <w:r>
        <w:rPr>
          <w:rFonts w:ascii="Times New Roman" w:hAnsi="Times New Roman" w:cs="Times New Roman"/>
          <w:sz w:val="20"/>
          <w:szCs w:val="20"/>
        </w:rPr>
        <w:t>13), and that it</w:t>
      </w:r>
      <w:r w:rsidR="001D143C">
        <w:rPr>
          <w:rFonts w:ascii="Times New Roman" w:hAnsi="Times New Roman" w:cs="Times New Roman"/>
          <w:sz w:val="20"/>
          <w:szCs w:val="20"/>
        </w:rPr>
        <w:t xml:space="preserve"> is</w:t>
      </w:r>
      <w:r>
        <w:rPr>
          <w:rFonts w:ascii="Times New Roman" w:hAnsi="Times New Roman" w:cs="Times New Roman"/>
          <w:sz w:val="20"/>
          <w:szCs w:val="20"/>
        </w:rPr>
        <w:t xml:space="preserve"> a form of </w:t>
      </w:r>
      <w:r w:rsidR="00396219">
        <w:rPr>
          <w:rFonts w:ascii="Times New Roman" w:hAnsi="Times New Roman" w:cs="Times New Roman"/>
          <w:sz w:val="20"/>
          <w:szCs w:val="20"/>
        </w:rPr>
        <w:t>“</w:t>
      </w:r>
      <w:r>
        <w:rPr>
          <w:rFonts w:ascii="Times New Roman" w:hAnsi="Times New Roman" w:cs="Times New Roman"/>
          <w:sz w:val="20"/>
          <w:szCs w:val="20"/>
        </w:rPr>
        <w:t>systemic violence</w:t>
      </w:r>
      <w:r w:rsidR="00396219">
        <w:rPr>
          <w:rFonts w:ascii="Times New Roman" w:hAnsi="Times New Roman" w:cs="Times New Roman"/>
          <w:sz w:val="20"/>
          <w:szCs w:val="20"/>
        </w:rPr>
        <w:t>”</w:t>
      </w:r>
      <w:r w:rsidR="008F5A46">
        <w:rPr>
          <w:rStyle w:val="FootnoteReference"/>
          <w:rFonts w:ascii="Times New Roman" w:hAnsi="Times New Roman" w:cs="Times New Roman"/>
          <w:sz w:val="20"/>
          <w:szCs w:val="20"/>
        </w:rPr>
        <w:footnoteReference w:id="5"/>
      </w:r>
      <w:r>
        <w:rPr>
          <w:rFonts w:ascii="Times New Roman" w:hAnsi="Times New Roman" w:cs="Times New Roman"/>
          <w:sz w:val="20"/>
          <w:szCs w:val="20"/>
        </w:rPr>
        <w:t xml:space="preserve"> </w:t>
      </w:r>
      <w:r w:rsidR="001D143C">
        <w:rPr>
          <w:rFonts w:ascii="Times New Roman" w:hAnsi="Times New Roman" w:cs="Times New Roman"/>
          <w:sz w:val="20"/>
          <w:szCs w:val="20"/>
        </w:rPr>
        <w:t>(</w:t>
      </w:r>
      <w:r>
        <w:rPr>
          <w:rFonts w:ascii="Times New Roman" w:hAnsi="Times New Roman" w:cs="Times New Roman"/>
          <w:sz w:val="20"/>
          <w:szCs w:val="20"/>
        </w:rPr>
        <w:t>para. 15)</w:t>
      </w:r>
      <w:r w:rsidR="001D143C">
        <w:rPr>
          <w:rFonts w:ascii="Times New Roman" w:hAnsi="Times New Roman" w:cs="Times New Roman"/>
          <w:sz w:val="20"/>
          <w:szCs w:val="20"/>
        </w:rPr>
        <w:t xml:space="preserve">. For greater conceptual consistency, however, we recommend describing institutionalisation as </w:t>
      </w:r>
      <w:r w:rsidR="00FB1B50">
        <w:rPr>
          <w:rFonts w:ascii="Times New Roman" w:hAnsi="Times New Roman" w:cs="Times New Roman"/>
          <w:sz w:val="20"/>
          <w:szCs w:val="20"/>
        </w:rPr>
        <w:t>an inherently</w:t>
      </w:r>
      <w:r w:rsidR="001D143C">
        <w:rPr>
          <w:rFonts w:ascii="Times New Roman" w:hAnsi="Times New Roman" w:cs="Times New Roman"/>
          <w:sz w:val="20"/>
          <w:szCs w:val="20"/>
        </w:rPr>
        <w:t xml:space="preserve"> structural </w:t>
      </w:r>
      <w:r w:rsidR="00FB1B50" w:rsidRPr="00FB1B50">
        <w:rPr>
          <w:rFonts w:ascii="Times New Roman" w:hAnsi="Times New Roman" w:cs="Times New Roman"/>
          <w:i/>
          <w:iCs/>
          <w:sz w:val="20"/>
          <w:szCs w:val="20"/>
        </w:rPr>
        <w:t>form</w:t>
      </w:r>
      <w:r w:rsidR="00FB1B50">
        <w:rPr>
          <w:rFonts w:ascii="Times New Roman" w:hAnsi="Times New Roman" w:cs="Times New Roman"/>
          <w:sz w:val="20"/>
          <w:szCs w:val="20"/>
        </w:rPr>
        <w:t xml:space="preserve"> of disability-based </w:t>
      </w:r>
      <w:r w:rsidR="001D143C">
        <w:rPr>
          <w:rFonts w:ascii="Times New Roman" w:hAnsi="Times New Roman" w:cs="Times New Roman"/>
          <w:sz w:val="20"/>
          <w:szCs w:val="20"/>
        </w:rPr>
        <w:t>violence</w:t>
      </w:r>
      <w:r w:rsidR="00DA0D5F">
        <w:rPr>
          <w:rFonts w:ascii="Times New Roman" w:hAnsi="Times New Roman" w:cs="Times New Roman"/>
          <w:sz w:val="20"/>
          <w:szCs w:val="20"/>
        </w:rPr>
        <w:t xml:space="preserve"> which</w:t>
      </w:r>
      <w:r w:rsidR="00FB1B50">
        <w:rPr>
          <w:rFonts w:ascii="Times New Roman" w:hAnsi="Times New Roman" w:cs="Times New Roman"/>
          <w:sz w:val="20"/>
          <w:szCs w:val="20"/>
        </w:rPr>
        <w:t xml:space="preserve"> may, </w:t>
      </w:r>
      <w:r w:rsidR="00CE29CA">
        <w:rPr>
          <w:rFonts w:ascii="Times New Roman" w:hAnsi="Times New Roman" w:cs="Times New Roman"/>
          <w:sz w:val="20"/>
          <w:szCs w:val="20"/>
        </w:rPr>
        <w:t>in accordance with the Committee’s jurisprudence</w:t>
      </w:r>
      <w:r w:rsidR="00FB1B50">
        <w:rPr>
          <w:rFonts w:ascii="Times New Roman" w:hAnsi="Times New Roman" w:cs="Times New Roman"/>
          <w:sz w:val="20"/>
          <w:szCs w:val="20"/>
        </w:rPr>
        <w:t xml:space="preserve">, constitute </w:t>
      </w:r>
      <w:r w:rsidR="00CE29CA">
        <w:rPr>
          <w:rFonts w:ascii="Times New Roman" w:hAnsi="Times New Roman" w:cs="Times New Roman"/>
          <w:sz w:val="20"/>
          <w:szCs w:val="20"/>
        </w:rPr>
        <w:t xml:space="preserve">grave or </w:t>
      </w:r>
      <w:r w:rsidR="00FB1B50">
        <w:rPr>
          <w:rFonts w:ascii="Times New Roman" w:hAnsi="Times New Roman" w:cs="Times New Roman"/>
          <w:sz w:val="20"/>
          <w:szCs w:val="20"/>
        </w:rPr>
        <w:t>systematic violations of the Convention</w:t>
      </w:r>
      <w:r w:rsidR="00DA0D5F">
        <w:rPr>
          <w:rFonts w:ascii="Times New Roman" w:hAnsi="Times New Roman" w:cs="Times New Roman"/>
          <w:sz w:val="20"/>
          <w:szCs w:val="20"/>
        </w:rPr>
        <w:t>: i</w:t>
      </w:r>
      <w:r w:rsidR="001D143C">
        <w:rPr>
          <w:rFonts w:ascii="Times New Roman" w:hAnsi="Times New Roman" w:cs="Times New Roman"/>
          <w:sz w:val="20"/>
          <w:szCs w:val="20"/>
        </w:rPr>
        <w:t xml:space="preserve">t is produced and sustained through discriminatory laws, policies, practices and systems, and inherently entails segregation, loss of autonomy and exclusion from community life. </w:t>
      </w:r>
      <w:r>
        <w:rPr>
          <w:rFonts w:ascii="Times New Roman" w:hAnsi="Times New Roman" w:cs="Times New Roman"/>
          <w:sz w:val="20"/>
          <w:szCs w:val="20"/>
        </w:rPr>
        <w:t>We recommend against</w:t>
      </w:r>
      <w:r w:rsidR="001D143C">
        <w:rPr>
          <w:rFonts w:ascii="Times New Roman" w:hAnsi="Times New Roman" w:cs="Times New Roman"/>
          <w:sz w:val="20"/>
          <w:szCs w:val="20"/>
        </w:rPr>
        <w:t xml:space="preserve"> </w:t>
      </w:r>
      <w:r>
        <w:rPr>
          <w:rFonts w:ascii="Times New Roman" w:hAnsi="Times New Roman" w:cs="Times New Roman"/>
          <w:sz w:val="20"/>
          <w:szCs w:val="20"/>
        </w:rPr>
        <w:t xml:space="preserve">using the term </w:t>
      </w:r>
      <w:r w:rsidRPr="00130EDB">
        <w:rPr>
          <w:rFonts w:ascii="Times New Roman" w:hAnsi="Times New Roman" w:cs="Times New Roman"/>
          <w:b/>
          <w:bCs/>
          <w:i/>
          <w:iCs/>
          <w:sz w:val="20"/>
          <w:szCs w:val="20"/>
        </w:rPr>
        <w:t>“</w:t>
      </w:r>
      <w:r w:rsidRPr="00CE7CB7">
        <w:rPr>
          <w:rFonts w:ascii="Times New Roman" w:hAnsi="Times New Roman" w:cs="Times New Roman"/>
          <w:b/>
          <w:bCs/>
          <w:sz w:val="20"/>
          <w:szCs w:val="20"/>
        </w:rPr>
        <w:t>institutional violence</w:t>
      </w:r>
      <w:r w:rsidRPr="00130EDB">
        <w:rPr>
          <w:rFonts w:ascii="Times New Roman" w:hAnsi="Times New Roman" w:cs="Times New Roman"/>
          <w:b/>
          <w:bCs/>
          <w:i/>
          <w:iCs/>
          <w:sz w:val="20"/>
          <w:szCs w:val="20"/>
        </w:rPr>
        <w:t>”</w:t>
      </w:r>
      <w:r>
        <w:rPr>
          <w:rFonts w:ascii="Times New Roman" w:hAnsi="Times New Roman" w:cs="Times New Roman"/>
          <w:sz w:val="20"/>
          <w:szCs w:val="20"/>
        </w:rPr>
        <w:t xml:space="preserve"> </w:t>
      </w:r>
      <w:r w:rsidR="001D143C">
        <w:rPr>
          <w:rFonts w:ascii="Times New Roman" w:hAnsi="Times New Roman" w:cs="Times New Roman"/>
          <w:sz w:val="20"/>
          <w:szCs w:val="20"/>
        </w:rPr>
        <w:t>in the Guidelines. The term is open to significant ambiguity: it may be understood narrowly as violence occurring within institutions, or as violence perpetrated by institutional actors. Neither meaning adequately captures institutionalisation on the basis of disability as an inherently structural form of disability-based violence, which may also be systemic in character and constitute systematic violations of the Convention. This conceptualisation is consistent with the Committee’s explicit recognition of “institutionalization as a form of violence against persons with disabilities”.</w:t>
      </w:r>
      <w:r w:rsidR="001D143C">
        <w:rPr>
          <w:rStyle w:val="FootnoteReference"/>
          <w:rFonts w:ascii="Times New Roman" w:hAnsi="Times New Roman" w:cs="Times New Roman"/>
          <w:sz w:val="20"/>
          <w:szCs w:val="20"/>
        </w:rPr>
        <w:footnoteReference w:id="6"/>
      </w:r>
    </w:p>
    <w:p w14:paraId="26DF419F" w14:textId="50713236" w:rsidR="0087506C" w:rsidRDefault="00DB7A2F" w:rsidP="00FA2955">
      <w:pPr>
        <w:pStyle w:val="Heading2"/>
      </w:pPr>
      <w:r w:rsidRPr="00DB7A2F">
        <w:t>III. STATE OBLIGATIONS</w:t>
      </w:r>
    </w:p>
    <w:p w14:paraId="09098678" w14:textId="49D7E70C" w:rsidR="00772C91" w:rsidRDefault="00772C91" w:rsidP="00772C91">
      <w:pPr>
        <w:pStyle w:val="ListParagraph"/>
        <w:numPr>
          <w:ilvl w:val="0"/>
          <w:numId w:val="1"/>
        </w:numPr>
        <w:rPr>
          <w:rFonts w:ascii="Times New Roman" w:hAnsi="Times New Roman" w:cs="Times New Roman"/>
          <w:sz w:val="20"/>
          <w:szCs w:val="20"/>
        </w:rPr>
      </w:pPr>
      <w:r w:rsidRPr="00836EFC">
        <w:rPr>
          <w:rFonts w:ascii="Times New Roman" w:hAnsi="Times New Roman" w:cs="Times New Roman"/>
          <w:b/>
          <w:bCs/>
          <w:sz w:val="20"/>
          <w:szCs w:val="20"/>
        </w:rPr>
        <w:t>General and immediate obligations under articles 3</w:t>
      </w:r>
      <w:r w:rsidR="00D56D54">
        <w:rPr>
          <w:rFonts w:ascii="Times New Roman" w:hAnsi="Times New Roman" w:cs="Times New Roman"/>
          <w:b/>
          <w:bCs/>
          <w:sz w:val="20"/>
          <w:szCs w:val="20"/>
        </w:rPr>
        <w:t>—</w:t>
      </w:r>
      <w:r w:rsidRPr="00836EFC">
        <w:rPr>
          <w:rFonts w:ascii="Times New Roman" w:hAnsi="Times New Roman" w:cs="Times New Roman"/>
          <w:b/>
          <w:bCs/>
          <w:sz w:val="20"/>
          <w:szCs w:val="20"/>
        </w:rPr>
        <w:t>5</w:t>
      </w:r>
      <w:r w:rsidR="00FB1B50" w:rsidRPr="00836EFC">
        <w:rPr>
          <w:rFonts w:ascii="Times New Roman" w:hAnsi="Times New Roman" w:cs="Times New Roman"/>
          <w:b/>
          <w:bCs/>
          <w:sz w:val="20"/>
          <w:szCs w:val="20"/>
        </w:rPr>
        <w:t>:</w:t>
      </w:r>
      <w:r w:rsidR="00FB1B50">
        <w:rPr>
          <w:rFonts w:ascii="Times New Roman" w:hAnsi="Times New Roman" w:cs="Times New Roman"/>
          <w:sz w:val="20"/>
          <w:szCs w:val="20"/>
        </w:rPr>
        <w:t xml:space="preserve"> </w:t>
      </w:r>
      <w:r w:rsidR="00FB1B50" w:rsidRPr="00FB1B50">
        <w:rPr>
          <w:rFonts w:ascii="Times New Roman" w:hAnsi="Times New Roman" w:cs="Times New Roman"/>
          <w:sz w:val="20"/>
          <w:szCs w:val="20"/>
        </w:rPr>
        <w:t>Validity’s experience in litigating cases concerning institutionalisation, deprivation of legal capacity, forced treatment, sexual and gender-based violence, family separation</w:t>
      </w:r>
      <w:r w:rsidR="006E7F24">
        <w:rPr>
          <w:rFonts w:ascii="Times New Roman" w:hAnsi="Times New Roman" w:cs="Times New Roman"/>
          <w:sz w:val="20"/>
          <w:szCs w:val="20"/>
        </w:rPr>
        <w:t>, violence in educational settings,</w:t>
      </w:r>
      <w:r w:rsidR="00FB1B50" w:rsidRPr="00FB1B50">
        <w:rPr>
          <w:rFonts w:ascii="Times New Roman" w:hAnsi="Times New Roman" w:cs="Times New Roman"/>
          <w:sz w:val="20"/>
          <w:szCs w:val="20"/>
        </w:rPr>
        <w:t xml:space="preserve"> and barriers to justice demonstrates that disability-based violence is frequently not an aberration occurring at the margins of otherwise compliant systems.</w:t>
      </w:r>
      <w:r w:rsidR="00836EFC">
        <w:rPr>
          <w:rStyle w:val="FootnoteReference"/>
          <w:rFonts w:ascii="Times New Roman" w:hAnsi="Times New Roman" w:cs="Times New Roman"/>
          <w:sz w:val="20"/>
          <w:szCs w:val="20"/>
        </w:rPr>
        <w:footnoteReference w:id="7"/>
      </w:r>
      <w:r w:rsidR="00FB1B50" w:rsidRPr="00FB1B50">
        <w:rPr>
          <w:rFonts w:ascii="Times New Roman" w:hAnsi="Times New Roman" w:cs="Times New Roman"/>
          <w:sz w:val="20"/>
          <w:szCs w:val="20"/>
        </w:rPr>
        <w:t xml:space="preserve"> It is often authorised, facilitated or normalised by the laws, policies, funding arrangements and </w:t>
      </w:r>
      <w:r w:rsidR="00FB1B50" w:rsidRPr="00FB1B50">
        <w:rPr>
          <w:rFonts w:ascii="Times New Roman" w:hAnsi="Times New Roman" w:cs="Times New Roman"/>
          <w:sz w:val="20"/>
          <w:szCs w:val="20"/>
        </w:rPr>
        <w:lastRenderedPageBreak/>
        <w:t xml:space="preserve">professional practices through which </w:t>
      </w:r>
      <w:r w:rsidR="00B67191">
        <w:rPr>
          <w:rFonts w:ascii="Times New Roman" w:hAnsi="Times New Roman" w:cs="Times New Roman"/>
          <w:sz w:val="20"/>
          <w:szCs w:val="20"/>
        </w:rPr>
        <w:t>S</w:t>
      </w:r>
      <w:r w:rsidR="00FB1B50" w:rsidRPr="00FB1B50">
        <w:rPr>
          <w:rFonts w:ascii="Times New Roman" w:hAnsi="Times New Roman" w:cs="Times New Roman"/>
          <w:sz w:val="20"/>
          <w:szCs w:val="20"/>
        </w:rPr>
        <w:t>tates organise services and exercise control over persons with disabilities.</w:t>
      </w:r>
      <w:r w:rsidR="005D2971">
        <w:rPr>
          <w:rStyle w:val="FootnoteReference"/>
          <w:rFonts w:ascii="Times New Roman" w:hAnsi="Times New Roman" w:cs="Times New Roman"/>
          <w:sz w:val="20"/>
          <w:szCs w:val="20"/>
        </w:rPr>
        <w:footnoteReference w:id="8"/>
      </w:r>
      <w:r w:rsidR="00FB1B50" w:rsidRPr="00FB1B50">
        <w:rPr>
          <w:rFonts w:ascii="Times New Roman" w:hAnsi="Times New Roman" w:cs="Times New Roman"/>
          <w:sz w:val="20"/>
          <w:szCs w:val="20"/>
        </w:rPr>
        <w:t xml:space="preserve"> The Guidelines should therefore ground State obligations firmly in the principles and general obligations contained in articles 3–5 of the Convention. These require State</w:t>
      </w:r>
      <w:r w:rsidR="00B67191">
        <w:rPr>
          <w:rFonts w:ascii="Times New Roman" w:hAnsi="Times New Roman" w:cs="Times New Roman"/>
          <w:sz w:val="20"/>
          <w:szCs w:val="20"/>
        </w:rPr>
        <w:t>s</w:t>
      </w:r>
      <w:r w:rsidR="00FB1B50" w:rsidRPr="00FB1B50">
        <w:rPr>
          <w:rFonts w:ascii="Times New Roman" w:hAnsi="Times New Roman" w:cs="Times New Roman"/>
          <w:sz w:val="20"/>
          <w:szCs w:val="20"/>
        </w:rPr>
        <w:t xml:space="preserve"> parties to respect inherent dignity, individual autonomy and freedom of choice; eliminate discrimination; adopt all appropriate legislative, administrative and other measures to implement Convention rights; abolish discriminatory laws, regulations, customs and practices; refrain from conduct inconsistent with the Convention; ensure that public authorities and institutions comply with it; and eliminate disability-based discrimination by private persons, organisations and enterprises. Persons with disabilities, particularly survivors of disability-based violence and their representative organisations, must be closely consulted and actively involved in designing, implementing, monitoring and evaluating all such measures.</w:t>
      </w:r>
      <w:r w:rsidR="00942AF7">
        <w:rPr>
          <w:rStyle w:val="FootnoteReference"/>
          <w:rFonts w:ascii="Times New Roman" w:hAnsi="Times New Roman" w:cs="Times New Roman"/>
          <w:sz w:val="20"/>
          <w:szCs w:val="20"/>
        </w:rPr>
        <w:footnoteReference w:id="9"/>
      </w:r>
      <w:r w:rsidR="00FB1B50" w:rsidRPr="00FB1B50">
        <w:rPr>
          <w:rFonts w:ascii="Times New Roman" w:hAnsi="Times New Roman" w:cs="Times New Roman"/>
          <w:sz w:val="20"/>
          <w:szCs w:val="20"/>
        </w:rPr>
        <w:t xml:space="preserve"> The duties to eliminate discrimination, cease ongoing violations, repeal laws directly authorising disability-based violence and ensure equal protection against torture, violence and violations of personal integrity are immediately applicable and cannot be deferred by reference to progressive realisation or resource constraints.</w:t>
      </w:r>
      <w:r w:rsidR="00942AF7">
        <w:rPr>
          <w:rStyle w:val="FootnoteReference"/>
          <w:rFonts w:ascii="Times New Roman" w:hAnsi="Times New Roman" w:cs="Times New Roman"/>
          <w:sz w:val="20"/>
          <w:szCs w:val="20"/>
        </w:rPr>
        <w:footnoteReference w:id="10"/>
      </w:r>
      <w:r>
        <w:rPr>
          <w:rFonts w:ascii="Times New Roman" w:hAnsi="Times New Roman" w:cs="Times New Roman"/>
          <w:sz w:val="20"/>
          <w:szCs w:val="20"/>
        </w:rPr>
        <w:br/>
      </w:r>
    </w:p>
    <w:p w14:paraId="310704E4" w14:textId="4CA93EC7" w:rsidR="00772C91" w:rsidRDefault="64B28F7B" w:rsidP="00772C91">
      <w:pPr>
        <w:pStyle w:val="ListParagraph"/>
        <w:numPr>
          <w:ilvl w:val="0"/>
          <w:numId w:val="1"/>
        </w:numPr>
        <w:rPr>
          <w:rFonts w:ascii="Times New Roman" w:hAnsi="Times New Roman" w:cs="Times New Roman"/>
          <w:sz w:val="20"/>
          <w:szCs w:val="20"/>
        </w:rPr>
      </w:pPr>
      <w:r w:rsidRPr="00CE7CB7">
        <w:rPr>
          <w:rFonts w:ascii="Times New Roman" w:hAnsi="Times New Roman" w:cs="Times New Roman"/>
          <w:b/>
          <w:bCs/>
          <w:sz w:val="20"/>
          <w:szCs w:val="20"/>
        </w:rPr>
        <w:t>Obligation to respect and cease State-authorised violence</w:t>
      </w:r>
      <w:r w:rsidR="01A81661" w:rsidRPr="00CE7CB7">
        <w:rPr>
          <w:rFonts w:ascii="Times New Roman" w:hAnsi="Times New Roman" w:cs="Times New Roman"/>
          <w:b/>
          <w:bCs/>
          <w:sz w:val="20"/>
          <w:szCs w:val="20"/>
        </w:rPr>
        <w:t>:</w:t>
      </w:r>
      <w:r w:rsidR="01A81661">
        <w:rPr>
          <w:rFonts w:ascii="Times New Roman" w:hAnsi="Times New Roman" w:cs="Times New Roman"/>
          <w:sz w:val="20"/>
          <w:szCs w:val="20"/>
        </w:rPr>
        <w:t xml:space="preserve"> </w:t>
      </w:r>
      <w:r w:rsidR="01A81661" w:rsidRPr="00CE7CB7">
        <w:rPr>
          <w:rFonts w:ascii="Times New Roman" w:hAnsi="Times New Roman" w:cs="Times New Roman"/>
          <w:sz w:val="20"/>
          <w:szCs w:val="20"/>
        </w:rPr>
        <w:t xml:space="preserve">The obligation to respect requires States parties to refrain from committing, authorising, facilitating, legitimising or maintaining disability-based violence through their own laws, policies, institutions, officials or persons exercising delegated public authority. In Validity’s work, this obligation is particularly relevant to legal regimes authorising institutionalisation, </w:t>
      </w:r>
      <w:r w:rsidR="49D738E1">
        <w:rPr>
          <w:rFonts w:ascii="Times New Roman" w:hAnsi="Times New Roman" w:cs="Times New Roman"/>
          <w:sz w:val="20"/>
          <w:szCs w:val="20"/>
        </w:rPr>
        <w:t>forced psychiatry, disability-based detention,</w:t>
      </w:r>
      <w:r w:rsidR="00846BA1">
        <w:rPr>
          <w:rStyle w:val="FootnoteReference"/>
          <w:rFonts w:ascii="Times New Roman" w:hAnsi="Times New Roman" w:cs="Times New Roman"/>
          <w:sz w:val="20"/>
          <w:szCs w:val="20"/>
        </w:rPr>
        <w:footnoteReference w:id="11"/>
      </w:r>
      <w:r w:rsidR="49D738E1">
        <w:rPr>
          <w:rFonts w:ascii="Times New Roman" w:hAnsi="Times New Roman" w:cs="Times New Roman"/>
          <w:sz w:val="20"/>
          <w:szCs w:val="20"/>
        </w:rPr>
        <w:t xml:space="preserve"> </w:t>
      </w:r>
      <w:r w:rsidR="01A81661" w:rsidRPr="00CE7CB7">
        <w:rPr>
          <w:rFonts w:ascii="Times New Roman" w:hAnsi="Times New Roman" w:cs="Times New Roman"/>
          <w:sz w:val="20"/>
          <w:szCs w:val="20"/>
        </w:rPr>
        <w:t>guardianship and substitute decision-making</w:t>
      </w:r>
      <w:r w:rsidR="004215C3">
        <w:rPr>
          <w:rFonts w:ascii="Times New Roman" w:hAnsi="Times New Roman" w:cs="Times New Roman"/>
          <w:sz w:val="20"/>
          <w:szCs w:val="20"/>
        </w:rPr>
        <w:t xml:space="preserve"> systems</w:t>
      </w:r>
      <w:r w:rsidR="01A81661" w:rsidRPr="00CE7CB7">
        <w:rPr>
          <w:rFonts w:ascii="Times New Roman" w:hAnsi="Times New Roman" w:cs="Times New Roman"/>
          <w:sz w:val="20"/>
          <w:szCs w:val="20"/>
        </w:rPr>
        <w:t xml:space="preserve">, coercive reproductive practices, segregated education and other systems of disability-based control. Where such conduct is continuing, the responsible State is under an immediate </w:t>
      </w:r>
      <w:r w:rsidR="01A81661" w:rsidRPr="00CE7CB7">
        <w:rPr>
          <w:rFonts w:ascii="Times New Roman" w:hAnsi="Times New Roman" w:cs="Times New Roman"/>
          <w:b/>
          <w:bCs/>
          <w:sz w:val="20"/>
          <w:szCs w:val="20"/>
        </w:rPr>
        <w:t>obligation of cessation</w:t>
      </w:r>
      <w:r w:rsidR="01A81661" w:rsidRPr="00CE7CB7">
        <w:rPr>
          <w:rFonts w:ascii="Times New Roman" w:hAnsi="Times New Roman" w:cs="Times New Roman"/>
          <w:sz w:val="20"/>
          <w:szCs w:val="20"/>
        </w:rPr>
        <w:t>.</w:t>
      </w:r>
      <w:r w:rsidR="00EE13F7">
        <w:rPr>
          <w:rStyle w:val="FootnoteReference"/>
          <w:rFonts w:ascii="Times New Roman" w:hAnsi="Times New Roman" w:cs="Times New Roman"/>
          <w:sz w:val="20"/>
          <w:szCs w:val="20"/>
        </w:rPr>
        <w:footnoteReference w:id="12"/>
      </w:r>
      <w:r w:rsidR="01A81661" w:rsidRPr="00CE7CB7">
        <w:rPr>
          <w:rFonts w:ascii="Times New Roman" w:hAnsi="Times New Roman" w:cs="Times New Roman"/>
          <w:sz w:val="20"/>
          <w:szCs w:val="20"/>
        </w:rPr>
        <w:t xml:space="preserve"> </w:t>
      </w:r>
      <w:r w:rsidR="01A81661" w:rsidRPr="11F33801">
        <w:rPr>
          <w:rFonts w:ascii="Times New Roman" w:hAnsi="Times New Roman" w:cs="Times New Roman"/>
          <w:sz w:val="20"/>
          <w:szCs w:val="20"/>
        </w:rPr>
        <w:t xml:space="preserve">This requires more than undertaking to prevent similar violations in the future: States must end ongoing detention, institutionalisation, forced treatment or other coercive measures; withdraw the authority </w:t>
      </w:r>
      <w:r w:rsidR="01A81661" w:rsidRPr="11F33801">
        <w:rPr>
          <w:rFonts w:ascii="Times New Roman" w:hAnsi="Times New Roman" w:cs="Times New Roman"/>
          <w:sz w:val="20"/>
          <w:szCs w:val="20"/>
        </w:rPr>
        <w:lastRenderedPageBreak/>
        <w:t>under which they are imposed; and repeal or suspend the discriminatory laws, policies, contracts and administrative arrangements that sustain them. Cessation should be distinguished from guarantees of non-repetition and reparation: it addresses the continuing wrongful act itself and must not be made conditional on the prior creation of alternative services</w:t>
      </w:r>
      <w:r w:rsidR="00E32ECD">
        <w:rPr>
          <w:rFonts w:ascii="Times New Roman" w:hAnsi="Times New Roman" w:cs="Times New Roman"/>
          <w:sz w:val="20"/>
          <w:szCs w:val="20"/>
        </w:rPr>
        <w:t xml:space="preserve">, </w:t>
      </w:r>
      <w:r w:rsidR="01A81661" w:rsidRPr="11F33801">
        <w:rPr>
          <w:rFonts w:ascii="Times New Roman" w:hAnsi="Times New Roman" w:cs="Times New Roman"/>
          <w:sz w:val="20"/>
          <w:szCs w:val="20"/>
        </w:rPr>
        <w:t>the completion of gradual legislative reform</w:t>
      </w:r>
      <w:r w:rsidR="004215C3">
        <w:rPr>
          <w:rFonts w:ascii="Times New Roman" w:hAnsi="Times New Roman" w:cs="Times New Roman"/>
          <w:sz w:val="20"/>
          <w:szCs w:val="20"/>
        </w:rPr>
        <w:t xml:space="preserve"> or </w:t>
      </w:r>
      <w:r w:rsidR="00B64741">
        <w:rPr>
          <w:rFonts w:ascii="Times New Roman" w:hAnsi="Times New Roman" w:cs="Times New Roman"/>
          <w:sz w:val="20"/>
          <w:szCs w:val="20"/>
        </w:rPr>
        <w:t xml:space="preserve">upon </w:t>
      </w:r>
      <w:r w:rsidR="003734F5">
        <w:rPr>
          <w:rFonts w:ascii="Times New Roman" w:hAnsi="Times New Roman" w:cs="Times New Roman"/>
          <w:sz w:val="20"/>
          <w:szCs w:val="20"/>
        </w:rPr>
        <w:t xml:space="preserve">subsequent </w:t>
      </w:r>
      <w:r w:rsidR="00F3390F">
        <w:rPr>
          <w:rFonts w:ascii="Times New Roman" w:hAnsi="Times New Roman" w:cs="Times New Roman"/>
          <w:sz w:val="20"/>
          <w:szCs w:val="20"/>
        </w:rPr>
        <w:t>final judicial determination</w:t>
      </w:r>
      <w:r w:rsidR="01A81661" w:rsidRPr="11F33801">
        <w:rPr>
          <w:rFonts w:ascii="Times New Roman" w:hAnsi="Times New Roman" w:cs="Times New Roman"/>
          <w:sz w:val="20"/>
          <w:szCs w:val="20"/>
        </w:rPr>
        <w:t>.</w:t>
      </w:r>
      <w:r w:rsidR="00F3390F">
        <w:rPr>
          <w:rStyle w:val="FootnoteReference"/>
          <w:rFonts w:ascii="Times New Roman" w:hAnsi="Times New Roman" w:cs="Times New Roman"/>
          <w:sz w:val="20"/>
          <w:szCs w:val="20"/>
        </w:rPr>
        <w:footnoteReference w:id="13"/>
      </w:r>
      <w:r w:rsidR="01A81661" w:rsidRPr="11F33801">
        <w:rPr>
          <w:rFonts w:ascii="Times New Roman" w:hAnsi="Times New Roman" w:cs="Times New Roman"/>
          <w:sz w:val="20"/>
          <w:szCs w:val="20"/>
        </w:rPr>
        <w:t xml:space="preserve"> Persons subjected to disability-based detention must be released with </w:t>
      </w:r>
      <w:r w:rsidR="71716333">
        <w:rPr>
          <w:rFonts w:ascii="Times New Roman" w:hAnsi="Times New Roman" w:cs="Times New Roman"/>
          <w:sz w:val="20"/>
          <w:szCs w:val="20"/>
        </w:rPr>
        <w:t xml:space="preserve">an </w:t>
      </w:r>
      <w:r w:rsidR="01A81661" w:rsidRPr="00CE7CB7">
        <w:rPr>
          <w:rFonts w:ascii="Times New Roman" w:hAnsi="Times New Roman" w:cs="Times New Roman"/>
          <w:sz w:val="20"/>
          <w:szCs w:val="20"/>
        </w:rPr>
        <w:t>immediate</w:t>
      </w:r>
      <w:r w:rsidR="71716333">
        <w:rPr>
          <w:rFonts w:ascii="Times New Roman" w:hAnsi="Times New Roman" w:cs="Times New Roman"/>
          <w:sz w:val="20"/>
          <w:szCs w:val="20"/>
        </w:rPr>
        <w:t xml:space="preserve"> and </w:t>
      </w:r>
      <w:r w:rsidR="6DAF59E2">
        <w:rPr>
          <w:rFonts w:ascii="Times New Roman" w:hAnsi="Times New Roman" w:cs="Times New Roman"/>
          <w:sz w:val="20"/>
          <w:szCs w:val="20"/>
        </w:rPr>
        <w:t>adequately resourced</w:t>
      </w:r>
      <w:r w:rsidR="71716333">
        <w:rPr>
          <w:rFonts w:ascii="Times New Roman" w:hAnsi="Times New Roman" w:cs="Times New Roman"/>
          <w:sz w:val="20"/>
          <w:szCs w:val="20"/>
        </w:rPr>
        <w:t xml:space="preserve"> package of </w:t>
      </w:r>
      <w:r w:rsidR="6DAF59E2">
        <w:rPr>
          <w:rFonts w:ascii="Times New Roman" w:hAnsi="Times New Roman" w:cs="Times New Roman"/>
          <w:sz w:val="20"/>
          <w:szCs w:val="20"/>
        </w:rPr>
        <w:t xml:space="preserve">transitional </w:t>
      </w:r>
      <w:r w:rsidR="71716333">
        <w:rPr>
          <w:rFonts w:ascii="Times New Roman" w:hAnsi="Times New Roman" w:cs="Times New Roman"/>
          <w:sz w:val="20"/>
          <w:szCs w:val="20"/>
        </w:rPr>
        <w:t>assistance,</w:t>
      </w:r>
      <w:r w:rsidR="00102644">
        <w:rPr>
          <w:rStyle w:val="FootnoteReference"/>
          <w:rFonts w:ascii="Times New Roman" w:hAnsi="Times New Roman" w:cs="Times New Roman"/>
          <w:sz w:val="20"/>
          <w:szCs w:val="20"/>
        </w:rPr>
        <w:footnoteReference w:id="14"/>
      </w:r>
      <w:r w:rsidR="71716333">
        <w:rPr>
          <w:rFonts w:ascii="Times New Roman" w:hAnsi="Times New Roman" w:cs="Times New Roman"/>
          <w:sz w:val="20"/>
          <w:szCs w:val="20"/>
        </w:rPr>
        <w:t xml:space="preserve"> </w:t>
      </w:r>
      <w:r w:rsidR="01A81661" w:rsidRPr="00CE7CB7">
        <w:rPr>
          <w:rFonts w:ascii="Times New Roman" w:hAnsi="Times New Roman" w:cs="Times New Roman"/>
          <w:sz w:val="20"/>
          <w:szCs w:val="20"/>
        </w:rPr>
        <w:t>housing,</w:t>
      </w:r>
      <w:r w:rsidR="00102644">
        <w:rPr>
          <w:rStyle w:val="FootnoteReference"/>
          <w:rFonts w:ascii="Times New Roman" w:hAnsi="Times New Roman" w:cs="Times New Roman"/>
          <w:sz w:val="20"/>
          <w:szCs w:val="20"/>
        </w:rPr>
        <w:footnoteReference w:id="15"/>
      </w:r>
      <w:r w:rsidR="01A81661" w:rsidRPr="00CE7CB7">
        <w:rPr>
          <w:rFonts w:ascii="Times New Roman" w:hAnsi="Times New Roman" w:cs="Times New Roman"/>
          <w:sz w:val="20"/>
          <w:szCs w:val="20"/>
        </w:rPr>
        <w:t xml:space="preserve"> </w:t>
      </w:r>
      <w:r w:rsidR="71716333">
        <w:rPr>
          <w:rFonts w:ascii="Times New Roman" w:hAnsi="Times New Roman" w:cs="Times New Roman"/>
          <w:sz w:val="20"/>
          <w:szCs w:val="20"/>
        </w:rPr>
        <w:t>community-based support of their own choosing,</w:t>
      </w:r>
      <w:r w:rsidR="00102644">
        <w:rPr>
          <w:rStyle w:val="FootnoteReference"/>
          <w:rFonts w:ascii="Times New Roman" w:hAnsi="Times New Roman" w:cs="Times New Roman"/>
          <w:sz w:val="20"/>
          <w:szCs w:val="20"/>
        </w:rPr>
        <w:footnoteReference w:id="16"/>
      </w:r>
      <w:r w:rsidR="71716333">
        <w:rPr>
          <w:rFonts w:ascii="Times New Roman" w:hAnsi="Times New Roman" w:cs="Times New Roman"/>
          <w:sz w:val="20"/>
          <w:szCs w:val="20"/>
        </w:rPr>
        <w:t xml:space="preserve"> </w:t>
      </w:r>
      <w:r w:rsidR="01A81661" w:rsidRPr="00CE7CB7">
        <w:rPr>
          <w:rFonts w:ascii="Times New Roman" w:hAnsi="Times New Roman" w:cs="Times New Roman"/>
          <w:sz w:val="20"/>
          <w:szCs w:val="20"/>
        </w:rPr>
        <w:t>income,</w:t>
      </w:r>
      <w:r w:rsidR="00102644">
        <w:rPr>
          <w:rStyle w:val="FootnoteReference"/>
          <w:rFonts w:ascii="Times New Roman" w:hAnsi="Times New Roman" w:cs="Times New Roman"/>
          <w:sz w:val="20"/>
          <w:szCs w:val="20"/>
        </w:rPr>
        <w:footnoteReference w:id="17"/>
      </w:r>
      <w:r w:rsidR="71716333">
        <w:rPr>
          <w:rFonts w:ascii="Times New Roman" w:hAnsi="Times New Roman" w:cs="Times New Roman"/>
          <w:sz w:val="20"/>
          <w:szCs w:val="20"/>
        </w:rPr>
        <w:t xml:space="preserve"> and</w:t>
      </w:r>
      <w:r w:rsidR="01A81661" w:rsidRPr="00CE7CB7">
        <w:rPr>
          <w:rFonts w:ascii="Times New Roman" w:hAnsi="Times New Roman" w:cs="Times New Roman"/>
          <w:sz w:val="20"/>
          <w:szCs w:val="20"/>
        </w:rPr>
        <w:t xml:space="preserve"> documentation</w:t>
      </w:r>
      <w:r w:rsidR="71716333">
        <w:rPr>
          <w:rFonts w:ascii="Times New Roman" w:hAnsi="Times New Roman" w:cs="Times New Roman"/>
          <w:sz w:val="20"/>
          <w:szCs w:val="20"/>
        </w:rPr>
        <w:t>,</w:t>
      </w:r>
      <w:r w:rsidR="00102644">
        <w:rPr>
          <w:rStyle w:val="FootnoteReference"/>
          <w:rFonts w:ascii="Times New Roman" w:hAnsi="Times New Roman" w:cs="Times New Roman"/>
          <w:sz w:val="20"/>
          <w:szCs w:val="20"/>
        </w:rPr>
        <w:footnoteReference w:id="18"/>
      </w:r>
      <w:r w:rsidR="01A81661" w:rsidRPr="00CE7CB7">
        <w:rPr>
          <w:rFonts w:ascii="Times New Roman" w:hAnsi="Times New Roman" w:cs="Times New Roman"/>
          <w:sz w:val="20"/>
          <w:szCs w:val="20"/>
        </w:rPr>
        <w:t xml:space="preserve"> but the absence of such support can never justify the continuation of the violation.</w:t>
      </w:r>
      <w:r w:rsidR="00102644">
        <w:rPr>
          <w:rStyle w:val="FootnoteReference"/>
          <w:rFonts w:ascii="Times New Roman" w:hAnsi="Times New Roman" w:cs="Times New Roman"/>
          <w:sz w:val="20"/>
          <w:szCs w:val="20"/>
        </w:rPr>
        <w:footnoteReference w:id="19"/>
      </w:r>
      <w:r w:rsidR="00772C91">
        <w:rPr>
          <w:rFonts w:ascii="Times New Roman" w:hAnsi="Times New Roman" w:cs="Times New Roman"/>
          <w:sz w:val="20"/>
          <w:szCs w:val="20"/>
        </w:rPr>
        <w:br/>
      </w:r>
    </w:p>
    <w:p w14:paraId="40E06E53" w14:textId="58362BF2" w:rsidR="00772C91" w:rsidRDefault="64B28F7B" w:rsidP="00772C91">
      <w:pPr>
        <w:pStyle w:val="ListParagraph"/>
        <w:numPr>
          <w:ilvl w:val="0"/>
          <w:numId w:val="1"/>
        </w:numPr>
        <w:rPr>
          <w:rFonts w:ascii="Times New Roman" w:hAnsi="Times New Roman" w:cs="Times New Roman"/>
          <w:sz w:val="20"/>
          <w:szCs w:val="20"/>
        </w:rPr>
      </w:pPr>
      <w:r w:rsidRPr="00CE7CB7">
        <w:rPr>
          <w:rFonts w:ascii="Times New Roman" w:hAnsi="Times New Roman" w:cs="Times New Roman"/>
          <w:b/>
          <w:bCs/>
          <w:sz w:val="20"/>
          <w:szCs w:val="20"/>
        </w:rPr>
        <w:t xml:space="preserve">Obligation to </w:t>
      </w:r>
      <w:r w:rsidRPr="11F33801">
        <w:rPr>
          <w:rFonts w:ascii="Times New Roman" w:hAnsi="Times New Roman" w:cs="Times New Roman"/>
          <w:b/>
          <w:bCs/>
          <w:sz w:val="20"/>
          <w:szCs w:val="20"/>
        </w:rPr>
        <w:t>protect and exercise due diligence concerning private actors</w:t>
      </w:r>
      <w:r w:rsidR="01A81661" w:rsidRPr="00CE7CB7">
        <w:rPr>
          <w:rFonts w:ascii="Times New Roman" w:hAnsi="Times New Roman" w:cs="Times New Roman"/>
          <w:b/>
          <w:bCs/>
          <w:sz w:val="20"/>
          <w:szCs w:val="20"/>
        </w:rPr>
        <w:t>:</w:t>
      </w:r>
      <w:r w:rsidR="01A81661">
        <w:rPr>
          <w:rFonts w:ascii="Times New Roman" w:hAnsi="Times New Roman" w:cs="Times New Roman"/>
          <w:sz w:val="20"/>
          <w:szCs w:val="20"/>
        </w:rPr>
        <w:t xml:space="preserve"> </w:t>
      </w:r>
      <w:r w:rsidR="01A81661" w:rsidRPr="00CE7CB7">
        <w:rPr>
          <w:rFonts w:ascii="Times New Roman" w:hAnsi="Times New Roman" w:cs="Times New Roman"/>
          <w:sz w:val="20"/>
          <w:szCs w:val="20"/>
        </w:rPr>
        <w:t xml:space="preserve">The obligation to protect requires States parties to exercise effective due diligence to prevent, </w:t>
      </w:r>
      <w:r w:rsidR="000B5517">
        <w:rPr>
          <w:rFonts w:ascii="Times New Roman" w:hAnsi="Times New Roman" w:cs="Times New Roman"/>
          <w:sz w:val="20"/>
          <w:szCs w:val="20"/>
        </w:rPr>
        <w:t xml:space="preserve">monitor, </w:t>
      </w:r>
      <w:r w:rsidR="01A81661" w:rsidRPr="00CE7CB7">
        <w:rPr>
          <w:rFonts w:ascii="Times New Roman" w:hAnsi="Times New Roman" w:cs="Times New Roman"/>
          <w:sz w:val="20"/>
          <w:szCs w:val="20"/>
        </w:rPr>
        <w:t xml:space="preserve">identify, stop, investigate and redress disability-based violence committed by private actors. The Guidelines should distinguish genuinely private conduct from acts by private providers exercising powers delegated by the State, or implementing State-authorised systems of detention, placement, treatment or control. In the latter situations, direct State responsibility may arise from the legal and policy framework itself and, depending on the nature of the delegated authority, from the conduct of the private actor. Validity’s litigation in </w:t>
      </w:r>
      <w:r w:rsidR="01A81661" w:rsidRPr="11F33801">
        <w:rPr>
          <w:rFonts w:ascii="Times New Roman" w:hAnsi="Times New Roman" w:cs="Times New Roman"/>
          <w:i/>
          <w:iCs/>
          <w:sz w:val="20"/>
          <w:szCs w:val="20"/>
        </w:rPr>
        <w:t>I.C. v. the Republic of Moldova</w:t>
      </w:r>
      <w:r w:rsidR="01A81661" w:rsidRPr="00CE7CB7">
        <w:rPr>
          <w:rFonts w:ascii="Times New Roman" w:hAnsi="Times New Roman" w:cs="Times New Roman"/>
          <w:sz w:val="20"/>
          <w:szCs w:val="20"/>
        </w:rPr>
        <w:t xml:space="preserve"> illustrates the breadth of the protective obligation.</w:t>
      </w:r>
      <w:r w:rsidR="008D7221">
        <w:rPr>
          <w:rStyle w:val="FootnoteReference"/>
          <w:rFonts w:ascii="Times New Roman" w:hAnsi="Times New Roman" w:cs="Times New Roman"/>
          <w:sz w:val="20"/>
          <w:szCs w:val="20"/>
        </w:rPr>
        <w:footnoteReference w:id="20"/>
      </w:r>
      <w:r w:rsidR="01A81661" w:rsidRPr="00CE7CB7">
        <w:rPr>
          <w:rFonts w:ascii="Times New Roman" w:hAnsi="Times New Roman" w:cs="Times New Roman"/>
          <w:sz w:val="20"/>
          <w:szCs w:val="20"/>
        </w:rPr>
        <w:t xml:space="preserve"> A woman with an intellectual disability was removed from State </w:t>
      </w:r>
      <w:r w:rsidR="01A81661">
        <w:rPr>
          <w:rFonts w:ascii="Times New Roman" w:hAnsi="Times New Roman" w:cs="Times New Roman"/>
          <w:sz w:val="20"/>
          <w:szCs w:val="20"/>
        </w:rPr>
        <w:t>institutionalisation</w:t>
      </w:r>
      <w:r w:rsidR="01A81661" w:rsidRPr="00CE7CB7">
        <w:rPr>
          <w:rFonts w:ascii="Times New Roman" w:hAnsi="Times New Roman" w:cs="Times New Roman"/>
          <w:sz w:val="20"/>
          <w:szCs w:val="20"/>
        </w:rPr>
        <w:t xml:space="preserve"> and placed with a private family under a purported </w:t>
      </w:r>
      <w:r w:rsidR="01A81661">
        <w:rPr>
          <w:rFonts w:ascii="Times New Roman" w:hAnsi="Times New Roman" w:cs="Times New Roman"/>
          <w:sz w:val="20"/>
          <w:szCs w:val="20"/>
        </w:rPr>
        <w:t>“</w:t>
      </w:r>
      <w:r w:rsidR="01A81661" w:rsidRPr="00CE7CB7">
        <w:rPr>
          <w:rFonts w:ascii="Times New Roman" w:hAnsi="Times New Roman" w:cs="Times New Roman"/>
          <w:sz w:val="20"/>
          <w:szCs w:val="20"/>
        </w:rPr>
        <w:t>deinstitutionalisation</w:t>
      </w:r>
      <w:r w:rsidR="01A81661">
        <w:rPr>
          <w:rFonts w:ascii="Times New Roman" w:hAnsi="Times New Roman" w:cs="Times New Roman"/>
          <w:sz w:val="20"/>
          <w:szCs w:val="20"/>
        </w:rPr>
        <w:t>”</w:t>
      </w:r>
      <w:r w:rsidR="01A81661" w:rsidRPr="00CE7CB7">
        <w:rPr>
          <w:rFonts w:ascii="Times New Roman" w:hAnsi="Times New Roman" w:cs="Times New Roman"/>
          <w:sz w:val="20"/>
          <w:szCs w:val="20"/>
        </w:rPr>
        <w:t xml:space="preserve"> arrangement, where she was subjected to forced labour and sexual violence while the responsible authorities failed to assess risks, provide adequate support, monitor the placement or respond effectively to her complaints. Due diligence in such circumstances requires a Convention-compliant legal framework, prior and continuing risk assessment, meaningful independent monitoring, accessible reporting mechanisms, proactive intervention where authorities know or ought to know of a risk, and effective investigation and redress. Where a </w:t>
      </w:r>
      <w:r w:rsidR="00B67191">
        <w:rPr>
          <w:rFonts w:ascii="Times New Roman" w:hAnsi="Times New Roman" w:cs="Times New Roman"/>
          <w:sz w:val="20"/>
          <w:szCs w:val="20"/>
        </w:rPr>
        <w:t>S</w:t>
      </w:r>
      <w:r w:rsidR="00B94D33" w:rsidRPr="00CE7CB7">
        <w:rPr>
          <w:rFonts w:ascii="Times New Roman" w:hAnsi="Times New Roman" w:cs="Times New Roman"/>
          <w:sz w:val="20"/>
          <w:szCs w:val="20"/>
        </w:rPr>
        <w:t>tate’s</w:t>
      </w:r>
      <w:r w:rsidR="01A81661" w:rsidRPr="00CE7CB7">
        <w:rPr>
          <w:rFonts w:ascii="Times New Roman" w:hAnsi="Times New Roman" w:cs="Times New Roman"/>
          <w:sz w:val="20"/>
          <w:szCs w:val="20"/>
        </w:rPr>
        <w:t xml:space="preserve"> failure to protect is continuing, </w:t>
      </w:r>
      <w:r w:rsidR="6050AB2C">
        <w:rPr>
          <w:rFonts w:ascii="Times New Roman" w:hAnsi="Times New Roman" w:cs="Times New Roman"/>
          <w:sz w:val="20"/>
          <w:szCs w:val="20"/>
        </w:rPr>
        <w:t xml:space="preserve">the obligation of </w:t>
      </w:r>
      <w:r w:rsidR="01A81661" w:rsidRPr="00CE7CB7">
        <w:rPr>
          <w:rFonts w:ascii="Times New Roman" w:hAnsi="Times New Roman" w:cs="Times New Roman"/>
          <w:sz w:val="20"/>
          <w:szCs w:val="20"/>
        </w:rPr>
        <w:t>cessation requires the State to end that omission</w:t>
      </w:r>
      <w:r w:rsidR="008D47A2">
        <w:rPr>
          <w:rStyle w:val="FootnoteReference"/>
          <w:rFonts w:ascii="Times New Roman" w:hAnsi="Times New Roman" w:cs="Times New Roman"/>
          <w:sz w:val="20"/>
          <w:szCs w:val="20"/>
        </w:rPr>
        <w:footnoteReference w:id="21"/>
      </w:r>
      <w:r w:rsidR="01A81661" w:rsidRPr="00CE7CB7">
        <w:rPr>
          <w:rFonts w:ascii="Times New Roman" w:hAnsi="Times New Roman" w:cs="Times New Roman"/>
          <w:sz w:val="20"/>
          <w:szCs w:val="20"/>
        </w:rPr>
        <w:t xml:space="preserve"> through immediate and effective measures to stop the ongoing violence, while guarantees of non-repetition address the defective policies and systems that enabled it</w:t>
      </w:r>
      <w:r w:rsidR="6050AB2C">
        <w:rPr>
          <w:rFonts w:ascii="Times New Roman" w:hAnsi="Times New Roman" w:cs="Times New Roman"/>
          <w:sz w:val="20"/>
          <w:szCs w:val="20"/>
        </w:rPr>
        <w:t>, such as fault</w:t>
      </w:r>
      <w:r w:rsidR="2BAFBFB5">
        <w:rPr>
          <w:rFonts w:ascii="Times New Roman" w:hAnsi="Times New Roman" w:cs="Times New Roman"/>
          <w:sz w:val="20"/>
          <w:szCs w:val="20"/>
        </w:rPr>
        <w:t>y</w:t>
      </w:r>
      <w:r w:rsidR="6050AB2C">
        <w:rPr>
          <w:rFonts w:ascii="Times New Roman" w:hAnsi="Times New Roman" w:cs="Times New Roman"/>
          <w:sz w:val="20"/>
          <w:szCs w:val="20"/>
        </w:rPr>
        <w:t xml:space="preserve"> deinstitutionalisation strategies premised on models that facilitate or enable disability-based violence</w:t>
      </w:r>
      <w:r w:rsidR="01A81661" w:rsidRPr="00CE7CB7">
        <w:rPr>
          <w:rFonts w:ascii="Times New Roman" w:hAnsi="Times New Roman" w:cs="Times New Roman"/>
          <w:sz w:val="20"/>
          <w:szCs w:val="20"/>
        </w:rPr>
        <w:t>.</w:t>
      </w:r>
      <w:r w:rsidR="00772C91">
        <w:rPr>
          <w:rFonts w:ascii="Times New Roman" w:hAnsi="Times New Roman" w:cs="Times New Roman"/>
          <w:sz w:val="20"/>
          <w:szCs w:val="20"/>
        </w:rPr>
        <w:br/>
      </w:r>
    </w:p>
    <w:p w14:paraId="11876071" w14:textId="48119A5C" w:rsidR="00772C91" w:rsidRDefault="00772C91" w:rsidP="00772C91">
      <w:pPr>
        <w:pStyle w:val="ListParagraph"/>
        <w:numPr>
          <w:ilvl w:val="0"/>
          <w:numId w:val="1"/>
        </w:numPr>
        <w:rPr>
          <w:rFonts w:ascii="Times New Roman" w:hAnsi="Times New Roman" w:cs="Times New Roman"/>
          <w:sz w:val="20"/>
          <w:szCs w:val="20"/>
        </w:rPr>
      </w:pPr>
      <w:r w:rsidRPr="00CE7CB7">
        <w:rPr>
          <w:rFonts w:ascii="Times New Roman" w:hAnsi="Times New Roman" w:cs="Times New Roman"/>
          <w:b/>
          <w:bCs/>
          <w:sz w:val="20"/>
          <w:szCs w:val="20"/>
        </w:rPr>
        <w:t>Obligations to investigate, ensure access to justice and provide effective remedies</w:t>
      </w:r>
      <w:r w:rsidR="00CE7CB7" w:rsidRPr="00CE7CB7">
        <w:rPr>
          <w:rFonts w:ascii="Times New Roman" w:hAnsi="Times New Roman" w:cs="Times New Roman"/>
          <w:b/>
          <w:bCs/>
          <w:sz w:val="20"/>
          <w:szCs w:val="20"/>
        </w:rPr>
        <w:t>:</w:t>
      </w:r>
      <w:r w:rsidR="00CE7CB7">
        <w:rPr>
          <w:rFonts w:ascii="Times New Roman" w:hAnsi="Times New Roman" w:cs="Times New Roman"/>
          <w:sz w:val="20"/>
          <w:szCs w:val="20"/>
        </w:rPr>
        <w:t xml:space="preserve"> </w:t>
      </w:r>
      <w:r w:rsidR="00CE7CB7" w:rsidRPr="00CE7CB7">
        <w:rPr>
          <w:rFonts w:ascii="Times New Roman" w:hAnsi="Times New Roman" w:cs="Times New Roman"/>
          <w:sz w:val="20"/>
          <w:szCs w:val="20"/>
        </w:rPr>
        <w:t xml:space="preserve">Validity’s </w:t>
      </w:r>
      <w:r w:rsidR="00A21711">
        <w:rPr>
          <w:rFonts w:ascii="Times New Roman" w:hAnsi="Times New Roman" w:cs="Times New Roman"/>
          <w:sz w:val="20"/>
          <w:szCs w:val="20"/>
        </w:rPr>
        <w:t xml:space="preserve">research and </w:t>
      </w:r>
      <w:r w:rsidR="00CE7CB7" w:rsidRPr="00CE7CB7">
        <w:rPr>
          <w:rFonts w:ascii="Times New Roman" w:hAnsi="Times New Roman" w:cs="Times New Roman"/>
          <w:sz w:val="20"/>
          <w:szCs w:val="20"/>
        </w:rPr>
        <w:t>cases repeatedly demonstrate that persons with disabilities reporting violence encounter disbelief, stereotyping, denial or restriction of legal capacity, inaccessible procedures, institutional control of evidence, conflicts of interest and retaliation.</w:t>
      </w:r>
      <w:r w:rsidR="00A21711">
        <w:rPr>
          <w:rStyle w:val="FootnoteReference"/>
          <w:rFonts w:ascii="Times New Roman" w:hAnsi="Times New Roman" w:cs="Times New Roman"/>
          <w:sz w:val="20"/>
          <w:szCs w:val="20"/>
        </w:rPr>
        <w:footnoteReference w:id="22"/>
      </w:r>
      <w:r w:rsidR="00CE7CB7" w:rsidRPr="00CE7CB7">
        <w:rPr>
          <w:rFonts w:ascii="Times New Roman" w:hAnsi="Times New Roman" w:cs="Times New Roman"/>
          <w:sz w:val="20"/>
          <w:szCs w:val="20"/>
        </w:rPr>
        <w:t xml:space="preserve"> The Guidelines should therefore make clear that States parties must </w:t>
      </w:r>
      <w:r w:rsidR="00CE7CB7" w:rsidRPr="00CE7CB7">
        <w:rPr>
          <w:rFonts w:ascii="Times New Roman" w:hAnsi="Times New Roman" w:cs="Times New Roman"/>
          <w:sz w:val="20"/>
          <w:szCs w:val="20"/>
        </w:rPr>
        <w:lastRenderedPageBreak/>
        <w:t>ensure prompt, independent, impartial, thorough and effective investigations into all credible indications of disability-based violence,</w:t>
      </w:r>
      <w:r w:rsidR="00EE590E">
        <w:rPr>
          <w:rStyle w:val="FootnoteReference"/>
          <w:rFonts w:ascii="Times New Roman" w:hAnsi="Times New Roman" w:cs="Times New Roman"/>
          <w:sz w:val="20"/>
          <w:szCs w:val="20"/>
        </w:rPr>
        <w:footnoteReference w:id="23"/>
      </w:r>
      <w:r w:rsidR="00CE7CB7" w:rsidRPr="00CE7CB7">
        <w:rPr>
          <w:rFonts w:ascii="Times New Roman" w:hAnsi="Times New Roman" w:cs="Times New Roman"/>
          <w:sz w:val="20"/>
          <w:szCs w:val="20"/>
        </w:rPr>
        <w:t xml:space="preserve"> including where no formal complaint has been made because the person is detained, isolated, unable to access communication, or reasonably fears reprisals. Investigations must examine not only the conduct of immediate perpetrators but also the laws, policies, management decisions, professional practices and failures of supervision that enabled or perpetuated the violence. Survivors must be recognised as rights holders with full legal capacity to report violations, give evidence, instruct lawyers and participate in proceedings.</w:t>
      </w:r>
      <w:r w:rsidR="005A04FC">
        <w:rPr>
          <w:rStyle w:val="FootnoteReference"/>
          <w:rFonts w:ascii="Times New Roman" w:hAnsi="Times New Roman" w:cs="Times New Roman"/>
          <w:sz w:val="20"/>
          <w:szCs w:val="20"/>
        </w:rPr>
        <w:footnoteReference w:id="24"/>
      </w:r>
      <w:r w:rsidR="00CE7CB7" w:rsidRPr="00CE7CB7">
        <w:rPr>
          <w:rFonts w:ascii="Times New Roman" w:hAnsi="Times New Roman" w:cs="Times New Roman"/>
          <w:sz w:val="20"/>
          <w:szCs w:val="20"/>
        </w:rPr>
        <w:t xml:space="preserve"> States must provide accessible information, procedural accommodations, communication support, independent advocacy, legal assistance, protection against retaliation and measures to preserve and disclose relevant institutional, medical and administrative records. Remedies must be accessible, timely, effective and capable of ending ongoing violations and addressing individual, collective and structural harm; internal complaints procedures controlled by institutions or professional systems implicated in the violence cannot constitute an adequate substitute for independent judicial and administrative remedies.</w:t>
      </w:r>
      <w:r>
        <w:rPr>
          <w:rFonts w:ascii="Times New Roman" w:hAnsi="Times New Roman" w:cs="Times New Roman"/>
          <w:sz w:val="20"/>
          <w:szCs w:val="20"/>
        </w:rPr>
        <w:br/>
      </w:r>
    </w:p>
    <w:p w14:paraId="1E42475E" w14:textId="2A3877E3" w:rsidR="00CE7CB7" w:rsidRPr="00CE7CB7" w:rsidRDefault="00772C91" w:rsidP="00CE7CB7">
      <w:pPr>
        <w:pStyle w:val="ListParagraph"/>
        <w:numPr>
          <w:ilvl w:val="0"/>
          <w:numId w:val="1"/>
        </w:numPr>
        <w:rPr>
          <w:rFonts w:ascii="Times New Roman" w:hAnsi="Times New Roman" w:cs="Times New Roman"/>
          <w:sz w:val="20"/>
          <w:szCs w:val="20"/>
        </w:rPr>
      </w:pPr>
      <w:r w:rsidRPr="00CE7CB7">
        <w:rPr>
          <w:rFonts w:ascii="Times New Roman" w:hAnsi="Times New Roman" w:cs="Times New Roman"/>
          <w:b/>
          <w:bCs/>
          <w:sz w:val="20"/>
          <w:szCs w:val="20"/>
        </w:rPr>
        <w:t>Reparations</w:t>
      </w:r>
      <w:r w:rsidR="00CE7CB7" w:rsidRPr="00CE7CB7">
        <w:rPr>
          <w:rFonts w:ascii="Times New Roman" w:hAnsi="Times New Roman" w:cs="Times New Roman"/>
          <w:b/>
          <w:bCs/>
          <w:sz w:val="20"/>
          <w:szCs w:val="20"/>
        </w:rPr>
        <w:t>:</w:t>
      </w:r>
      <w:r w:rsidR="002043C5">
        <w:rPr>
          <w:rStyle w:val="FootnoteReference"/>
          <w:rFonts w:ascii="Times New Roman" w:hAnsi="Times New Roman" w:cs="Times New Roman"/>
          <w:b/>
          <w:bCs/>
          <w:sz w:val="20"/>
          <w:szCs w:val="20"/>
        </w:rPr>
        <w:footnoteReference w:id="25"/>
      </w:r>
      <w:r w:rsidR="00CE7CB7">
        <w:rPr>
          <w:rFonts w:ascii="Times New Roman" w:hAnsi="Times New Roman" w:cs="Times New Roman"/>
          <w:sz w:val="20"/>
          <w:szCs w:val="20"/>
        </w:rPr>
        <w:t xml:space="preserve"> </w:t>
      </w:r>
      <w:r w:rsidR="00CE7CB7" w:rsidRPr="00CE7CB7">
        <w:rPr>
          <w:rFonts w:ascii="Times New Roman" w:hAnsi="Times New Roman" w:cs="Times New Roman"/>
          <w:sz w:val="20"/>
          <w:szCs w:val="20"/>
        </w:rPr>
        <w:t>Cessation and investigation must be accompanied by full and effective reparation for the material and moral harm caused by disability-based violence. Reparations should be designed with survivors and their representative organisations and should include, as appropriate, restitution, compensation, habilitation and rehabilitation, satisfaction and guarantees of non-repetition.</w:t>
      </w:r>
      <w:r w:rsidR="00882C12">
        <w:rPr>
          <w:rStyle w:val="FootnoteReference"/>
          <w:rFonts w:ascii="Times New Roman" w:hAnsi="Times New Roman" w:cs="Times New Roman"/>
          <w:sz w:val="20"/>
          <w:szCs w:val="20"/>
        </w:rPr>
        <w:footnoteReference w:id="26"/>
      </w:r>
      <w:r w:rsidR="00CE7CB7" w:rsidRPr="00CE7CB7">
        <w:rPr>
          <w:rFonts w:ascii="Times New Roman" w:hAnsi="Times New Roman" w:cs="Times New Roman"/>
          <w:sz w:val="20"/>
          <w:szCs w:val="20"/>
        </w:rPr>
        <w:t xml:space="preserve"> In the contexts in which Validity works, restitution </w:t>
      </w:r>
      <w:r w:rsidR="00227776">
        <w:rPr>
          <w:rFonts w:ascii="Times New Roman" w:hAnsi="Times New Roman" w:cs="Times New Roman"/>
          <w:sz w:val="20"/>
          <w:szCs w:val="20"/>
        </w:rPr>
        <w:t xml:space="preserve">goes beyond the immediate obligation of cessation (see para. </w:t>
      </w:r>
      <w:r w:rsidR="003D5D74">
        <w:rPr>
          <w:rFonts w:ascii="Times New Roman" w:hAnsi="Times New Roman" w:cs="Times New Roman"/>
          <w:sz w:val="20"/>
          <w:szCs w:val="20"/>
        </w:rPr>
        <w:t xml:space="preserve">11 above) and </w:t>
      </w:r>
      <w:r w:rsidR="00BE56B0">
        <w:rPr>
          <w:rFonts w:ascii="Times New Roman" w:hAnsi="Times New Roman" w:cs="Times New Roman"/>
          <w:sz w:val="20"/>
          <w:szCs w:val="20"/>
        </w:rPr>
        <w:t>encompasses</w:t>
      </w:r>
      <w:r w:rsidR="00CE7CB7" w:rsidRPr="00CE7CB7">
        <w:rPr>
          <w:rFonts w:ascii="Times New Roman" w:hAnsi="Times New Roman" w:cs="Times New Roman"/>
          <w:sz w:val="20"/>
          <w:szCs w:val="20"/>
        </w:rPr>
        <w:t xml:space="preserve"> restoration of legal capacity, family relationships, property, benefits, employment or educational opportunities; removal of discriminatory records or status markers; provision of identity documents; and access to housing and community support. Compensation must reflect the full physical, psychological, social and economic consequences of the violence. Habilitation, rehabilitation and trauma support must respect the survivor’s will and preferences and must be available independently of any institution, profession or mental</w:t>
      </w:r>
      <w:r w:rsidR="00CE7CB7">
        <w:rPr>
          <w:rFonts w:ascii="Times New Roman" w:hAnsi="Times New Roman" w:cs="Times New Roman"/>
          <w:sz w:val="20"/>
          <w:szCs w:val="20"/>
        </w:rPr>
        <w:t xml:space="preserve"> </w:t>
      </w:r>
      <w:r w:rsidR="00CE7CB7" w:rsidRPr="00CE7CB7">
        <w:rPr>
          <w:rFonts w:ascii="Times New Roman" w:hAnsi="Times New Roman" w:cs="Times New Roman"/>
          <w:sz w:val="20"/>
          <w:szCs w:val="20"/>
        </w:rPr>
        <w:t>health system responsible for causing, authorising or denying the harm. Satisfaction may include official acknowledgement, public apology, disclosure of the truth, preservation of evidence, memorialisation and recognition of persons who died or whose lives were profoundly altered by the violations. Reparations mechanisms must be independent, accessible, free of charge and capable of awarding both individual and collective measures.</w:t>
      </w:r>
      <w:r w:rsidR="00CE7CB7">
        <w:rPr>
          <w:rFonts w:ascii="Times New Roman" w:hAnsi="Times New Roman" w:cs="Times New Roman"/>
          <w:sz w:val="20"/>
          <w:szCs w:val="20"/>
        </w:rPr>
        <w:br/>
      </w:r>
    </w:p>
    <w:p w14:paraId="438EB408" w14:textId="77777777" w:rsidR="00CE7CB7" w:rsidRDefault="00CE7CB7" w:rsidP="00CE7CB7">
      <w:pPr>
        <w:pStyle w:val="ListParagraph"/>
        <w:numPr>
          <w:ilvl w:val="0"/>
          <w:numId w:val="1"/>
        </w:numPr>
        <w:rPr>
          <w:rFonts w:ascii="Times New Roman" w:hAnsi="Times New Roman" w:cs="Times New Roman"/>
          <w:sz w:val="20"/>
          <w:szCs w:val="20"/>
        </w:rPr>
      </w:pPr>
      <w:r w:rsidRPr="00CE7CB7">
        <w:rPr>
          <w:rFonts w:ascii="Times New Roman" w:hAnsi="Times New Roman" w:cs="Times New Roman"/>
          <w:b/>
          <w:bCs/>
          <w:sz w:val="20"/>
          <w:szCs w:val="20"/>
        </w:rPr>
        <w:t>Guarantees of non-repetition</w:t>
      </w:r>
      <w:r w:rsidRPr="00CE7CB7">
        <w:rPr>
          <w:rFonts w:ascii="Times New Roman" w:hAnsi="Times New Roman" w:cs="Times New Roman"/>
          <w:sz w:val="20"/>
          <w:szCs w:val="20"/>
        </w:rPr>
        <w:t xml:space="preserve"> must address the structural conditions that permitted the violence. Depending on the form of disability-based violence, they may require repeal of discriminatory legislation; abolition of institutionalisation, guardianship and coercive mental</w:t>
      </w:r>
      <w:r>
        <w:rPr>
          <w:rFonts w:ascii="Times New Roman" w:hAnsi="Times New Roman" w:cs="Times New Roman"/>
          <w:sz w:val="20"/>
          <w:szCs w:val="20"/>
        </w:rPr>
        <w:t xml:space="preserve"> </w:t>
      </w:r>
      <w:r w:rsidRPr="00CE7CB7">
        <w:rPr>
          <w:rFonts w:ascii="Times New Roman" w:hAnsi="Times New Roman" w:cs="Times New Roman"/>
          <w:sz w:val="20"/>
          <w:szCs w:val="20"/>
        </w:rPr>
        <w:t>health regimes; transfer of resources from institutions to support controlled by persons with disabilities; reform of investigative, prosecutorial and judicial practices; independent monitoring; preservation and publication of records; accountability of public authorities and private providers; and measures to combat ableism and disability-based stereotypes. Training alone is not an adequate guarantee of non-repetition where violence remains authorised by law, financed through public systems or embedded in professional standards. Nor may reparations be treated as a substitute for cessation: no payment, apology or support service can legitimise the continuation of disability-</w:t>
      </w:r>
      <w:r w:rsidRPr="00CE7CB7">
        <w:rPr>
          <w:rFonts w:ascii="Times New Roman" w:hAnsi="Times New Roman" w:cs="Times New Roman"/>
          <w:sz w:val="20"/>
          <w:szCs w:val="20"/>
        </w:rPr>
        <w:lastRenderedPageBreak/>
        <w:t>based detention, forced treatment or other ongoing violence.</w:t>
      </w:r>
      <w:r>
        <w:rPr>
          <w:rFonts w:ascii="Times New Roman" w:hAnsi="Times New Roman" w:cs="Times New Roman"/>
          <w:sz w:val="20"/>
          <w:szCs w:val="20"/>
        </w:rPr>
        <w:br/>
      </w:r>
    </w:p>
    <w:p w14:paraId="6A5A0430" w14:textId="08611D54" w:rsidR="00772C91" w:rsidRPr="00CE7CB7" w:rsidRDefault="00CE7CB7" w:rsidP="00CE7CB7">
      <w:pPr>
        <w:pStyle w:val="ListParagraph"/>
        <w:numPr>
          <w:ilvl w:val="0"/>
          <w:numId w:val="1"/>
        </w:numPr>
        <w:rPr>
          <w:rFonts w:ascii="Times New Roman" w:hAnsi="Times New Roman" w:cs="Times New Roman"/>
          <w:sz w:val="20"/>
          <w:szCs w:val="20"/>
        </w:rPr>
      </w:pPr>
      <w:r w:rsidRPr="00CE7CB7">
        <w:rPr>
          <w:rFonts w:ascii="Times New Roman" w:hAnsi="Times New Roman" w:cs="Times New Roman"/>
          <w:b/>
          <w:bCs/>
          <w:sz w:val="20"/>
          <w:szCs w:val="20"/>
        </w:rPr>
        <w:t>Application of articles 12</w:t>
      </w:r>
      <w:r w:rsidR="00A64DD5">
        <w:rPr>
          <w:rFonts w:ascii="Times New Roman" w:hAnsi="Times New Roman" w:cs="Times New Roman"/>
          <w:b/>
          <w:bCs/>
          <w:sz w:val="20"/>
          <w:szCs w:val="20"/>
        </w:rPr>
        <w:t>—</w:t>
      </w:r>
      <w:r w:rsidRPr="00CE7CB7">
        <w:rPr>
          <w:rFonts w:ascii="Times New Roman" w:hAnsi="Times New Roman" w:cs="Times New Roman"/>
          <w:b/>
          <w:bCs/>
          <w:sz w:val="20"/>
          <w:szCs w:val="20"/>
        </w:rPr>
        <w:t>17, 19 and 25:</w:t>
      </w:r>
      <w:r>
        <w:rPr>
          <w:rFonts w:ascii="Times New Roman" w:hAnsi="Times New Roman" w:cs="Times New Roman"/>
          <w:sz w:val="20"/>
          <w:szCs w:val="20"/>
        </w:rPr>
        <w:t xml:space="preserve"> </w:t>
      </w:r>
      <w:r w:rsidRPr="00CE7CB7">
        <w:rPr>
          <w:rFonts w:ascii="Times New Roman" w:hAnsi="Times New Roman" w:cs="Times New Roman"/>
          <w:sz w:val="20"/>
          <w:szCs w:val="20"/>
        </w:rPr>
        <w:t xml:space="preserve">The Guidelines should avoid framing disability-based violence </w:t>
      </w:r>
      <w:r w:rsidR="00171D6C">
        <w:rPr>
          <w:rFonts w:ascii="Times New Roman" w:hAnsi="Times New Roman" w:cs="Times New Roman"/>
          <w:sz w:val="20"/>
          <w:szCs w:val="20"/>
        </w:rPr>
        <w:t xml:space="preserve">solely </w:t>
      </w:r>
      <w:r w:rsidRPr="00CE7CB7">
        <w:rPr>
          <w:rFonts w:ascii="Times New Roman" w:hAnsi="Times New Roman" w:cs="Times New Roman"/>
          <w:sz w:val="20"/>
          <w:szCs w:val="20"/>
        </w:rPr>
        <w:t>through article 16 in isolation. Validity’s litigation demonstrates that the same discriminatory legal and service architecture commonly produces a chain of mutually reinforcing violations: denial of legal capacity enables involuntary placement or detention; detention facilitates forced treatment and other violations of bodily and mental integrity; institutional isolation creates conditions for sexual, physical, psychological and economic violence; and the denial of legal standing and procedural accommodations prevents survivors from obtaining justice.</w:t>
      </w:r>
      <w:r w:rsidR="00171D6C">
        <w:rPr>
          <w:rStyle w:val="FootnoteReference"/>
          <w:rFonts w:ascii="Times New Roman" w:hAnsi="Times New Roman" w:cs="Times New Roman"/>
          <w:sz w:val="20"/>
          <w:szCs w:val="20"/>
        </w:rPr>
        <w:footnoteReference w:id="27"/>
      </w:r>
      <w:r w:rsidRPr="00CE7CB7">
        <w:rPr>
          <w:rFonts w:ascii="Times New Roman" w:hAnsi="Times New Roman" w:cs="Times New Roman"/>
          <w:sz w:val="20"/>
          <w:szCs w:val="20"/>
        </w:rPr>
        <w:t xml:space="preserve"> State obligations must therefore be articulated through the combined application of articles 12–17, 19 and 25</w:t>
      </w:r>
      <w:r w:rsidR="00171D6C">
        <w:rPr>
          <w:rFonts w:ascii="Times New Roman" w:hAnsi="Times New Roman" w:cs="Times New Roman"/>
          <w:sz w:val="20"/>
          <w:szCs w:val="20"/>
        </w:rPr>
        <w:t xml:space="preserve">, </w:t>
      </w:r>
      <w:r w:rsidR="00655933">
        <w:rPr>
          <w:rFonts w:ascii="Times New Roman" w:hAnsi="Times New Roman" w:cs="Times New Roman"/>
          <w:sz w:val="20"/>
          <w:szCs w:val="20"/>
        </w:rPr>
        <w:t>alongside the general principles and obligations contained in articles 3</w:t>
      </w:r>
      <w:r w:rsidR="00A64DD5">
        <w:rPr>
          <w:rFonts w:ascii="Times New Roman" w:hAnsi="Times New Roman" w:cs="Times New Roman"/>
          <w:sz w:val="20"/>
          <w:szCs w:val="20"/>
        </w:rPr>
        <w:t>—</w:t>
      </w:r>
      <w:r w:rsidR="00655933">
        <w:rPr>
          <w:rFonts w:ascii="Times New Roman" w:hAnsi="Times New Roman" w:cs="Times New Roman"/>
          <w:sz w:val="20"/>
          <w:szCs w:val="20"/>
        </w:rPr>
        <w:t>5</w:t>
      </w:r>
      <w:r w:rsidR="00A64DD5">
        <w:rPr>
          <w:rFonts w:ascii="Times New Roman" w:hAnsi="Times New Roman" w:cs="Times New Roman"/>
          <w:sz w:val="20"/>
          <w:szCs w:val="20"/>
        </w:rPr>
        <w:t>.</w:t>
      </w:r>
      <w:r w:rsidRPr="00CE7CB7">
        <w:rPr>
          <w:rFonts w:ascii="Times New Roman" w:hAnsi="Times New Roman" w:cs="Times New Roman"/>
          <w:sz w:val="20"/>
          <w:szCs w:val="20"/>
        </w:rPr>
        <w:t xml:space="preserve"> These obligations are interdependent: compliance with one provision cannot justify departure from another, and purported objectives of </w:t>
      </w:r>
      <w:r>
        <w:rPr>
          <w:rFonts w:ascii="Times New Roman" w:hAnsi="Times New Roman" w:cs="Times New Roman"/>
          <w:sz w:val="20"/>
          <w:szCs w:val="20"/>
        </w:rPr>
        <w:t>“</w:t>
      </w:r>
      <w:r w:rsidRPr="00CE7CB7">
        <w:rPr>
          <w:rFonts w:ascii="Times New Roman" w:hAnsi="Times New Roman" w:cs="Times New Roman"/>
          <w:sz w:val="20"/>
          <w:szCs w:val="20"/>
        </w:rPr>
        <w:t>care</w:t>
      </w:r>
      <w:r>
        <w:rPr>
          <w:rFonts w:ascii="Times New Roman" w:hAnsi="Times New Roman" w:cs="Times New Roman"/>
          <w:sz w:val="20"/>
          <w:szCs w:val="20"/>
        </w:rPr>
        <w:t>”</w:t>
      </w:r>
      <w:r w:rsidRPr="00CE7CB7">
        <w:rPr>
          <w:rFonts w:ascii="Times New Roman" w:hAnsi="Times New Roman" w:cs="Times New Roman"/>
          <w:sz w:val="20"/>
          <w:szCs w:val="20"/>
        </w:rPr>
        <w:t>, treatment, protection, risk management or public safety cannot legitimise disability-based violence prohibited by the Convention.</w:t>
      </w:r>
    </w:p>
    <w:p w14:paraId="6E7567C0" w14:textId="2349B7B0" w:rsidR="00CE7C13" w:rsidRPr="00DB7A2F" w:rsidRDefault="00DB7A2F" w:rsidP="00FA2955">
      <w:pPr>
        <w:pStyle w:val="Heading2"/>
      </w:pPr>
      <w:r>
        <w:t xml:space="preserve">IV. </w:t>
      </w:r>
      <w:r w:rsidR="003D2101">
        <w:t>LEGAL CONSEQUENCES AND SPECIFIC MANIFESTATIONS OF DISABILITY-BASED VIOLENCE</w:t>
      </w:r>
    </w:p>
    <w:p w14:paraId="5E35422D" w14:textId="2981864F" w:rsidR="003D2101" w:rsidRPr="003D2101" w:rsidRDefault="003D2101" w:rsidP="003D2101">
      <w:pPr>
        <w:pStyle w:val="ListParagraph"/>
        <w:numPr>
          <w:ilvl w:val="0"/>
          <w:numId w:val="1"/>
        </w:numPr>
        <w:rPr>
          <w:rFonts w:ascii="Times New Roman" w:hAnsi="Times New Roman" w:cs="Times New Roman"/>
          <w:sz w:val="20"/>
          <w:szCs w:val="20"/>
        </w:rPr>
      </w:pPr>
      <w:r w:rsidRPr="003D2101">
        <w:rPr>
          <w:rFonts w:ascii="Times New Roman" w:hAnsi="Times New Roman" w:cs="Times New Roman"/>
          <w:b/>
          <w:bCs/>
          <w:sz w:val="20"/>
          <w:szCs w:val="20"/>
        </w:rPr>
        <w:t>Disability-based violence amounting to torture or other cruel, inhuman or degrading treatment or punishment:</w:t>
      </w:r>
      <w:r w:rsidRPr="003D2101">
        <w:rPr>
          <w:rFonts w:ascii="Times New Roman" w:hAnsi="Times New Roman" w:cs="Times New Roman"/>
          <w:sz w:val="20"/>
          <w:szCs w:val="20"/>
        </w:rPr>
        <w:t xml:space="preserve"> Not every form of disability-based violence will necessarily reach the legal threshold of torture or other cruel, inhuman or degrading treatment or punishment. The Guidelines should nevertheless identify clearly those practices that violate article 15 of the Convention and distinguish them from other forms of disability-based violence that may amount to torture or other ill-treatment depending on their nature, severity, purpose, duration, cumulative effects and surrounding circumstances. Relevant considerations include whether the conduct is discriminatory on the basis of disability; whether it is authorised, perpetrated, tolerated or acquiesced in by the State; whether the person is detained, institutionalised, dependent upon the perpetrator or otherwise placed in a situation of powerlessness; and whether the conduct is intended or foreseeably operates to punish, intimidate, silence, control or “correct” the person’s body, mind, behaviour, identity or choices.</w:t>
      </w:r>
      <w:r>
        <w:rPr>
          <w:rFonts w:ascii="Times New Roman" w:hAnsi="Times New Roman" w:cs="Times New Roman"/>
          <w:sz w:val="20"/>
          <w:szCs w:val="20"/>
        </w:rPr>
        <w:t xml:space="preserve"> </w:t>
      </w:r>
      <w:r w:rsidRPr="003D2101">
        <w:rPr>
          <w:rFonts w:ascii="Times New Roman" w:hAnsi="Times New Roman" w:cs="Times New Roman"/>
          <w:sz w:val="20"/>
          <w:szCs w:val="20"/>
        </w:rPr>
        <w:t>Practices recognised within the CRPD framework as</w:t>
      </w:r>
      <w:r w:rsidR="00171D6C">
        <w:rPr>
          <w:rFonts w:ascii="Times New Roman" w:hAnsi="Times New Roman" w:cs="Times New Roman"/>
          <w:sz w:val="20"/>
          <w:szCs w:val="20"/>
        </w:rPr>
        <w:t xml:space="preserve"> amounting to torture or ill-treatment under</w:t>
      </w:r>
      <w:r w:rsidRPr="003D2101">
        <w:rPr>
          <w:rFonts w:ascii="Times New Roman" w:hAnsi="Times New Roman" w:cs="Times New Roman"/>
          <w:sz w:val="20"/>
          <w:szCs w:val="20"/>
        </w:rPr>
        <w:t xml:space="preserve"> article 15 include forced or non-consensual psychiatric treatment, electroshock, psychosurgery, physical, mechanical or chemical restraint, seclusion or solitary confinement, and forced or non-consensual sterilisation, abortion or contraception.</w:t>
      </w:r>
      <w:r w:rsidR="0040363B">
        <w:rPr>
          <w:rStyle w:val="FootnoteReference"/>
          <w:rFonts w:ascii="Times New Roman" w:hAnsi="Times New Roman" w:cs="Times New Roman"/>
          <w:sz w:val="20"/>
          <w:szCs w:val="20"/>
        </w:rPr>
        <w:footnoteReference w:id="28"/>
      </w:r>
      <w:r w:rsidRPr="003D2101">
        <w:rPr>
          <w:rFonts w:ascii="Times New Roman" w:hAnsi="Times New Roman" w:cs="Times New Roman"/>
          <w:sz w:val="20"/>
          <w:szCs w:val="20"/>
        </w:rPr>
        <w:t xml:space="preserve"> Enforced sterilisation is also expressly recognised within international criminal law. Other conduct</w:t>
      </w:r>
      <w:r w:rsidR="00171D6C">
        <w:rPr>
          <w:rFonts w:ascii="Times New Roman" w:hAnsi="Times New Roman" w:cs="Times New Roman"/>
          <w:sz w:val="20"/>
          <w:szCs w:val="20"/>
        </w:rPr>
        <w:t xml:space="preserve"> – </w:t>
      </w:r>
      <w:r w:rsidRPr="003D2101">
        <w:rPr>
          <w:rFonts w:ascii="Times New Roman" w:hAnsi="Times New Roman" w:cs="Times New Roman"/>
          <w:sz w:val="20"/>
          <w:szCs w:val="20"/>
        </w:rPr>
        <w:t>including sexual violence, degrading living conditions, denial of reasonable accommodation in detention, deprivation of food, medication, communication or mobility aids, and prolonged isolation</w:t>
      </w:r>
      <w:r w:rsidR="00171D6C">
        <w:rPr>
          <w:rFonts w:ascii="Times New Roman" w:hAnsi="Times New Roman" w:cs="Times New Roman"/>
          <w:sz w:val="20"/>
          <w:szCs w:val="20"/>
        </w:rPr>
        <w:t xml:space="preserve"> – </w:t>
      </w:r>
      <w:r w:rsidRPr="003D2101">
        <w:rPr>
          <w:rFonts w:ascii="Times New Roman" w:hAnsi="Times New Roman" w:cs="Times New Roman"/>
          <w:sz w:val="20"/>
          <w:szCs w:val="20"/>
        </w:rPr>
        <w:t>may also amount to torture or other ill-treatment according to the applicable threshold and context. Purported therapeutic purpose, medical necessity, “best interests”, risk management or compliance with professional standards must not operate as disability-based exceptions to equal protection under article 15.</w:t>
      </w:r>
      <w:r w:rsidR="00997DE9">
        <w:rPr>
          <w:rFonts w:ascii="Times New Roman" w:hAnsi="Times New Roman" w:cs="Times New Roman"/>
          <w:sz w:val="20"/>
          <w:szCs w:val="20"/>
        </w:rPr>
        <w:br/>
      </w:r>
    </w:p>
    <w:p w14:paraId="25660C02" w14:textId="47EAC9A4" w:rsidR="00997DE9" w:rsidRPr="00997DE9" w:rsidRDefault="00997DE9" w:rsidP="00997DE9">
      <w:pPr>
        <w:pStyle w:val="ListParagraph"/>
        <w:numPr>
          <w:ilvl w:val="0"/>
          <w:numId w:val="1"/>
        </w:numPr>
        <w:rPr>
          <w:rFonts w:ascii="Times New Roman" w:hAnsi="Times New Roman" w:cs="Times New Roman"/>
          <w:sz w:val="20"/>
          <w:szCs w:val="20"/>
        </w:rPr>
      </w:pPr>
      <w:r w:rsidRPr="00997DE9">
        <w:rPr>
          <w:rFonts w:ascii="Times New Roman" w:hAnsi="Times New Roman" w:cs="Times New Roman"/>
          <w:b/>
          <w:bCs/>
          <w:sz w:val="20"/>
          <w:szCs w:val="20"/>
        </w:rPr>
        <w:t>Institutionalisation and psychiatric violence:</w:t>
      </w:r>
      <w:r w:rsidRPr="00997DE9">
        <w:rPr>
          <w:rFonts w:ascii="Times New Roman" w:hAnsi="Times New Roman" w:cs="Times New Roman"/>
          <w:sz w:val="20"/>
          <w:szCs w:val="20"/>
        </w:rPr>
        <w:t xml:space="preserve"> Institutionalisation on the basis of disability is itself a form of disability-based and structural violence. It entails segregation from the community, deprivation of autonomy and control over daily life, disruption of personal and family relationships, and exposure to unequal relations of power. Institutions also create and maintain conditions in which additional forms of physical, psychological, sexual, reproductive and economic violence can occur, remain concealed and escape effective investigation. The Committee’s Guidelines on Deinstitutionalization accordingly state that there is no justification for perpetuating institutionalisation, that a lack of community support cannot justify delay, and that persons experiencing crisis must never be subjected to institutionalisation, forced medication or forced treatment.</w:t>
      </w:r>
      <w:r w:rsidR="00FC5A73">
        <w:rPr>
          <w:rStyle w:val="FootnoteReference"/>
          <w:rFonts w:ascii="Times New Roman" w:hAnsi="Times New Roman" w:cs="Times New Roman"/>
          <w:sz w:val="20"/>
          <w:szCs w:val="20"/>
        </w:rPr>
        <w:footnoteReference w:id="29"/>
      </w:r>
      <w:r w:rsidRPr="00997DE9">
        <w:rPr>
          <w:rFonts w:ascii="Times New Roman" w:hAnsi="Times New Roman" w:cs="Times New Roman"/>
          <w:sz w:val="20"/>
          <w:szCs w:val="20"/>
        </w:rPr>
        <w:t xml:space="preserve"> Psychiatric violence is a related but distinct form of disability-based and structural violence. It includes disability-based deprivation of liberty, forced or non-consensual treatment, restraint, seclusion, compulsory outpatient measures, threats of coercive intervention, and the use of mental</w:t>
      </w:r>
      <w:r>
        <w:rPr>
          <w:rFonts w:ascii="Times New Roman" w:hAnsi="Times New Roman" w:cs="Times New Roman"/>
          <w:sz w:val="20"/>
          <w:szCs w:val="20"/>
        </w:rPr>
        <w:t xml:space="preserve"> </w:t>
      </w:r>
      <w:r w:rsidRPr="00997DE9">
        <w:rPr>
          <w:rFonts w:ascii="Times New Roman" w:hAnsi="Times New Roman" w:cs="Times New Roman"/>
          <w:sz w:val="20"/>
          <w:szCs w:val="20"/>
        </w:rPr>
        <w:t xml:space="preserve">health </w:t>
      </w:r>
      <w:r w:rsidRPr="00997DE9">
        <w:rPr>
          <w:rFonts w:ascii="Times New Roman" w:hAnsi="Times New Roman" w:cs="Times New Roman"/>
          <w:sz w:val="20"/>
          <w:szCs w:val="20"/>
        </w:rPr>
        <w:lastRenderedPageBreak/>
        <w:t>laws or professional authority to deny legal capacity and control a person’s body, mind, behaviour or choices. Psychiatric violence may occur within institutions, in general healthcare and detention settings, or in homes and communities. Its scope is therefore neither confined to institutionalisation nor synonymous with violence occurring in institutions. States are under immediate obligations to cease State-authorised violence, release persons from disability-based detention,</w:t>
      </w:r>
      <w:r w:rsidR="00846BA1">
        <w:rPr>
          <w:rStyle w:val="FootnoteReference"/>
          <w:rFonts w:ascii="Times New Roman" w:hAnsi="Times New Roman" w:cs="Times New Roman"/>
          <w:sz w:val="20"/>
          <w:szCs w:val="20"/>
        </w:rPr>
        <w:footnoteReference w:id="30"/>
      </w:r>
      <w:r w:rsidRPr="00997DE9">
        <w:rPr>
          <w:rFonts w:ascii="Times New Roman" w:hAnsi="Times New Roman" w:cs="Times New Roman"/>
          <w:sz w:val="20"/>
          <w:szCs w:val="20"/>
        </w:rPr>
        <w:t xml:space="preserve"> repeal the laws and arrangements sustaining it, investigate violations, provide effective remedies and reparations, and develop community support in accordance with the will and preferences of persons with disabilities.</w:t>
      </w:r>
      <w:r>
        <w:br/>
      </w:r>
    </w:p>
    <w:p w14:paraId="5D14A676" w14:textId="4DF17FE3" w:rsidR="00C407F3" w:rsidRPr="00997DE9" w:rsidRDefault="00997DE9" w:rsidP="00997DE9">
      <w:pPr>
        <w:pStyle w:val="ListParagraph"/>
        <w:numPr>
          <w:ilvl w:val="0"/>
          <w:numId w:val="1"/>
        </w:numPr>
        <w:rPr>
          <w:rFonts w:ascii="Times New Roman" w:hAnsi="Times New Roman" w:cs="Times New Roman"/>
          <w:sz w:val="20"/>
          <w:szCs w:val="20"/>
        </w:rPr>
      </w:pPr>
      <w:r w:rsidRPr="00997DE9">
        <w:rPr>
          <w:rFonts w:ascii="Times New Roman" w:hAnsi="Times New Roman" w:cs="Times New Roman"/>
          <w:b/>
          <w:bCs/>
          <w:sz w:val="20"/>
          <w:szCs w:val="20"/>
        </w:rPr>
        <w:t>Disability-based violence and international crimes:</w:t>
      </w:r>
      <w:r w:rsidRPr="00997DE9">
        <w:rPr>
          <w:rFonts w:ascii="Times New Roman" w:hAnsi="Times New Roman" w:cs="Times New Roman"/>
          <w:sz w:val="20"/>
          <w:szCs w:val="20"/>
        </w:rPr>
        <w:t xml:space="preserve"> The Guidelines should recognise that disability-based violence may, where the distinct elements of the relevant offence are satisfied, constitute an international crime.</w:t>
      </w:r>
      <w:r w:rsidR="00CE29CA">
        <w:rPr>
          <w:rStyle w:val="FootnoteReference"/>
          <w:rFonts w:ascii="Times New Roman" w:hAnsi="Times New Roman" w:cs="Times New Roman"/>
          <w:sz w:val="20"/>
          <w:szCs w:val="20"/>
        </w:rPr>
        <w:footnoteReference w:id="31"/>
      </w:r>
      <w:r w:rsidRPr="00997DE9">
        <w:rPr>
          <w:rFonts w:ascii="Times New Roman" w:hAnsi="Times New Roman" w:cs="Times New Roman"/>
          <w:sz w:val="20"/>
          <w:szCs w:val="20"/>
        </w:rPr>
        <w:t xml:space="preserve"> Grave or systematic violations under article 6 of the Optional Protocol do not automatically amount to crimes against humanity, war crimes or genocide; nor is the expression “gross violations” an adequate substitute for applying the particular legal requirements of each category. Disability-based violence may constitute a crime against humanity when one or more relevant underlying acts are committed as part of a widespread or systematic attack directed against a civilian population, pursuant to or in furtherance of a State or organisational policy and with knowledge of the attack. Relevant underlying acts include murder, extermination, enslavement, forcible transfer, imprisonment or other severe deprivation of liberty, torture, sexual violence including enforced sterilisation, persecution, enforced disappearance and other inhumane acts intentionally causing great suffering or serious injury. Crimes against humanity may be committed whether or not an armed conflict exists. Persons with disabilities may be targeted directly because of disability, selected because perpetrators regard their lives as less valuable, confined in institutions or other segregated settings, or subjected to disability-specific forms of detention, medical experimentation, reproductive violence, enslavement, disappearance, deprivation or killing. This analysis is particularly timely in light of the continuing process to elaborate a United Nations Convention on the Prevention and Punishment of Crimes against Humanity, with diplomatic-conference sessions scheduled for 2028 and 2029.</w:t>
      </w:r>
      <w:r w:rsidR="00FC5A73">
        <w:rPr>
          <w:rStyle w:val="FootnoteReference"/>
          <w:rFonts w:ascii="Times New Roman" w:hAnsi="Times New Roman" w:cs="Times New Roman"/>
          <w:sz w:val="20"/>
          <w:szCs w:val="20"/>
        </w:rPr>
        <w:footnoteReference w:id="32"/>
      </w:r>
      <w:r w:rsidRPr="00997DE9">
        <w:rPr>
          <w:rFonts w:ascii="Times New Roman" w:hAnsi="Times New Roman" w:cs="Times New Roman"/>
          <w:sz w:val="20"/>
          <w:szCs w:val="20"/>
        </w:rPr>
        <w:t xml:space="preserve"> Validity endorses and expressly draws upon the </w:t>
      </w:r>
      <w:r w:rsidRPr="00997DE9">
        <w:rPr>
          <w:rFonts w:ascii="Times New Roman" w:hAnsi="Times New Roman" w:cs="Times New Roman"/>
          <w:i/>
          <w:iCs/>
          <w:sz w:val="20"/>
          <w:szCs w:val="20"/>
        </w:rPr>
        <w:t>Towards Inclusive Justice</w:t>
      </w:r>
      <w:r w:rsidR="00171D6C">
        <w:rPr>
          <w:rFonts w:ascii="Times New Roman" w:hAnsi="Times New Roman" w:cs="Times New Roman"/>
          <w:i/>
          <w:iCs/>
          <w:sz w:val="20"/>
          <w:szCs w:val="20"/>
        </w:rPr>
        <w:t xml:space="preserve"> </w:t>
      </w:r>
      <w:r w:rsidR="00171D6C">
        <w:rPr>
          <w:rFonts w:ascii="Times New Roman" w:hAnsi="Times New Roman" w:cs="Times New Roman"/>
          <w:sz w:val="20"/>
          <w:szCs w:val="20"/>
        </w:rPr>
        <w:t>policy paper</w:t>
      </w:r>
      <w:r w:rsidRPr="00997DE9">
        <w:rPr>
          <w:rFonts w:ascii="Times New Roman" w:hAnsi="Times New Roman" w:cs="Times New Roman"/>
          <w:sz w:val="20"/>
          <w:szCs w:val="20"/>
        </w:rPr>
        <w:t>,</w:t>
      </w:r>
      <w:r w:rsidR="00171D6C">
        <w:rPr>
          <w:rStyle w:val="FootnoteReference"/>
          <w:rFonts w:ascii="Times New Roman" w:hAnsi="Times New Roman" w:cs="Times New Roman"/>
          <w:sz w:val="20"/>
          <w:szCs w:val="20"/>
        </w:rPr>
        <w:footnoteReference w:id="33"/>
      </w:r>
      <w:r w:rsidRPr="00997DE9">
        <w:rPr>
          <w:rFonts w:ascii="Times New Roman" w:hAnsi="Times New Roman" w:cs="Times New Roman"/>
          <w:sz w:val="20"/>
          <w:szCs w:val="20"/>
        </w:rPr>
        <w:t xml:space="preserve"> which recommends: (i) explicit inclusion of </w:t>
      </w:r>
      <w:r w:rsidRPr="00994B92">
        <w:rPr>
          <w:rFonts w:ascii="Times New Roman" w:hAnsi="Times New Roman" w:cs="Times New Roman"/>
          <w:sz w:val="20"/>
          <w:szCs w:val="20"/>
        </w:rPr>
        <w:t>disability</w:t>
      </w:r>
      <w:r w:rsidRPr="00997DE9">
        <w:rPr>
          <w:rFonts w:ascii="Times New Roman" w:hAnsi="Times New Roman" w:cs="Times New Roman"/>
          <w:sz w:val="20"/>
          <w:szCs w:val="20"/>
        </w:rPr>
        <w:t xml:space="preserve"> as a prohibited ground of persecution; (ii) a disability-inclusive definition of enforced sterilisation grounded in free and informed consent; (iii) equal recognition before the law and effective participation of persons with disabilities throughout investigations and proceedings; (iv) procedural and reasonable accommodations for victims, witnesses and alleged offenders; (v) protection against findings that persons with disabilities are inherently incompetent to complain or testify; and </w:t>
      </w:r>
      <w:r>
        <w:rPr>
          <w:rFonts w:ascii="Times New Roman" w:hAnsi="Times New Roman" w:cs="Times New Roman"/>
          <w:sz w:val="20"/>
          <w:szCs w:val="20"/>
        </w:rPr>
        <w:t xml:space="preserve">(vi) </w:t>
      </w:r>
      <w:r w:rsidRPr="00997DE9">
        <w:rPr>
          <w:rFonts w:ascii="Times New Roman" w:hAnsi="Times New Roman" w:cs="Times New Roman"/>
          <w:sz w:val="20"/>
          <w:szCs w:val="20"/>
        </w:rPr>
        <w:t xml:space="preserve">prompt, full, effective and accessible individual and collective reparation. The Committee should encourage States participating in the negotiations to incorporate these measures into the future Convention and to ensure the accessible and effective participation of persons with disabilities and their representative organisations. </w:t>
      </w:r>
      <w:r w:rsidR="00C407F3" w:rsidRPr="00997DE9">
        <w:rPr>
          <w:rFonts w:ascii="Times New Roman" w:hAnsi="Times New Roman" w:cs="Times New Roman"/>
          <w:sz w:val="20"/>
          <w:szCs w:val="20"/>
        </w:rPr>
        <w:br/>
      </w:r>
    </w:p>
    <w:p w14:paraId="7A7D34FB" w14:textId="11FDBD9E" w:rsidR="008C1508" w:rsidRPr="009D06C6" w:rsidRDefault="00997DE9" w:rsidP="009D06C6">
      <w:pPr>
        <w:pStyle w:val="ListParagraph"/>
        <w:numPr>
          <w:ilvl w:val="0"/>
          <w:numId w:val="1"/>
        </w:numPr>
        <w:rPr>
          <w:rFonts w:ascii="Times New Roman" w:hAnsi="Times New Roman" w:cs="Times New Roman"/>
          <w:sz w:val="20"/>
          <w:szCs w:val="20"/>
        </w:rPr>
      </w:pPr>
      <w:r w:rsidRPr="00997DE9">
        <w:rPr>
          <w:rFonts w:ascii="Times New Roman" w:hAnsi="Times New Roman" w:cs="Times New Roman"/>
          <w:b/>
          <w:bCs/>
          <w:sz w:val="20"/>
          <w:szCs w:val="20"/>
        </w:rPr>
        <w:t>Other coercive behavioural-control or modification practices:</w:t>
      </w:r>
      <w:r w:rsidRPr="00997DE9">
        <w:rPr>
          <w:rFonts w:ascii="Times New Roman" w:hAnsi="Times New Roman" w:cs="Times New Roman"/>
          <w:sz w:val="20"/>
          <w:szCs w:val="20"/>
        </w:rPr>
        <w:t xml:space="preserve"> Disability-based violence also encompasses practices intended to suppress, control or modify behaviour, communication, identity, beliefs, emotions or forms of expression associated with actual or perceived disability where they are imposed through force, threats, restraint, punishment, deprivation, humiliation, deception, manipulation or the denial of free and informed consent. The characterisation of such practices as </w:t>
      </w:r>
      <w:r>
        <w:rPr>
          <w:rFonts w:ascii="Times New Roman" w:hAnsi="Times New Roman" w:cs="Times New Roman"/>
          <w:sz w:val="20"/>
          <w:szCs w:val="20"/>
        </w:rPr>
        <w:t>“</w:t>
      </w:r>
      <w:r w:rsidRPr="00997DE9">
        <w:rPr>
          <w:rFonts w:ascii="Times New Roman" w:hAnsi="Times New Roman" w:cs="Times New Roman"/>
          <w:sz w:val="20"/>
          <w:szCs w:val="20"/>
        </w:rPr>
        <w:t>treatment</w:t>
      </w:r>
      <w:r>
        <w:rPr>
          <w:rFonts w:ascii="Times New Roman" w:hAnsi="Times New Roman" w:cs="Times New Roman"/>
          <w:sz w:val="20"/>
          <w:szCs w:val="20"/>
        </w:rPr>
        <w:t>”</w:t>
      </w:r>
      <w:r w:rsidRPr="00997DE9">
        <w:rPr>
          <w:rFonts w:ascii="Times New Roman" w:hAnsi="Times New Roman" w:cs="Times New Roman"/>
          <w:sz w:val="20"/>
          <w:szCs w:val="20"/>
        </w:rPr>
        <w:t xml:space="preserve">, </w:t>
      </w:r>
      <w:r>
        <w:rPr>
          <w:rFonts w:ascii="Times New Roman" w:hAnsi="Times New Roman" w:cs="Times New Roman"/>
          <w:sz w:val="20"/>
          <w:szCs w:val="20"/>
        </w:rPr>
        <w:t>“</w:t>
      </w:r>
      <w:r w:rsidRPr="00997DE9">
        <w:rPr>
          <w:rFonts w:ascii="Times New Roman" w:hAnsi="Times New Roman" w:cs="Times New Roman"/>
          <w:sz w:val="20"/>
          <w:szCs w:val="20"/>
        </w:rPr>
        <w:t>therapy</w:t>
      </w:r>
      <w:r>
        <w:rPr>
          <w:rFonts w:ascii="Times New Roman" w:hAnsi="Times New Roman" w:cs="Times New Roman"/>
          <w:sz w:val="20"/>
          <w:szCs w:val="20"/>
        </w:rPr>
        <w:t>”</w:t>
      </w:r>
      <w:r w:rsidRPr="00997DE9">
        <w:rPr>
          <w:rFonts w:ascii="Times New Roman" w:hAnsi="Times New Roman" w:cs="Times New Roman"/>
          <w:sz w:val="20"/>
          <w:szCs w:val="20"/>
        </w:rPr>
        <w:t xml:space="preserve">, </w:t>
      </w:r>
      <w:r>
        <w:rPr>
          <w:rFonts w:ascii="Times New Roman" w:hAnsi="Times New Roman" w:cs="Times New Roman"/>
          <w:sz w:val="20"/>
          <w:szCs w:val="20"/>
        </w:rPr>
        <w:t>“</w:t>
      </w:r>
      <w:r w:rsidRPr="00997DE9">
        <w:rPr>
          <w:rFonts w:ascii="Times New Roman" w:hAnsi="Times New Roman" w:cs="Times New Roman"/>
          <w:sz w:val="20"/>
          <w:szCs w:val="20"/>
        </w:rPr>
        <w:t>education</w:t>
      </w:r>
      <w:r>
        <w:rPr>
          <w:rFonts w:ascii="Times New Roman" w:hAnsi="Times New Roman" w:cs="Times New Roman"/>
          <w:sz w:val="20"/>
          <w:szCs w:val="20"/>
        </w:rPr>
        <w:t>”</w:t>
      </w:r>
      <w:r w:rsidRPr="00997DE9">
        <w:rPr>
          <w:rFonts w:ascii="Times New Roman" w:hAnsi="Times New Roman" w:cs="Times New Roman"/>
          <w:sz w:val="20"/>
          <w:szCs w:val="20"/>
        </w:rPr>
        <w:t xml:space="preserve">, </w:t>
      </w:r>
      <w:r>
        <w:rPr>
          <w:rFonts w:ascii="Times New Roman" w:hAnsi="Times New Roman" w:cs="Times New Roman"/>
          <w:sz w:val="20"/>
          <w:szCs w:val="20"/>
        </w:rPr>
        <w:t>“</w:t>
      </w:r>
      <w:r w:rsidRPr="00997DE9">
        <w:rPr>
          <w:rFonts w:ascii="Times New Roman" w:hAnsi="Times New Roman" w:cs="Times New Roman"/>
          <w:sz w:val="20"/>
          <w:szCs w:val="20"/>
        </w:rPr>
        <w:t>rehabilitation</w:t>
      </w:r>
      <w:r>
        <w:rPr>
          <w:rFonts w:ascii="Times New Roman" w:hAnsi="Times New Roman" w:cs="Times New Roman"/>
          <w:sz w:val="20"/>
          <w:szCs w:val="20"/>
        </w:rPr>
        <w:t>”</w:t>
      </w:r>
      <w:r w:rsidRPr="00997DE9">
        <w:rPr>
          <w:rFonts w:ascii="Times New Roman" w:hAnsi="Times New Roman" w:cs="Times New Roman"/>
          <w:sz w:val="20"/>
          <w:szCs w:val="20"/>
        </w:rPr>
        <w:t xml:space="preserve">, </w:t>
      </w:r>
      <w:r>
        <w:rPr>
          <w:rFonts w:ascii="Times New Roman" w:hAnsi="Times New Roman" w:cs="Times New Roman"/>
          <w:sz w:val="20"/>
          <w:szCs w:val="20"/>
        </w:rPr>
        <w:t>“</w:t>
      </w:r>
      <w:r w:rsidRPr="00997DE9">
        <w:rPr>
          <w:rFonts w:ascii="Times New Roman" w:hAnsi="Times New Roman" w:cs="Times New Roman"/>
          <w:sz w:val="20"/>
          <w:szCs w:val="20"/>
        </w:rPr>
        <w:t>discipline</w:t>
      </w:r>
      <w:r>
        <w:rPr>
          <w:rFonts w:ascii="Times New Roman" w:hAnsi="Times New Roman" w:cs="Times New Roman"/>
          <w:sz w:val="20"/>
          <w:szCs w:val="20"/>
        </w:rPr>
        <w:t>”</w:t>
      </w:r>
      <w:r w:rsidRPr="00997DE9">
        <w:rPr>
          <w:rFonts w:ascii="Times New Roman" w:hAnsi="Times New Roman" w:cs="Times New Roman"/>
          <w:sz w:val="20"/>
          <w:szCs w:val="20"/>
        </w:rPr>
        <w:t xml:space="preserve">, </w:t>
      </w:r>
      <w:r>
        <w:rPr>
          <w:rFonts w:ascii="Times New Roman" w:hAnsi="Times New Roman" w:cs="Times New Roman"/>
          <w:sz w:val="20"/>
          <w:szCs w:val="20"/>
        </w:rPr>
        <w:t>“</w:t>
      </w:r>
      <w:r w:rsidRPr="00997DE9">
        <w:rPr>
          <w:rFonts w:ascii="Times New Roman" w:hAnsi="Times New Roman" w:cs="Times New Roman"/>
          <w:sz w:val="20"/>
          <w:szCs w:val="20"/>
        </w:rPr>
        <w:t>protection</w:t>
      </w:r>
      <w:r>
        <w:rPr>
          <w:rFonts w:ascii="Times New Roman" w:hAnsi="Times New Roman" w:cs="Times New Roman"/>
          <w:sz w:val="20"/>
          <w:szCs w:val="20"/>
        </w:rPr>
        <w:t>”</w:t>
      </w:r>
      <w:r w:rsidRPr="00997DE9">
        <w:rPr>
          <w:rFonts w:ascii="Times New Roman" w:hAnsi="Times New Roman" w:cs="Times New Roman"/>
          <w:sz w:val="20"/>
          <w:szCs w:val="20"/>
        </w:rPr>
        <w:t xml:space="preserve">, </w:t>
      </w:r>
      <w:r>
        <w:rPr>
          <w:rFonts w:ascii="Times New Roman" w:hAnsi="Times New Roman" w:cs="Times New Roman"/>
          <w:sz w:val="20"/>
          <w:szCs w:val="20"/>
        </w:rPr>
        <w:t>“</w:t>
      </w:r>
      <w:r w:rsidRPr="00997DE9">
        <w:rPr>
          <w:rFonts w:ascii="Times New Roman" w:hAnsi="Times New Roman" w:cs="Times New Roman"/>
          <w:sz w:val="20"/>
          <w:szCs w:val="20"/>
        </w:rPr>
        <w:t>cultural tradition</w:t>
      </w:r>
      <w:r>
        <w:rPr>
          <w:rFonts w:ascii="Times New Roman" w:hAnsi="Times New Roman" w:cs="Times New Roman"/>
          <w:sz w:val="20"/>
          <w:szCs w:val="20"/>
        </w:rPr>
        <w:t>”</w:t>
      </w:r>
      <w:r w:rsidRPr="00997DE9">
        <w:rPr>
          <w:rFonts w:ascii="Times New Roman" w:hAnsi="Times New Roman" w:cs="Times New Roman"/>
          <w:sz w:val="20"/>
          <w:szCs w:val="20"/>
        </w:rPr>
        <w:t xml:space="preserve"> or </w:t>
      </w:r>
      <w:r>
        <w:rPr>
          <w:rFonts w:ascii="Times New Roman" w:hAnsi="Times New Roman" w:cs="Times New Roman"/>
          <w:sz w:val="20"/>
          <w:szCs w:val="20"/>
        </w:rPr>
        <w:t>“</w:t>
      </w:r>
      <w:r w:rsidRPr="00997DE9">
        <w:rPr>
          <w:rFonts w:ascii="Times New Roman" w:hAnsi="Times New Roman" w:cs="Times New Roman"/>
          <w:sz w:val="20"/>
          <w:szCs w:val="20"/>
        </w:rPr>
        <w:t>spiritual intervention</w:t>
      </w:r>
      <w:r>
        <w:rPr>
          <w:rFonts w:ascii="Times New Roman" w:hAnsi="Times New Roman" w:cs="Times New Roman"/>
          <w:sz w:val="20"/>
          <w:szCs w:val="20"/>
        </w:rPr>
        <w:t>”</w:t>
      </w:r>
      <w:r w:rsidRPr="00997DE9">
        <w:rPr>
          <w:rFonts w:ascii="Times New Roman" w:hAnsi="Times New Roman" w:cs="Times New Roman"/>
          <w:sz w:val="20"/>
          <w:szCs w:val="20"/>
        </w:rPr>
        <w:t xml:space="preserve"> cannot displace an assessment of their purpose, methods and effects under the Convention. Such practices include aversive or coercive forms of Applied Behaviour Analysis and other behaviour-modification programmes; conversion </w:t>
      </w:r>
      <w:r w:rsidRPr="00997DE9">
        <w:rPr>
          <w:rFonts w:ascii="Times New Roman" w:hAnsi="Times New Roman" w:cs="Times New Roman"/>
          <w:sz w:val="20"/>
          <w:szCs w:val="20"/>
        </w:rPr>
        <w:lastRenderedPageBreak/>
        <w:t>practices aimed at suppressing autistic or neurodivergent characteristics</w:t>
      </w:r>
      <w:r w:rsidR="00CE29CA">
        <w:rPr>
          <w:rFonts w:ascii="Times New Roman" w:hAnsi="Times New Roman" w:cs="Times New Roman"/>
          <w:sz w:val="20"/>
          <w:szCs w:val="20"/>
        </w:rPr>
        <w:t xml:space="preserve"> or identities</w:t>
      </w:r>
      <w:r w:rsidRPr="00997DE9">
        <w:rPr>
          <w:rFonts w:ascii="Times New Roman" w:hAnsi="Times New Roman" w:cs="Times New Roman"/>
          <w:sz w:val="20"/>
          <w:szCs w:val="20"/>
        </w:rPr>
        <w:t xml:space="preserve">, psychosocial diversity, sexual orientation, gender identity or gender expression; and practices presented as spiritual or religious interventions that involve confinement, beating, restraint, deprivation of food or water, forced ingestion, exorcism, intimidation or other forms of physical or psychological coercion. Seclusion and restraint should be recognised principally as methods of disability-based violence and potential torture or ill-treatment wherever they occur, rather than as legitimate </w:t>
      </w:r>
      <w:r>
        <w:rPr>
          <w:rFonts w:ascii="Times New Roman" w:hAnsi="Times New Roman" w:cs="Times New Roman"/>
          <w:sz w:val="20"/>
          <w:szCs w:val="20"/>
        </w:rPr>
        <w:t>“</w:t>
      </w:r>
      <w:r w:rsidRPr="00997DE9">
        <w:rPr>
          <w:rFonts w:ascii="Times New Roman" w:hAnsi="Times New Roman" w:cs="Times New Roman"/>
          <w:sz w:val="20"/>
          <w:szCs w:val="20"/>
        </w:rPr>
        <w:t>therapeutic</w:t>
      </w:r>
      <w:r>
        <w:rPr>
          <w:rFonts w:ascii="Times New Roman" w:hAnsi="Times New Roman" w:cs="Times New Roman"/>
          <w:sz w:val="20"/>
          <w:szCs w:val="20"/>
        </w:rPr>
        <w:t>”</w:t>
      </w:r>
      <w:r w:rsidRPr="00997DE9">
        <w:rPr>
          <w:rFonts w:ascii="Times New Roman" w:hAnsi="Times New Roman" w:cs="Times New Roman"/>
          <w:sz w:val="20"/>
          <w:szCs w:val="20"/>
        </w:rPr>
        <w:t xml:space="preserve"> or </w:t>
      </w:r>
      <w:r>
        <w:rPr>
          <w:rFonts w:ascii="Times New Roman" w:hAnsi="Times New Roman" w:cs="Times New Roman"/>
          <w:sz w:val="20"/>
          <w:szCs w:val="20"/>
        </w:rPr>
        <w:t>“</w:t>
      </w:r>
      <w:r w:rsidRPr="00997DE9">
        <w:rPr>
          <w:rFonts w:ascii="Times New Roman" w:hAnsi="Times New Roman" w:cs="Times New Roman"/>
          <w:sz w:val="20"/>
          <w:szCs w:val="20"/>
        </w:rPr>
        <w:t>behavioural</w:t>
      </w:r>
      <w:r>
        <w:rPr>
          <w:rFonts w:ascii="Times New Roman" w:hAnsi="Times New Roman" w:cs="Times New Roman"/>
          <w:sz w:val="20"/>
          <w:szCs w:val="20"/>
        </w:rPr>
        <w:t>”</w:t>
      </w:r>
      <w:r w:rsidRPr="00997DE9">
        <w:rPr>
          <w:rFonts w:ascii="Times New Roman" w:hAnsi="Times New Roman" w:cs="Times New Roman"/>
          <w:sz w:val="20"/>
          <w:szCs w:val="20"/>
        </w:rPr>
        <w:t xml:space="preserve"> interventions.</w:t>
      </w:r>
      <w:r>
        <w:rPr>
          <w:rFonts w:ascii="Times New Roman" w:hAnsi="Times New Roman" w:cs="Times New Roman"/>
          <w:sz w:val="20"/>
          <w:szCs w:val="20"/>
        </w:rPr>
        <w:t xml:space="preserve"> </w:t>
      </w:r>
      <w:r w:rsidRPr="00997DE9">
        <w:rPr>
          <w:rFonts w:ascii="Times New Roman" w:hAnsi="Times New Roman" w:cs="Times New Roman"/>
          <w:sz w:val="20"/>
          <w:szCs w:val="20"/>
        </w:rPr>
        <w:t>The decisive considerations should include whether the practice targets a person on the basis</w:t>
      </w:r>
      <w:r w:rsidR="007910CC">
        <w:rPr>
          <w:rFonts w:ascii="Times New Roman" w:hAnsi="Times New Roman" w:cs="Times New Roman"/>
          <w:sz w:val="20"/>
          <w:szCs w:val="20"/>
        </w:rPr>
        <w:t xml:space="preserve"> of</w:t>
      </w:r>
      <w:r w:rsidRPr="00997DE9">
        <w:rPr>
          <w:rFonts w:ascii="Times New Roman" w:hAnsi="Times New Roman" w:cs="Times New Roman"/>
          <w:sz w:val="20"/>
          <w:szCs w:val="20"/>
        </w:rPr>
        <w:t xml:space="preserve"> disability; whether it </w:t>
      </w:r>
      <w:r w:rsidR="00393139">
        <w:rPr>
          <w:rFonts w:ascii="Times New Roman" w:hAnsi="Times New Roman" w:cs="Times New Roman"/>
          <w:sz w:val="20"/>
          <w:szCs w:val="20"/>
        </w:rPr>
        <w:t>upholds or violates</w:t>
      </w:r>
      <w:r w:rsidRPr="00997DE9">
        <w:rPr>
          <w:rFonts w:ascii="Times New Roman" w:hAnsi="Times New Roman" w:cs="Times New Roman"/>
          <w:sz w:val="20"/>
          <w:szCs w:val="20"/>
        </w:rPr>
        <w:t xml:space="preserve"> the person’s legal capacity, will and preferences; whether </w:t>
      </w:r>
      <w:r w:rsidR="00393139">
        <w:rPr>
          <w:rFonts w:ascii="Times New Roman" w:hAnsi="Times New Roman" w:cs="Times New Roman"/>
          <w:sz w:val="20"/>
          <w:szCs w:val="20"/>
        </w:rPr>
        <w:t xml:space="preserve">informed </w:t>
      </w:r>
      <w:r w:rsidRPr="00997DE9">
        <w:rPr>
          <w:rFonts w:ascii="Times New Roman" w:hAnsi="Times New Roman" w:cs="Times New Roman"/>
          <w:sz w:val="20"/>
          <w:szCs w:val="20"/>
        </w:rPr>
        <w:t xml:space="preserve">consent is </w:t>
      </w:r>
      <w:r w:rsidR="00393139">
        <w:rPr>
          <w:rFonts w:ascii="Times New Roman" w:hAnsi="Times New Roman" w:cs="Times New Roman"/>
          <w:sz w:val="20"/>
          <w:szCs w:val="20"/>
        </w:rPr>
        <w:t>genuine and capable of withdrawal</w:t>
      </w:r>
      <w:r w:rsidRPr="00997DE9">
        <w:rPr>
          <w:rFonts w:ascii="Times New Roman" w:hAnsi="Times New Roman" w:cs="Times New Roman"/>
          <w:sz w:val="20"/>
          <w:szCs w:val="20"/>
        </w:rPr>
        <w:t>; and whether the practice involves harm, coercion, deprivation, degradation or denial of bodily or mental integrity. Standards and recommendations concerning these practices should be developed in close consultation with persons subjected to them, including autistic persons, persons with psychosocial disabilities</w:t>
      </w:r>
      <w:r w:rsidR="00F40BAC">
        <w:rPr>
          <w:rFonts w:ascii="Times New Roman" w:hAnsi="Times New Roman" w:cs="Times New Roman"/>
          <w:sz w:val="20"/>
          <w:szCs w:val="20"/>
        </w:rPr>
        <w:t>, persons with intellectual disabilities,</w:t>
      </w:r>
      <w:r w:rsidRPr="00997DE9">
        <w:rPr>
          <w:rFonts w:ascii="Times New Roman" w:hAnsi="Times New Roman" w:cs="Times New Roman"/>
          <w:sz w:val="20"/>
          <w:szCs w:val="20"/>
        </w:rPr>
        <w:t xml:space="preserve"> and survivors of coercive behavioural, conversion, spiritual or religious practices.</w:t>
      </w:r>
    </w:p>
    <w:p w14:paraId="00119C2A" w14:textId="77777777" w:rsidR="008C1508" w:rsidRPr="008C1508" w:rsidRDefault="008C1508" w:rsidP="00FA2955">
      <w:pPr>
        <w:pStyle w:val="Heading2"/>
      </w:pPr>
      <w:r w:rsidRPr="008C1508">
        <w:t>V. MONITORING AND ACCOUNTABILITY</w:t>
      </w:r>
    </w:p>
    <w:p w14:paraId="432FF0FB" w14:textId="7F8E6640" w:rsidR="00F40BAC" w:rsidRPr="00F40BAC" w:rsidRDefault="00F40BAC" w:rsidP="00F40BAC">
      <w:pPr>
        <w:pStyle w:val="ListParagraph"/>
        <w:numPr>
          <w:ilvl w:val="0"/>
          <w:numId w:val="1"/>
        </w:numPr>
        <w:rPr>
          <w:rFonts w:ascii="Times New Roman" w:hAnsi="Times New Roman" w:cs="Times New Roman"/>
          <w:sz w:val="20"/>
          <w:szCs w:val="20"/>
        </w:rPr>
      </w:pPr>
      <w:r w:rsidRPr="00F40BAC">
        <w:rPr>
          <w:rFonts w:ascii="Times New Roman" w:hAnsi="Times New Roman" w:cs="Times New Roman"/>
          <w:b/>
          <w:bCs/>
          <w:sz w:val="20"/>
          <w:szCs w:val="20"/>
        </w:rPr>
        <w:t>Independent monitoring under article 16(3):</w:t>
      </w:r>
      <w:r>
        <w:rPr>
          <w:rFonts w:ascii="Times New Roman" w:hAnsi="Times New Roman" w:cs="Times New Roman"/>
          <w:sz w:val="20"/>
          <w:szCs w:val="20"/>
        </w:rPr>
        <w:t xml:space="preserve"> </w:t>
      </w:r>
      <w:r w:rsidRPr="00F40BAC">
        <w:rPr>
          <w:rFonts w:ascii="Times New Roman" w:hAnsi="Times New Roman" w:cs="Times New Roman"/>
          <w:sz w:val="20"/>
          <w:szCs w:val="20"/>
        </w:rPr>
        <w:t>Article 16(3) requires States parties to ensure that all facilities and programmes designed to serve persons with disabilities are effectively monitored by independent authorities. This obligation extends beyond residential institutions and should encompass psychiatric hospitals and wards, social</w:t>
      </w:r>
      <w:r w:rsidR="008F2E95">
        <w:rPr>
          <w:rFonts w:ascii="Times New Roman" w:hAnsi="Times New Roman" w:cs="Times New Roman"/>
          <w:sz w:val="20"/>
          <w:szCs w:val="20"/>
        </w:rPr>
        <w:t xml:space="preserve"> </w:t>
      </w:r>
      <w:r w:rsidRPr="00F40BAC">
        <w:rPr>
          <w:rFonts w:ascii="Times New Roman" w:hAnsi="Times New Roman" w:cs="Times New Roman"/>
          <w:sz w:val="20"/>
          <w:szCs w:val="20"/>
        </w:rPr>
        <w:t xml:space="preserve">care facilities, forensic settings, residential schools, group homes, </w:t>
      </w:r>
      <w:r w:rsidR="008F2E95">
        <w:rPr>
          <w:rFonts w:ascii="Times New Roman" w:hAnsi="Times New Roman" w:cs="Times New Roman"/>
          <w:sz w:val="20"/>
          <w:szCs w:val="20"/>
        </w:rPr>
        <w:t>“</w:t>
      </w:r>
      <w:r w:rsidRPr="00F40BAC">
        <w:rPr>
          <w:rFonts w:ascii="Times New Roman" w:hAnsi="Times New Roman" w:cs="Times New Roman"/>
          <w:sz w:val="20"/>
          <w:szCs w:val="20"/>
        </w:rPr>
        <w:t>supporte</w:t>
      </w:r>
      <w:r w:rsidR="008F2E95">
        <w:rPr>
          <w:rFonts w:ascii="Times New Roman" w:hAnsi="Times New Roman" w:cs="Times New Roman"/>
          <w:sz w:val="20"/>
          <w:szCs w:val="20"/>
        </w:rPr>
        <w:t xml:space="preserve">d </w:t>
      </w:r>
      <w:r w:rsidRPr="00F40BAC">
        <w:rPr>
          <w:rFonts w:ascii="Times New Roman" w:hAnsi="Times New Roman" w:cs="Times New Roman"/>
          <w:sz w:val="20"/>
          <w:szCs w:val="20"/>
        </w:rPr>
        <w:t>living arrangements</w:t>
      </w:r>
      <w:r w:rsidR="008F2E95">
        <w:rPr>
          <w:rFonts w:ascii="Times New Roman" w:hAnsi="Times New Roman" w:cs="Times New Roman"/>
          <w:sz w:val="20"/>
          <w:szCs w:val="20"/>
        </w:rPr>
        <w:t>”</w:t>
      </w:r>
      <w:r w:rsidRPr="00F40BAC">
        <w:rPr>
          <w:rFonts w:ascii="Times New Roman" w:hAnsi="Times New Roman" w:cs="Times New Roman"/>
          <w:sz w:val="20"/>
          <w:szCs w:val="20"/>
        </w:rPr>
        <w:t>, day programmes and other public or private services in which persons with disabilities may be exposed to segregation, coercion, control or unequal relations of power. Monitoring must examine not only discrete incidents of violence, but also institutionalisation itself, restrictions on liberty and legal capacity, forced treatment, restraint and seclusion, sexual and reproductive violence, economic exploitation, denial of support, living conditions, retaliation and barriers to complaints and access to justice.</w:t>
      </w:r>
      <w:r>
        <w:rPr>
          <w:rFonts w:ascii="Times New Roman" w:hAnsi="Times New Roman" w:cs="Times New Roman"/>
          <w:sz w:val="20"/>
          <w:szCs w:val="20"/>
        </w:rPr>
        <w:t xml:space="preserve"> </w:t>
      </w:r>
      <w:r w:rsidRPr="00F40BAC">
        <w:rPr>
          <w:rFonts w:ascii="Times New Roman" w:hAnsi="Times New Roman" w:cs="Times New Roman"/>
          <w:sz w:val="20"/>
          <w:szCs w:val="20"/>
        </w:rPr>
        <w:t>For monitoring to be effective, the responsible bodies must be institutionally and operationally independent from the authorities, ministries, service providers and professional systems being monitored; possess adequate powers, expertise and resources; have unrestricted access to facilities, programmes, records and persons; and be able to conduct unannounced visits and confidential interviews. Their findings and recommendations should ordinarily be made public, accompanied by clear timelines for implementation and effective follow-up. Persons with disabilities and their representative organisations, particularly survivors of institutionalisation and other forms of disability-based violence, should participate in the design, conduct and evaluation of monitoring. Article 16(3) monitoring must never legitimise, improve or perpetuate institutions that should instead be closed: monitoring should identify ongoing violations, protect persons currently exposed to harm and contribute to cessation, deinstitutionalisation, accountability and guarantees of non-repetition.</w:t>
      </w:r>
    </w:p>
    <w:p w14:paraId="36F4FC0B" w14:textId="1FC3656B" w:rsidR="00DB7A2F" w:rsidRPr="008C1508" w:rsidRDefault="00DB7A2F" w:rsidP="00F40BAC">
      <w:pPr>
        <w:pStyle w:val="ListParagraph"/>
        <w:ind w:left="360"/>
        <w:rPr>
          <w:rFonts w:ascii="Times New Roman" w:hAnsi="Times New Roman" w:cs="Times New Roman"/>
          <w:sz w:val="20"/>
          <w:szCs w:val="20"/>
        </w:rPr>
      </w:pPr>
    </w:p>
    <w:p w14:paraId="24E2B9ED" w14:textId="1DAD87E7" w:rsidR="008C1508" w:rsidRPr="00F40BAC" w:rsidRDefault="00F40BAC" w:rsidP="00F40BAC">
      <w:pPr>
        <w:pStyle w:val="ListParagraph"/>
        <w:numPr>
          <w:ilvl w:val="0"/>
          <w:numId w:val="1"/>
        </w:numPr>
        <w:rPr>
          <w:rFonts w:ascii="Times New Roman" w:hAnsi="Times New Roman" w:cs="Times New Roman"/>
          <w:sz w:val="20"/>
          <w:szCs w:val="20"/>
        </w:rPr>
      </w:pPr>
      <w:r w:rsidRPr="008F2E95">
        <w:rPr>
          <w:rFonts w:ascii="Times New Roman" w:hAnsi="Times New Roman" w:cs="Times New Roman"/>
          <w:b/>
          <w:bCs/>
          <w:sz w:val="20"/>
          <w:szCs w:val="20"/>
        </w:rPr>
        <w:t>Independent monitoring mechanisms and frameworks under article 33(2), and participation under article 33(3):</w:t>
      </w:r>
      <w:r w:rsidRPr="00F40BAC">
        <w:rPr>
          <w:rFonts w:ascii="Times New Roman" w:hAnsi="Times New Roman" w:cs="Times New Roman"/>
          <w:sz w:val="20"/>
          <w:szCs w:val="20"/>
        </w:rPr>
        <w:t xml:space="preserve"> Article 33(2) requires States parties to maintain, strengthen, designate or establish a framework, including one or more independent mechanisms, to promote, protect and monitor implementation of the Convention, taking account of the principles relating to the status and functioning of national human rights institutions.</w:t>
      </w:r>
      <w:r w:rsidR="00CC18CE">
        <w:rPr>
          <w:rStyle w:val="FootnoteReference"/>
          <w:rFonts w:ascii="Times New Roman" w:hAnsi="Times New Roman" w:cs="Times New Roman"/>
          <w:sz w:val="20"/>
          <w:szCs w:val="20"/>
        </w:rPr>
        <w:footnoteReference w:id="34"/>
      </w:r>
      <w:r w:rsidRPr="00F40BAC">
        <w:rPr>
          <w:rFonts w:ascii="Times New Roman" w:hAnsi="Times New Roman" w:cs="Times New Roman"/>
          <w:sz w:val="20"/>
          <w:szCs w:val="20"/>
        </w:rPr>
        <w:t xml:space="preserve"> This is a broader mandate than monitoring facilities and programmes under article 16(3). Independent monitoring mechanisms should examine whether legislation, policies, budgets, procurement, professional standards and systems of service provision authorise, facilitate or fail to prevent disability-based violence. Their work should include monitoring institutionalisation and deinstitutionalisation, legal</w:t>
      </w:r>
      <w:r w:rsidR="008F2E95">
        <w:rPr>
          <w:rFonts w:ascii="Times New Roman" w:hAnsi="Times New Roman" w:cs="Times New Roman"/>
          <w:sz w:val="20"/>
          <w:szCs w:val="20"/>
        </w:rPr>
        <w:t xml:space="preserve"> </w:t>
      </w:r>
      <w:r w:rsidRPr="00F40BAC">
        <w:rPr>
          <w:rFonts w:ascii="Times New Roman" w:hAnsi="Times New Roman" w:cs="Times New Roman"/>
          <w:sz w:val="20"/>
          <w:szCs w:val="20"/>
        </w:rPr>
        <w:t>capacity reform, access to justice, implementation of remedies and reparations, and States’ compliance with the Committee’s concluding observations, views and inquiry recommendations.</w:t>
      </w:r>
      <w:r>
        <w:rPr>
          <w:rFonts w:ascii="Times New Roman" w:hAnsi="Times New Roman" w:cs="Times New Roman"/>
          <w:sz w:val="20"/>
          <w:szCs w:val="20"/>
        </w:rPr>
        <w:t xml:space="preserve"> </w:t>
      </w:r>
      <w:r w:rsidRPr="00F40BAC">
        <w:rPr>
          <w:rFonts w:ascii="Times New Roman" w:hAnsi="Times New Roman" w:cs="Times New Roman"/>
          <w:sz w:val="20"/>
          <w:szCs w:val="20"/>
        </w:rPr>
        <w:t xml:space="preserve">Article 33(3) requires civil society, in particular persons with disabilities and their representative organisations, to be involved and participate fully in the monitoring process. Such participation </w:t>
      </w:r>
      <w:r w:rsidR="008F2E95">
        <w:rPr>
          <w:rFonts w:ascii="Times New Roman" w:hAnsi="Times New Roman" w:cs="Times New Roman"/>
          <w:sz w:val="20"/>
          <w:szCs w:val="20"/>
        </w:rPr>
        <w:t>must not</w:t>
      </w:r>
      <w:r w:rsidRPr="00F40BAC">
        <w:rPr>
          <w:rFonts w:ascii="Times New Roman" w:hAnsi="Times New Roman" w:cs="Times New Roman"/>
          <w:sz w:val="20"/>
          <w:szCs w:val="20"/>
        </w:rPr>
        <w:t xml:space="preserve"> be </w:t>
      </w:r>
      <w:r w:rsidR="008F2E95">
        <w:rPr>
          <w:rFonts w:ascii="Times New Roman" w:hAnsi="Times New Roman" w:cs="Times New Roman"/>
          <w:sz w:val="20"/>
          <w:szCs w:val="20"/>
        </w:rPr>
        <w:t xml:space="preserve">displaced or </w:t>
      </w:r>
      <w:r w:rsidRPr="00F40BAC">
        <w:rPr>
          <w:rFonts w:ascii="Times New Roman" w:hAnsi="Times New Roman" w:cs="Times New Roman"/>
          <w:sz w:val="20"/>
          <w:szCs w:val="20"/>
        </w:rPr>
        <w:t xml:space="preserve">replaced by consultation with service providers, medical professionals, </w:t>
      </w:r>
      <w:r w:rsidR="00CE29CA">
        <w:rPr>
          <w:rFonts w:ascii="Times New Roman" w:hAnsi="Times New Roman" w:cs="Times New Roman"/>
          <w:sz w:val="20"/>
          <w:szCs w:val="20"/>
        </w:rPr>
        <w:t xml:space="preserve">professional bodies, </w:t>
      </w:r>
      <w:r w:rsidRPr="00F40BAC">
        <w:rPr>
          <w:rFonts w:ascii="Times New Roman" w:hAnsi="Times New Roman" w:cs="Times New Roman"/>
          <w:sz w:val="20"/>
          <w:szCs w:val="20"/>
        </w:rPr>
        <w:t>or organisations not led, directed and governed by persons with disabilities</w:t>
      </w:r>
      <w:r w:rsidR="00CE29CA">
        <w:rPr>
          <w:rFonts w:ascii="Times New Roman" w:hAnsi="Times New Roman" w:cs="Times New Roman"/>
          <w:sz w:val="20"/>
          <w:szCs w:val="20"/>
        </w:rPr>
        <w:t>, including family organisations</w:t>
      </w:r>
      <w:r w:rsidRPr="00F40BAC">
        <w:rPr>
          <w:rFonts w:ascii="Times New Roman" w:hAnsi="Times New Roman" w:cs="Times New Roman"/>
          <w:sz w:val="20"/>
          <w:szCs w:val="20"/>
        </w:rPr>
        <w:t xml:space="preserve">. States should ensure accessible, adequately resourced and safe participation by diverse groups of persons with disabilities, including persons currently living in institutions, survivors of psychiatric violence, persons with intellectual disabilities and persons who communicate </w:t>
      </w:r>
      <w:r w:rsidR="00CE0128">
        <w:rPr>
          <w:rFonts w:ascii="Times New Roman" w:hAnsi="Times New Roman" w:cs="Times New Roman"/>
          <w:sz w:val="20"/>
          <w:szCs w:val="20"/>
        </w:rPr>
        <w:t>using alternative or augmentative methods</w:t>
      </w:r>
      <w:r w:rsidRPr="00F40BAC">
        <w:rPr>
          <w:rFonts w:ascii="Times New Roman" w:hAnsi="Times New Roman" w:cs="Times New Roman"/>
          <w:sz w:val="20"/>
          <w:szCs w:val="20"/>
        </w:rPr>
        <w:t xml:space="preserve">. </w:t>
      </w:r>
      <w:r w:rsidRPr="00F40BAC">
        <w:rPr>
          <w:rFonts w:ascii="Times New Roman" w:hAnsi="Times New Roman" w:cs="Times New Roman"/>
          <w:sz w:val="20"/>
          <w:szCs w:val="20"/>
        </w:rPr>
        <w:lastRenderedPageBreak/>
        <w:t>Participation must extend to determining monitoring priorities, developing indicators, collecting and interpreting evidence, formulating recommendations and assessing implementation.</w:t>
      </w:r>
      <w:r w:rsidR="00CC18CE">
        <w:rPr>
          <w:rStyle w:val="FootnoteReference"/>
          <w:rFonts w:ascii="Times New Roman" w:hAnsi="Times New Roman" w:cs="Times New Roman"/>
          <w:sz w:val="20"/>
          <w:szCs w:val="20"/>
        </w:rPr>
        <w:footnoteReference w:id="35"/>
      </w:r>
      <w:r w:rsidR="008C1508" w:rsidRPr="00F40BAC">
        <w:rPr>
          <w:rFonts w:ascii="Times New Roman" w:hAnsi="Times New Roman" w:cs="Times New Roman"/>
          <w:sz w:val="20"/>
          <w:szCs w:val="20"/>
        </w:rPr>
        <w:br/>
      </w:r>
    </w:p>
    <w:p w14:paraId="16B43ED7" w14:textId="568DEA94" w:rsidR="008C1508" w:rsidRPr="00F40BAC" w:rsidRDefault="008C1508" w:rsidP="00F40BAC">
      <w:pPr>
        <w:pStyle w:val="ListParagraph"/>
        <w:numPr>
          <w:ilvl w:val="0"/>
          <w:numId w:val="1"/>
        </w:numPr>
        <w:rPr>
          <w:rFonts w:ascii="Times New Roman" w:hAnsi="Times New Roman" w:cs="Times New Roman"/>
          <w:sz w:val="20"/>
          <w:szCs w:val="20"/>
        </w:rPr>
      </w:pPr>
      <w:r w:rsidRPr="008F2E95">
        <w:rPr>
          <w:rFonts w:ascii="Times New Roman" w:hAnsi="Times New Roman" w:cs="Times New Roman"/>
          <w:b/>
          <w:bCs/>
          <w:sz w:val="20"/>
          <w:szCs w:val="20"/>
        </w:rPr>
        <w:t>NPMs under OPCAT</w:t>
      </w:r>
      <w:r w:rsidR="00F40BAC" w:rsidRPr="008F2E95">
        <w:rPr>
          <w:rFonts w:ascii="Times New Roman" w:hAnsi="Times New Roman" w:cs="Times New Roman"/>
          <w:b/>
          <w:bCs/>
          <w:sz w:val="20"/>
          <w:szCs w:val="20"/>
        </w:rPr>
        <w:t>:</w:t>
      </w:r>
      <w:r w:rsidR="00F40BAC" w:rsidRPr="00F40BAC">
        <w:rPr>
          <w:rFonts w:ascii="Times New Roman" w:hAnsi="Times New Roman" w:cs="Times New Roman"/>
          <w:sz w:val="20"/>
          <w:szCs w:val="20"/>
        </w:rPr>
        <w:t xml:space="preserve"> National Preventive Mechanisms established under the Optional Protocol to the Convention against Torture have a specific preventive mandate based on regular visits to places where persons are or may be deprived of liberty, together with powers to make recommendations to authorities and proposals concerning existing or draft legislation. Their mandates encompass psychiatric hospitals, social</w:t>
      </w:r>
      <w:r w:rsidR="00A56CD6">
        <w:rPr>
          <w:rFonts w:ascii="Times New Roman" w:hAnsi="Times New Roman" w:cs="Times New Roman"/>
          <w:sz w:val="20"/>
          <w:szCs w:val="20"/>
        </w:rPr>
        <w:t xml:space="preserve"> </w:t>
      </w:r>
      <w:r w:rsidR="00F40BAC" w:rsidRPr="00F40BAC">
        <w:rPr>
          <w:rFonts w:ascii="Times New Roman" w:hAnsi="Times New Roman" w:cs="Times New Roman"/>
          <w:sz w:val="20"/>
          <w:szCs w:val="20"/>
        </w:rPr>
        <w:t xml:space="preserve">care institutions, forensic facilities and any other setting in which persons with disabilities are not free to leave, regardless of the setting’s formal designation or whether the deprivation of liberty is characterised as </w:t>
      </w:r>
      <w:r w:rsidR="00CE0128">
        <w:rPr>
          <w:rFonts w:ascii="Times New Roman" w:hAnsi="Times New Roman" w:cs="Times New Roman"/>
          <w:sz w:val="20"/>
          <w:szCs w:val="20"/>
        </w:rPr>
        <w:t>“</w:t>
      </w:r>
      <w:r w:rsidR="00F40BAC" w:rsidRPr="00F40BAC">
        <w:rPr>
          <w:rFonts w:ascii="Times New Roman" w:hAnsi="Times New Roman" w:cs="Times New Roman"/>
          <w:sz w:val="20"/>
          <w:szCs w:val="20"/>
        </w:rPr>
        <w:t>voluntary</w:t>
      </w:r>
      <w:r w:rsidR="00CE0128">
        <w:rPr>
          <w:rFonts w:ascii="Times New Roman" w:hAnsi="Times New Roman" w:cs="Times New Roman"/>
          <w:sz w:val="20"/>
          <w:szCs w:val="20"/>
        </w:rPr>
        <w:t>”</w:t>
      </w:r>
      <w:r w:rsidR="00F40BAC" w:rsidRPr="00F40BAC">
        <w:rPr>
          <w:rFonts w:ascii="Times New Roman" w:hAnsi="Times New Roman" w:cs="Times New Roman"/>
          <w:sz w:val="20"/>
          <w:szCs w:val="20"/>
        </w:rPr>
        <w:t xml:space="preserve">, </w:t>
      </w:r>
      <w:r w:rsidR="00CE0128">
        <w:rPr>
          <w:rFonts w:ascii="Times New Roman" w:hAnsi="Times New Roman" w:cs="Times New Roman"/>
          <w:sz w:val="20"/>
          <w:szCs w:val="20"/>
        </w:rPr>
        <w:t>“</w:t>
      </w:r>
      <w:r w:rsidR="00F40BAC" w:rsidRPr="00F40BAC">
        <w:rPr>
          <w:rFonts w:ascii="Times New Roman" w:hAnsi="Times New Roman" w:cs="Times New Roman"/>
          <w:sz w:val="20"/>
          <w:szCs w:val="20"/>
        </w:rPr>
        <w:t>protective</w:t>
      </w:r>
      <w:r w:rsidR="00CE0128">
        <w:rPr>
          <w:rFonts w:ascii="Times New Roman" w:hAnsi="Times New Roman" w:cs="Times New Roman"/>
          <w:sz w:val="20"/>
          <w:szCs w:val="20"/>
        </w:rPr>
        <w:t>”</w:t>
      </w:r>
      <w:r w:rsidR="00F40BAC" w:rsidRPr="00F40BAC">
        <w:rPr>
          <w:rFonts w:ascii="Times New Roman" w:hAnsi="Times New Roman" w:cs="Times New Roman"/>
          <w:sz w:val="20"/>
          <w:szCs w:val="20"/>
        </w:rPr>
        <w:t xml:space="preserve">, </w:t>
      </w:r>
      <w:r w:rsidR="00CE0128">
        <w:rPr>
          <w:rFonts w:ascii="Times New Roman" w:hAnsi="Times New Roman" w:cs="Times New Roman"/>
          <w:sz w:val="20"/>
          <w:szCs w:val="20"/>
        </w:rPr>
        <w:t>“</w:t>
      </w:r>
      <w:r w:rsidR="00F40BAC" w:rsidRPr="00F40BAC">
        <w:rPr>
          <w:rFonts w:ascii="Times New Roman" w:hAnsi="Times New Roman" w:cs="Times New Roman"/>
          <w:sz w:val="20"/>
          <w:szCs w:val="20"/>
        </w:rPr>
        <w:t>therapeutic</w:t>
      </w:r>
      <w:r w:rsidR="00CE0128">
        <w:rPr>
          <w:rFonts w:ascii="Times New Roman" w:hAnsi="Times New Roman" w:cs="Times New Roman"/>
          <w:sz w:val="20"/>
          <w:szCs w:val="20"/>
        </w:rPr>
        <w:t>”, “forensic”</w:t>
      </w:r>
      <w:r w:rsidR="00F40BAC" w:rsidRPr="00F40BAC">
        <w:rPr>
          <w:rFonts w:ascii="Times New Roman" w:hAnsi="Times New Roman" w:cs="Times New Roman"/>
          <w:sz w:val="20"/>
          <w:szCs w:val="20"/>
        </w:rPr>
        <w:t xml:space="preserve"> or </w:t>
      </w:r>
      <w:r w:rsidR="00CE0128">
        <w:rPr>
          <w:rFonts w:ascii="Times New Roman" w:hAnsi="Times New Roman" w:cs="Times New Roman"/>
          <w:sz w:val="20"/>
          <w:szCs w:val="20"/>
        </w:rPr>
        <w:t>“</w:t>
      </w:r>
      <w:r w:rsidR="00F40BAC" w:rsidRPr="00F40BAC">
        <w:rPr>
          <w:rFonts w:ascii="Times New Roman" w:hAnsi="Times New Roman" w:cs="Times New Roman"/>
          <w:sz w:val="20"/>
          <w:szCs w:val="20"/>
        </w:rPr>
        <w:t>administrative</w:t>
      </w:r>
      <w:r w:rsidR="00CE0128">
        <w:rPr>
          <w:rFonts w:ascii="Times New Roman" w:hAnsi="Times New Roman" w:cs="Times New Roman"/>
          <w:sz w:val="20"/>
          <w:szCs w:val="20"/>
        </w:rPr>
        <w:t>”</w:t>
      </w:r>
      <w:r w:rsidR="00634726">
        <w:rPr>
          <w:rFonts w:ascii="Times New Roman" w:hAnsi="Times New Roman" w:cs="Times New Roman"/>
          <w:sz w:val="20"/>
          <w:szCs w:val="20"/>
        </w:rPr>
        <w:t>, and whether public or private.</w:t>
      </w:r>
      <w:r w:rsidR="00CE0128">
        <w:rPr>
          <w:rStyle w:val="FootnoteReference"/>
          <w:rFonts w:ascii="Times New Roman" w:hAnsi="Times New Roman" w:cs="Times New Roman"/>
          <w:sz w:val="20"/>
          <w:szCs w:val="20"/>
        </w:rPr>
        <w:footnoteReference w:id="36"/>
      </w:r>
      <w:r w:rsidR="00F40BAC" w:rsidRPr="00F40BAC">
        <w:rPr>
          <w:rFonts w:ascii="Times New Roman" w:hAnsi="Times New Roman" w:cs="Times New Roman"/>
          <w:sz w:val="20"/>
          <w:szCs w:val="20"/>
        </w:rPr>
        <w:t xml:space="preserve"> NPMs should apply the CRPD consistently in examining disability-based detention, institutionalisation, forced treatment, restraint, seclusion, denial of reasonable accommodation and other disability-specific forms of torture or ill-treatment. They should engage directly and confidentially with persons with disabilities, include relevant disability and survivor expertise within visiting teams, cooperate with representative organisations of persons with disabilities, and publicly address laws and policies that authorise the practices observed. NPMs should not limit their analysis to whether coercive practices comply with domestic procedural safeguards or are considered medically necessary; they should assess whether the practices themselves are discriminatory and incompatible with articles 12, 14, 15 and 17 of the Convention.</w:t>
      </w:r>
      <w:r w:rsidR="00F40BAC">
        <w:rPr>
          <w:rFonts w:ascii="Times New Roman" w:hAnsi="Times New Roman" w:cs="Times New Roman"/>
          <w:sz w:val="20"/>
          <w:szCs w:val="20"/>
        </w:rPr>
        <w:t xml:space="preserve"> </w:t>
      </w:r>
      <w:r w:rsidR="00F40BAC" w:rsidRPr="00F40BAC">
        <w:rPr>
          <w:rFonts w:ascii="Times New Roman" w:hAnsi="Times New Roman" w:cs="Times New Roman"/>
          <w:sz w:val="20"/>
          <w:szCs w:val="20"/>
        </w:rPr>
        <w:t>The Guidelines should nevertheless avoid presenting NPMs as general complaints, sanctioning or reparations bodies. Their preventive mandate complements but does not replace article 16(3) monitoring, article 33(2) independent monitoring, criminal and civil investigations, judicial remedies or mechanisms empowered to provide reparation.</w:t>
      </w:r>
      <w:r w:rsidRPr="00F40BAC">
        <w:rPr>
          <w:rFonts w:ascii="Times New Roman" w:hAnsi="Times New Roman" w:cs="Times New Roman"/>
          <w:sz w:val="20"/>
          <w:szCs w:val="20"/>
        </w:rPr>
        <w:br/>
      </w:r>
    </w:p>
    <w:p w14:paraId="23C404A1" w14:textId="3140D6D4" w:rsidR="008C1508" w:rsidRPr="00F40BAC" w:rsidRDefault="008C1508" w:rsidP="00F40BAC">
      <w:pPr>
        <w:pStyle w:val="ListParagraph"/>
        <w:numPr>
          <w:ilvl w:val="0"/>
          <w:numId w:val="1"/>
        </w:numPr>
        <w:rPr>
          <w:rFonts w:ascii="Times New Roman" w:hAnsi="Times New Roman" w:cs="Times New Roman"/>
          <w:sz w:val="20"/>
          <w:szCs w:val="20"/>
        </w:rPr>
      </w:pPr>
      <w:r w:rsidRPr="00F40BAC">
        <w:rPr>
          <w:rFonts w:ascii="Times New Roman" w:hAnsi="Times New Roman" w:cs="Times New Roman"/>
          <w:b/>
          <w:bCs/>
          <w:sz w:val="20"/>
          <w:szCs w:val="20"/>
        </w:rPr>
        <w:t>Regulatory, investigatory, prosecutorial and judicial bodies</w:t>
      </w:r>
      <w:r w:rsidR="00F40BAC" w:rsidRPr="00F40BAC">
        <w:rPr>
          <w:rFonts w:ascii="Times New Roman" w:hAnsi="Times New Roman" w:cs="Times New Roman"/>
          <w:b/>
          <w:bCs/>
          <w:sz w:val="20"/>
          <w:szCs w:val="20"/>
        </w:rPr>
        <w:t>:</w:t>
      </w:r>
      <w:r w:rsidR="00F40BAC" w:rsidRPr="00F40BAC">
        <w:rPr>
          <w:rFonts w:ascii="Times New Roman" w:hAnsi="Times New Roman" w:cs="Times New Roman"/>
          <w:sz w:val="20"/>
          <w:szCs w:val="20"/>
        </w:rPr>
        <w:t xml:space="preserve"> Effective monitoring must be connected to institutions capable of stopping violations and imposing legal consequences. Validity’s litigation experience demonstrates that abuse frequently persists despite inspection reports because regulatory bodies lack independence or enforcement powers, investigators defer to institutional or medical accounts, prosecutors fail to recognise disability-based violence, and courts discount the testimony and legal capacity of survivors.</w:t>
      </w:r>
      <w:r w:rsidR="00433B4B">
        <w:rPr>
          <w:rStyle w:val="FootnoteReference"/>
          <w:rFonts w:ascii="Times New Roman" w:hAnsi="Times New Roman" w:cs="Times New Roman"/>
          <w:sz w:val="20"/>
          <w:szCs w:val="20"/>
        </w:rPr>
        <w:footnoteReference w:id="37"/>
      </w:r>
      <w:r w:rsidR="00F40BAC" w:rsidRPr="00F40BAC">
        <w:rPr>
          <w:rFonts w:ascii="Times New Roman" w:hAnsi="Times New Roman" w:cs="Times New Roman"/>
          <w:sz w:val="20"/>
          <w:szCs w:val="20"/>
        </w:rPr>
        <w:t xml:space="preserve"> The Guidelines should therefore require States to establish clear pathways by which monitoring findings, complaints and other credible indications of violence trigger immediate protective measures</w:t>
      </w:r>
      <w:r w:rsidR="003A24AF">
        <w:rPr>
          <w:rFonts w:ascii="Times New Roman" w:hAnsi="Times New Roman" w:cs="Times New Roman"/>
          <w:sz w:val="20"/>
          <w:szCs w:val="20"/>
        </w:rPr>
        <w:t xml:space="preserve">, </w:t>
      </w:r>
      <w:r w:rsidR="00F40BAC" w:rsidRPr="00F40BAC">
        <w:rPr>
          <w:rFonts w:ascii="Times New Roman" w:hAnsi="Times New Roman" w:cs="Times New Roman"/>
          <w:sz w:val="20"/>
          <w:szCs w:val="20"/>
        </w:rPr>
        <w:t>preservation of evidence, independent investigation and, where appropriate, civil, administrative, disciplinary or criminal proceedings.</w:t>
      </w:r>
      <w:r w:rsidR="00F40BAC">
        <w:rPr>
          <w:rFonts w:ascii="Times New Roman" w:hAnsi="Times New Roman" w:cs="Times New Roman"/>
          <w:sz w:val="20"/>
          <w:szCs w:val="20"/>
        </w:rPr>
        <w:t xml:space="preserve"> </w:t>
      </w:r>
      <w:r w:rsidR="00F40BAC" w:rsidRPr="00F40BAC">
        <w:rPr>
          <w:rFonts w:ascii="Times New Roman" w:hAnsi="Times New Roman" w:cs="Times New Roman"/>
          <w:sz w:val="20"/>
          <w:szCs w:val="20"/>
        </w:rPr>
        <w:t>Regulators should be empowered to suspend licences, contracts, funding or operations where services perpetrate or create an imminent risk of disability-based violence. Investigatory and prosecutorial authorities must investigate both individual perpetrators and the laws, policies, chains of command, management decisions and professional practices that enabled the violence. Courts and tribunals must provide effective remedies capable of ordering cessation</w:t>
      </w:r>
      <w:r w:rsidR="000D0992">
        <w:rPr>
          <w:rFonts w:ascii="Times New Roman" w:hAnsi="Times New Roman" w:cs="Times New Roman"/>
          <w:sz w:val="20"/>
          <w:szCs w:val="20"/>
        </w:rPr>
        <w:t>,</w:t>
      </w:r>
      <w:r w:rsidR="005D0D13">
        <w:rPr>
          <w:rFonts w:ascii="Times New Roman" w:hAnsi="Times New Roman" w:cs="Times New Roman"/>
          <w:sz w:val="20"/>
          <w:szCs w:val="20"/>
        </w:rPr>
        <w:t xml:space="preserve"> including immediate</w:t>
      </w:r>
      <w:r w:rsidR="00F40BAC" w:rsidRPr="00F40BAC">
        <w:rPr>
          <w:rFonts w:ascii="Times New Roman" w:hAnsi="Times New Roman" w:cs="Times New Roman"/>
          <w:sz w:val="20"/>
          <w:szCs w:val="20"/>
        </w:rPr>
        <w:t xml:space="preserve"> release from unlawful detention, protection from retaliation, restitution, compensation, rehabilitation, satisfaction and guarantees of non-repetition. Throughout these processes, survivors must be recognised as persons with full legal capacity and provided with accessible information, procedural accommodations, communication support, independent legal representation and protection against reprisals. Internal complaints systems controlled by an institution or professional body implicated in the alleged violation cannot constitute an adequate substitute for independent investigation and judicial remedy.</w:t>
      </w:r>
      <w:r w:rsidRPr="00F40BAC">
        <w:rPr>
          <w:rFonts w:ascii="Times New Roman" w:hAnsi="Times New Roman" w:cs="Times New Roman"/>
          <w:sz w:val="20"/>
          <w:szCs w:val="20"/>
        </w:rPr>
        <w:br/>
      </w:r>
    </w:p>
    <w:p w14:paraId="5A8CE8F1" w14:textId="0DD9B36C" w:rsidR="008C1508" w:rsidRPr="00F40BAC" w:rsidRDefault="00F40BAC" w:rsidP="00F40BAC">
      <w:pPr>
        <w:pStyle w:val="ListParagraph"/>
        <w:numPr>
          <w:ilvl w:val="0"/>
          <w:numId w:val="1"/>
        </w:numPr>
        <w:rPr>
          <w:rFonts w:ascii="Times New Roman" w:hAnsi="Times New Roman" w:cs="Times New Roman"/>
          <w:sz w:val="20"/>
          <w:szCs w:val="20"/>
        </w:rPr>
      </w:pPr>
      <w:r w:rsidRPr="00F40BAC">
        <w:rPr>
          <w:rFonts w:ascii="Times New Roman" w:hAnsi="Times New Roman" w:cs="Times New Roman"/>
          <w:b/>
          <w:bCs/>
          <w:sz w:val="20"/>
          <w:szCs w:val="20"/>
        </w:rPr>
        <w:t>International and regional preventive, monitoring and accountability mechanisms:</w:t>
      </w:r>
      <w:r w:rsidRPr="00F40BAC">
        <w:rPr>
          <w:rFonts w:ascii="Times New Roman" w:hAnsi="Times New Roman" w:cs="Times New Roman"/>
          <w:sz w:val="20"/>
          <w:szCs w:val="20"/>
        </w:rPr>
        <w:t xml:space="preserve"> International and regional mechanisms have an important complementary role in identifying disability-based violence, clarifying legal standards and pressing States to implement structural reforms. The </w:t>
      </w:r>
      <w:r w:rsidR="00433B4B">
        <w:rPr>
          <w:rFonts w:ascii="Times New Roman" w:hAnsi="Times New Roman" w:cs="Times New Roman"/>
          <w:sz w:val="20"/>
          <w:szCs w:val="20"/>
        </w:rPr>
        <w:t>SPT</w:t>
      </w:r>
      <w:r w:rsidRPr="00F40BAC">
        <w:rPr>
          <w:rFonts w:ascii="Times New Roman" w:hAnsi="Times New Roman" w:cs="Times New Roman"/>
          <w:sz w:val="20"/>
          <w:szCs w:val="20"/>
        </w:rPr>
        <w:t xml:space="preserve"> should continue to </w:t>
      </w:r>
      <w:r w:rsidRPr="00F40BAC">
        <w:rPr>
          <w:rFonts w:ascii="Times New Roman" w:hAnsi="Times New Roman" w:cs="Times New Roman"/>
          <w:sz w:val="20"/>
          <w:szCs w:val="20"/>
        </w:rPr>
        <w:lastRenderedPageBreak/>
        <w:t xml:space="preserve">support and advise NPMs, while ensuring that its own visits, guidance and recommendations fully address disability-based detention, institutionalisation and coercive interventions through the </w:t>
      </w:r>
      <w:r w:rsidR="00433B4B">
        <w:rPr>
          <w:rFonts w:ascii="Times New Roman" w:hAnsi="Times New Roman" w:cs="Times New Roman"/>
          <w:sz w:val="20"/>
          <w:szCs w:val="20"/>
        </w:rPr>
        <w:t>lens</w:t>
      </w:r>
      <w:r w:rsidRPr="00F40BAC">
        <w:rPr>
          <w:rFonts w:ascii="Times New Roman" w:hAnsi="Times New Roman" w:cs="Times New Roman"/>
          <w:sz w:val="20"/>
          <w:szCs w:val="20"/>
        </w:rPr>
        <w:t xml:space="preserve"> of the CRPD. The European Committee for the Prevention of Torture</w:t>
      </w:r>
      <w:r w:rsidR="00433B4B">
        <w:rPr>
          <w:rFonts w:ascii="Times New Roman" w:hAnsi="Times New Roman" w:cs="Times New Roman"/>
          <w:sz w:val="20"/>
          <w:szCs w:val="20"/>
        </w:rPr>
        <w:t xml:space="preserve"> (“CPT”)</w:t>
      </w:r>
      <w:r w:rsidRPr="00F40BAC">
        <w:rPr>
          <w:rFonts w:ascii="Times New Roman" w:hAnsi="Times New Roman" w:cs="Times New Roman"/>
          <w:sz w:val="20"/>
          <w:szCs w:val="20"/>
        </w:rPr>
        <w:t xml:space="preserve"> visits prisons, psychiatric hospitals, social</w:t>
      </w:r>
      <w:r w:rsidR="00433B4B">
        <w:rPr>
          <w:rFonts w:ascii="Times New Roman" w:hAnsi="Times New Roman" w:cs="Times New Roman"/>
          <w:sz w:val="20"/>
          <w:szCs w:val="20"/>
        </w:rPr>
        <w:t xml:space="preserve"> </w:t>
      </w:r>
      <w:r w:rsidRPr="00F40BAC">
        <w:rPr>
          <w:rFonts w:ascii="Times New Roman" w:hAnsi="Times New Roman" w:cs="Times New Roman"/>
          <w:sz w:val="20"/>
          <w:szCs w:val="20"/>
        </w:rPr>
        <w:t>care homes and other places of deprivation of liberty and has developed detailed standards concerning such settings; its monitoring</w:t>
      </w:r>
      <w:r w:rsidR="00433B4B">
        <w:rPr>
          <w:rFonts w:ascii="Times New Roman" w:hAnsi="Times New Roman" w:cs="Times New Roman"/>
          <w:sz w:val="20"/>
          <w:szCs w:val="20"/>
        </w:rPr>
        <w:t xml:space="preserve"> standard</w:t>
      </w:r>
      <w:r w:rsidR="007910CC">
        <w:rPr>
          <w:rFonts w:ascii="Times New Roman" w:hAnsi="Times New Roman" w:cs="Times New Roman"/>
          <w:sz w:val="20"/>
          <w:szCs w:val="20"/>
        </w:rPr>
        <w:t>s</w:t>
      </w:r>
      <w:r w:rsidR="00433B4B">
        <w:rPr>
          <w:rFonts w:ascii="Times New Roman" w:hAnsi="Times New Roman" w:cs="Times New Roman"/>
          <w:sz w:val="20"/>
          <w:szCs w:val="20"/>
        </w:rPr>
        <w:t xml:space="preserve"> require updating and bringing into alignment with </w:t>
      </w:r>
      <w:r w:rsidRPr="00F40BAC">
        <w:rPr>
          <w:rFonts w:ascii="Times New Roman" w:hAnsi="Times New Roman" w:cs="Times New Roman"/>
          <w:sz w:val="20"/>
          <w:szCs w:val="20"/>
        </w:rPr>
        <w:t xml:space="preserve">the CRPD Committee’s prohibition of disability-based detention and institutionalisation, and </w:t>
      </w:r>
      <w:r w:rsidR="00433B4B">
        <w:rPr>
          <w:rFonts w:ascii="Times New Roman" w:hAnsi="Times New Roman" w:cs="Times New Roman"/>
          <w:sz w:val="20"/>
          <w:szCs w:val="20"/>
        </w:rPr>
        <w:t>it must refrain from</w:t>
      </w:r>
      <w:r w:rsidRPr="00F40BAC">
        <w:rPr>
          <w:rFonts w:ascii="Times New Roman" w:hAnsi="Times New Roman" w:cs="Times New Roman"/>
          <w:sz w:val="20"/>
          <w:szCs w:val="20"/>
        </w:rPr>
        <w:t xml:space="preserve"> legitimis</w:t>
      </w:r>
      <w:r w:rsidR="00433B4B">
        <w:rPr>
          <w:rFonts w:ascii="Times New Roman" w:hAnsi="Times New Roman" w:cs="Times New Roman"/>
          <w:sz w:val="20"/>
          <w:szCs w:val="20"/>
        </w:rPr>
        <w:t>ing</w:t>
      </w:r>
      <w:r w:rsidRPr="00F40BAC">
        <w:rPr>
          <w:rFonts w:ascii="Times New Roman" w:hAnsi="Times New Roman" w:cs="Times New Roman"/>
          <w:sz w:val="20"/>
          <w:szCs w:val="20"/>
        </w:rPr>
        <w:t xml:space="preserve"> coercive systems merely because specified procedural or material safeguards are present. The Working Group on Arbitrary Detention </w:t>
      </w:r>
      <w:r w:rsidR="00433B4B">
        <w:rPr>
          <w:rFonts w:ascii="Times New Roman" w:hAnsi="Times New Roman" w:cs="Times New Roman"/>
          <w:sz w:val="20"/>
          <w:szCs w:val="20"/>
        </w:rPr>
        <w:t xml:space="preserve">(“WGAD”) </w:t>
      </w:r>
      <w:r w:rsidRPr="00F40BAC">
        <w:rPr>
          <w:rFonts w:ascii="Times New Roman" w:hAnsi="Times New Roman" w:cs="Times New Roman"/>
          <w:sz w:val="20"/>
          <w:szCs w:val="20"/>
        </w:rPr>
        <w:t>should systematically identify deprivation of liberty based wholly or partly on actual or perceived disability as discriminatory and arbitrary, including psychiatric, forensic, social</w:t>
      </w:r>
      <w:r w:rsidR="0018095E">
        <w:rPr>
          <w:rFonts w:ascii="Times New Roman" w:hAnsi="Times New Roman" w:cs="Times New Roman"/>
          <w:sz w:val="20"/>
          <w:szCs w:val="20"/>
        </w:rPr>
        <w:t xml:space="preserve"> </w:t>
      </w:r>
      <w:r w:rsidRPr="00F40BAC">
        <w:rPr>
          <w:rFonts w:ascii="Times New Roman" w:hAnsi="Times New Roman" w:cs="Times New Roman"/>
          <w:sz w:val="20"/>
          <w:szCs w:val="20"/>
        </w:rPr>
        <w:t xml:space="preserve">care and other ostensibly </w:t>
      </w:r>
      <w:r w:rsidR="0018095E">
        <w:rPr>
          <w:rFonts w:ascii="Times New Roman" w:hAnsi="Times New Roman" w:cs="Times New Roman"/>
          <w:sz w:val="20"/>
          <w:szCs w:val="20"/>
        </w:rPr>
        <w:t>“</w:t>
      </w:r>
      <w:r w:rsidRPr="00F40BAC">
        <w:rPr>
          <w:rFonts w:ascii="Times New Roman" w:hAnsi="Times New Roman" w:cs="Times New Roman"/>
          <w:sz w:val="20"/>
          <w:szCs w:val="20"/>
        </w:rPr>
        <w:t>protective</w:t>
      </w:r>
      <w:r w:rsidR="0018095E">
        <w:rPr>
          <w:rFonts w:ascii="Times New Roman" w:hAnsi="Times New Roman" w:cs="Times New Roman"/>
          <w:sz w:val="20"/>
          <w:szCs w:val="20"/>
        </w:rPr>
        <w:t>”</w:t>
      </w:r>
      <w:r w:rsidRPr="00F40BAC">
        <w:rPr>
          <w:rFonts w:ascii="Times New Roman" w:hAnsi="Times New Roman" w:cs="Times New Roman"/>
          <w:sz w:val="20"/>
          <w:szCs w:val="20"/>
        </w:rPr>
        <w:t xml:space="preserve"> forms of detention. Its individual</w:t>
      </w:r>
      <w:r w:rsidR="0018095E">
        <w:rPr>
          <w:rFonts w:ascii="Times New Roman" w:hAnsi="Times New Roman" w:cs="Times New Roman"/>
          <w:sz w:val="20"/>
          <w:szCs w:val="20"/>
        </w:rPr>
        <w:t xml:space="preserve"> </w:t>
      </w:r>
      <w:r w:rsidRPr="00F40BAC">
        <w:rPr>
          <w:rFonts w:ascii="Times New Roman" w:hAnsi="Times New Roman" w:cs="Times New Roman"/>
          <w:sz w:val="20"/>
          <w:szCs w:val="20"/>
        </w:rPr>
        <w:t xml:space="preserve">opinion procedure, country visits and thematic work can provide important routes for challenging disability-based detention and securing release. The Special Rapporteur on torture and other cruel, inhuman or degrading treatment or punishment </w:t>
      </w:r>
      <w:r w:rsidR="0018095E">
        <w:rPr>
          <w:rFonts w:ascii="Times New Roman" w:hAnsi="Times New Roman" w:cs="Times New Roman"/>
          <w:sz w:val="20"/>
          <w:szCs w:val="20"/>
        </w:rPr>
        <w:t xml:space="preserve">(“SR Torture”) </w:t>
      </w:r>
      <w:r w:rsidRPr="00F40BAC">
        <w:rPr>
          <w:rFonts w:ascii="Times New Roman" w:hAnsi="Times New Roman" w:cs="Times New Roman"/>
          <w:sz w:val="20"/>
          <w:szCs w:val="20"/>
        </w:rPr>
        <w:t>should continue developing the application of the anti-torture framework to forced</w:t>
      </w:r>
      <w:r w:rsidR="0018095E">
        <w:rPr>
          <w:rFonts w:ascii="Times New Roman" w:hAnsi="Times New Roman" w:cs="Times New Roman"/>
          <w:sz w:val="20"/>
          <w:szCs w:val="20"/>
        </w:rPr>
        <w:t xml:space="preserve"> psychiatry</w:t>
      </w:r>
      <w:r w:rsidRPr="00F40BAC">
        <w:rPr>
          <w:rFonts w:ascii="Times New Roman" w:hAnsi="Times New Roman" w:cs="Times New Roman"/>
          <w:sz w:val="20"/>
          <w:szCs w:val="20"/>
        </w:rPr>
        <w:t xml:space="preserve">, reproductive violence, restraint, seclusion and other practices intended to control or alter the bodies, minds, identities or choices of persons with disabilities. The Special Rapporteur on the right to health </w:t>
      </w:r>
      <w:r w:rsidR="0018095E">
        <w:rPr>
          <w:rFonts w:ascii="Times New Roman" w:hAnsi="Times New Roman" w:cs="Times New Roman"/>
          <w:sz w:val="20"/>
          <w:szCs w:val="20"/>
        </w:rPr>
        <w:t xml:space="preserve">(“SR Health”) </w:t>
      </w:r>
      <w:r w:rsidRPr="00F40BAC">
        <w:rPr>
          <w:rFonts w:ascii="Times New Roman" w:hAnsi="Times New Roman" w:cs="Times New Roman"/>
          <w:sz w:val="20"/>
          <w:szCs w:val="20"/>
        </w:rPr>
        <w:t xml:space="preserve">should ensure that </w:t>
      </w:r>
      <w:r w:rsidR="0018095E">
        <w:rPr>
          <w:rFonts w:ascii="Times New Roman" w:hAnsi="Times New Roman" w:cs="Times New Roman"/>
          <w:sz w:val="20"/>
          <w:szCs w:val="20"/>
        </w:rPr>
        <w:t>“</w:t>
      </w:r>
      <w:r w:rsidRPr="00F40BAC">
        <w:rPr>
          <w:rFonts w:ascii="Times New Roman" w:hAnsi="Times New Roman" w:cs="Times New Roman"/>
          <w:sz w:val="20"/>
          <w:szCs w:val="20"/>
        </w:rPr>
        <w:t>medical necessity</w:t>
      </w:r>
      <w:r w:rsidR="0018095E">
        <w:rPr>
          <w:rFonts w:ascii="Times New Roman" w:hAnsi="Times New Roman" w:cs="Times New Roman"/>
          <w:sz w:val="20"/>
          <w:szCs w:val="20"/>
        </w:rPr>
        <w:t>”</w:t>
      </w:r>
      <w:r w:rsidRPr="00F40BAC">
        <w:rPr>
          <w:rFonts w:ascii="Times New Roman" w:hAnsi="Times New Roman" w:cs="Times New Roman"/>
          <w:sz w:val="20"/>
          <w:szCs w:val="20"/>
        </w:rPr>
        <w:t xml:space="preserve">, </w:t>
      </w:r>
      <w:r w:rsidR="0018095E">
        <w:rPr>
          <w:rFonts w:ascii="Times New Roman" w:hAnsi="Times New Roman" w:cs="Times New Roman"/>
          <w:sz w:val="20"/>
          <w:szCs w:val="20"/>
        </w:rPr>
        <w:t>“</w:t>
      </w:r>
      <w:r w:rsidRPr="00F40BAC">
        <w:rPr>
          <w:rFonts w:ascii="Times New Roman" w:hAnsi="Times New Roman" w:cs="Times New Roman"/>
          <w:sz w:val="20"/>
          <w:szCs w:val="20"/>
        </w:rPr>
        <w:t>therapeutic purpose</w:t>
      </w:r>
      <w:r w:rsidR="0018095E">
        <w:rPr>
          <w:rFonts w:ascii="Times New Roman" w:hAnsi="Times New Roman" w:cs="Times New Roman"/>
          <w:sz w:val="20"/>
          <w:szCs w:val="20"/>
        </w:rPr>
        <w:t>”</w:t>
      </w:r>
      <w:r w:rsidRPr="00F40BAC">
        <w:rPr>
          <w:rFonts w:ascii="Times New Roman" w:hAnsi="Times New Roman" w:cs="Times New Roman"/>
          <w:sz w:val="20"/>
          <w:szCs w:val="20"/>
        </w:rPr>
        <w:t xml:space="preserve">, </w:t>
      </w:r>
      <w:r w:rsidR="0018095E">
        <w:rPr>
          <w:rFonts w:ascii="Times New Roman" w:hAnsi="Times New Roman" w:cs="Times New Roman"/>
          <w:sz w:val="20"/>
          <w:szCs w:val="20"/>
        </w:rPr>
        <w:t>“</w:t>
      </w:r>
      <w:r w:rsidRPr="00F40BAC">
        <w:rPr>
          <w:rFonts w:ascii="Times New Roman" w:hAnsi="Times New Roman" w:cs="Times New Roman"/>
          <w:sz w:val="20"/>
          <w:szCs w:val="20"/>
        </w:rPr>
        <w:t>risk management</w:t>
      </w:r>
      <w:r w:rsidR="0018095E">
        <w:rPr>
          <w:rFonts w:ascii="Times New Roman" w:hAnsi="Times New Roman" w:cs="Times New Roman"/>
          <w:sz w:val="20"/>
          <w:szCs w:val="20"/>
        </w:rPr>
        <w:t>”</w:t>
      </w:r>
      <w:r w:rsidRPr="00F40BAC">
        <w:rPr>
          <w:rFonts w:ascii="Times New Roman" w:hAnsi="Times New Roman" w:cs="Times New Roman"/>
          <w:sz w:val="20"/>
          <w:szCs w:val="20"/>
        </w:rPr>
        <w:t xml:space="preserve"> or </w:t>
      </w:r>
      <w:r w:rsidR="0018095E">
        <w:rPr>
          <w:rFonts w:ascii="Times New Roman" w:hAnsi="Times New Roman" w:cs="Times New Roman"/>
          <w:sz w:val="20"/>
          <w:szCs w:val="20"/>
        </w:rPr>
        <w:t>“</w:t>
      </w:r>
      <w:r w:rsidRPr="00F40BAC">
        <w:rPr>
          <w:rFonts w:ascii="Times New Roman" w:hAnsi="Times New Roman" w:cs="Times New Roman"/>
          <w:sz w:val="20"/>
          <w:szCs w:val="20"/>
        </w:rPr>
        <w:t>professional judgment</w:t>
      </w:r>
      <w:r w:rsidR="0018095E">
        <w:rPr>
          <w:rFonts w:ascii="Times New Roman" w:hAnsi="Times New Roman" w:cs="Times New Roman"/>
          <w:sz w:val="20"/>
          <w:szCs w:val="20"/>
        </w:rPr>
        <w:t>”</w:t>
      </w:r>
      <w:r w:rsidRPr="00F40BAC">
        <w:rPr>
          <w:rFonts w:ascii="Times New Roman" w:hAnsi="Times New Roman" w:cs="Times New Roman"/>
          <w:sz w:val="20"/>
          <w:szCs w:val="20"/>
        </w:rPr>
        <w:t xml:space="preserve"> are not </w:t>
      </w:r>
      <w:r w:rsidR="0018095E">
        <w:rPr>
          <w:rFonts w:ascii="Times New Roman" w:hAnsi="Times New Roman" w:cs="Times New Roman"/>
          <w:sz w:val="20"/>
          <w:szCs w:val="20"/>
        </w:rPr>
        <w:t>used or deployed in ways that violate</w:t>
      </w:r>
      <w:r w:rsidRPr="00F40BAC">
        <w:rPr>
          <w:rFonts w:ascii="Times New Roman" w:hAnsi="Times New Roman" w:cs="Times New Roman"/>
          <w:sz w:val="20"/>
          <w:szCs w:val="20"/>
        </w:rPr>
        <w:t xml:space="preserve"> legal capacity, free and informed consent, liberty or </w:t>
      </w:r>
      <w:r w:rsidR="007910CC">
        <w:rPr>
          <w:rFonts w:ascii="Times New Roman" w:hAnsi="Times New Roman" w:cs="Times New Roman"/>
          <w:sz w:val="20"/>
          <w:szCs w:val="20"/>
        </w:rPr>
        <w:t xml:space="preserve">the </w:t>
      </w:r>
      <w:r w:rsidRPr="00F40BAC">
        <w:rPr>
          <w:rFonts w:ascii="Times New Roman" w:hAnsi="Times New Roman" w:cs="Times New Roman"/>
          <w:sz w:val="20"/>
          <w:szCs w:val="20"/>
        </w:rPr>
        <w:t>personal integrity</w:t>
      </w:r>
      <w:r w:rsidR="0018095E">
        <w:rPr>
          <w:rFonts w:ascii="Times New Roman" w:hAnsi="Times New Roman" w:cs="Times New Roman"/>
          <w:sz w:val="20"/>
          <w:szCs w:val="20"/>
        </w:rPr>
        <w:t xml:space="preserve"> of persons with disabilities</w:t>
      </w:r>
      <w:r w:rsidRPr="00F40BAC">
        <w:rPr>
          <w:rFonts w:ascii="Times New Roman" w:hAnsi="Times New Roman" w:cs="Times New Roman"/>
          <w:sz w:val="20"/>
          <w:szCs w:val="20"/>
        </w:rPr>
        <w:t>. Other treaty bodies and special procedures should integrate the Convention and the Committee’s jurisprudence into their mandates, while consulting closely with persons with disabilities and their representative organisations.</w:t>
      </w:r>
      <w:r>
        <w:rPr>
          <w:rFonts w:ascii="Times New Roman" w:hAnsi="Times New Roman" w:cs="Times New Roman"/>
          <w:sz w:val="20"/>
          <w:szCs w:val="20"/>
        </w:rPr>
        <w:t xml:space="preserve"> </w:t>
      </w:r>
      <w:r w:rsidRPr="00F40BAC">
        <w:rPr>
          <w:rFonts w:ascii="Times New Roman" w:hAnsi="Times New Roman" w:cs="Times New Roman"/>
          <w:sz w:val="20"/>
          <w:szCs w:val="20"/>
        </w:rPr>
        <w:t>Cooperation among these mechanisms should promote convergence around the highest applicable human</w:t>
      </w:r>
      <w:r w:rsidR="0018095E">
        <w:rPr>
          <w:rFonts w:ascii="Times New Roman" w:hAnsi="Times New Roman" w:cs="Times New Roman"/>
          <w:sz w:val="20"/>
          <w:szCs w:val="20"/>
        </w:rPr>
        <w:t xml:space="preserve"> r</w:t>
      </w:r>
      <w:r w:rsidRPr="00F40BAC">
        <w:rPr>
          <w:rFonts w:ascii="Times New Roman" w:hAnsi="Times New Roman" w:cs="Times New Roman"/>
          <w:sz w:val="20"/>
          <w:szCs w:val="20"/>
        </w:rPr>
        <w:t>ights standards, rather than permitting lower regional, professional or medical standards to dilute the Convention.</w:t>
      </w:r>
      <w:r w:rsidR="0018095E">
        <w:rPr>
          <w:rStyle w:val="FootnoteReference"/>
          <w:rFonts w:ascii="Times New Roman" w:hAnsi="Times New Roman" w:cs="Times New Roman"/>
          <w:sz w:val="20"/>
          <w:szCs w:val="20"/>
        </w:rPr>
        <w:footnoteReference w:id="38"/>
      </w:r>
      <w:r w:rsidRPr="00F40BAC">
        <w:rPr>
          <w:rFonts w:ascii="Times New Roman" w:hAnsi="Times New Roman" w:cs="Times New Roman"/>
          <w:sz w:val="20"/>
          <w:szCs w:val="20"/>
        </w:rPr>
        <w:t xml:space="preserve"> States should be required to publish, implement and report on recommendations concerning disability-based violence, and national monitoring frameworks should track implementation across mechanisms. International monitoring, however, does not displace the State’s primary obligations to cease ongoing violations, investigate, ensure accountability and provide full reparation.</w:t>
      </w:r>
    </w:p>
    <w:p w14:paraId="711D3D48" w14:textId="76AF54B5" w:rsidR="00891093" w:rsidRPr="0087506C" w:rsidRDefault="004468A2" w:rsidP="00FA2955">
      <w:pPr>
        <w:pStyle w:val="Heading2"/>
      </w:pPr>
      <w:r>
        <w:t>V</w:t>
      </w:r>
      <w:r w:rsidR="00CF115C">
        <w:t>I</w:t>
      </w:r>
      <w:r>
        <w:t xml:space="preserve">. </w:t>
      </w:r>
      <w:r w:rsidR="00766969">
        <w:t>CLOSING REMARKS</w:t>
      </w:r>
    </w:p>
    <w:p w14:paraId="1E90B5A2" w14:textId="516AC177" w:rsidR="00766969" w:rsidRDefault="00766969" w:rsidP="004468A2">
      <w:pPr>
        <w:pStyle w:val="ListParagraph"/>
        <w:numPr>
          <w:ilvl w:val="0"/>
          <w:numId w:val="1"/>
        </w:numPr>
        <w:rPr>
          <w:rFonts w:ascii="Times New Roman" w:hAnsi="Times New Roman" w:cs="Times New Roman"/>
          <w:sz w:val="20"/>
          <w:szCs w:val="20"/>
        </w:rPr>
      </w:pPr>
      <w:r w:rsidRPr="00766969">
        <w:rPr>
          <w:rFonts w:ascii="Times New Roman" w:hAnsi="Times New Roman" w:cs="Times New Roman"/>
          <w:sz w:val="20"/>
          <w:szCs w:val="20"/>
        </w:rPr>
        <w:t>Validity welcomes the Committee’s determination to address disability-based violence and recognises the urgency of providing States parties with clear, authoritative and practical guidance. The zero draft represents an important step in that process and contains valuable material drawn from the experiences of persons with disabilities. At the same time</w:t>
      </w:r>
      <w:r w:rsidR="000F693B">
        <w:rPr>
          <w:rFonts w:ascii="Times New Roman" w:hAnsi="Times New Roman" w:cs="Times New Roman"/>
          <w:sz w:val="20"/>
          <w:szCs w:val="20"/>
        </w:rPr>
        <w:t xml:space="preserve">, we believe that </w:t>
      </w:r>
      <w:r w:rsidR="000F693B" w:rsidRPr="00766969">
        <w:rPr>
          <w:rFonts w:ascii="Times New Roman" w:hAnsi="Times New Roman" w:cs="Times New Roman"/>
          <w:sz w:val="20"/>
          <w:szCs w:val="20"/>
        </w:rPr>
        <w:t>the text would benefit from further development before being adopted as final Guidelines</w:t>
      </w:r>
      <w:r w:rsidR="000F693B">
        <w:rPr>
          <w:rFonts w:ascii="Times New Roman" w:hAnsi="Times New Roman" w:cs="Times New Roman"/>
          <w:sz w:val="20"/>
          <w:szCs w:val="20"/>
        </w:rPr>
        <w:t xml:space="preserve">, taking into account </w:t>
      </w:r>
      <w:r w:rsidRPr="00766969">
        <w:rPr>
          <w:rFonts w:ascii="Times New Roman" w:hAnsi="Times New Roman" w:cs="Times New Roman"/>
          <w:sz w:val="20"/>
          <w:szCs w:val="20"/>
        </w:rPr>
        <w:t xml:space="preserve">the conceptual, legal and structural issues identified in this submission. At its forthcoming </w:t>
      </w:r>
      <w:r w:rsidR="000F693B">
        <w:rPr>
          <w:rFonts w:ascii="Times New Roman" w:hAnsi="Times New Roman" w:cs="Times New Roman"/>
          <w:sz w:val="20"/>
          <w:szCs w:val="20"/>
        </w:rPr>
        <w:t>35</w:t>
      </w:r>
      <w:r w:rsidR="000F693B" w:rsidRPr="000F693B">
        <w:rPr>
          <w:rFonts w:ascii="Times New Roman" w:hAnsi="Times New Roman" w:cs="Times New Roman"/>
          <w:sz w:val="20"/>
          <w:szCs w:val="20"/>
          <w:vertAlign w:val="superscript"/>
        </w:rPr>
        <w:t>th</w:t>
      </w:r>
      <w:r w:rsidR="000F693B">
        <w:rPr>
          <w:rFonts w:ascii="Times New Roman" w:hAnsi="Times New Roman" w:cs="Times New Roman"/>
          <w:sz w:val="20"/>
          <w:szCs w:val="20"/>
        </w:rPr>
        <w:t xml:space="preserve"> S</w:t>
      </w:r>
      <w:r w:rsidRPr="00766969">
        <w:rPr>
          <w:rFonts w:ascii="Times New Roman" w:hAnsi="Times New Roman" w:cs="Times New Roman"/>
          <w:sz w:val="20"/>
          <w:szCs w:val="20"/>
        </w:rPr>
        <w:t>ession, the Committee may therefore wish to publish a substantially revised draft</w:t>
      </w:r>
      <w:r w:rsidR="000F693B">
        <w:rPr>
          <w:rFonts w:ascii="Times New Roman" w:hAnsi="Times New Roman" w:cs="Times New Roman"/>
          <w:sz w:val="20"/>
          <w:szCs w:val="20"/>
        </w:rPr>
        <w:t xml:space="preserve"> of the Guidelines</w:t>
      </w:r>
      <w:r w:rsidRPr="00766969">
        <w:rPr>
          <w:rFonts w:ascii="Times New Roman" w:hAnsi="Times New Roman" w:cs="Times New Roman"/>
          <w:sz w:val="20"/>
          <w:szCs w:val="20"/>
        </w:rPr>
        <w:t xml:space="preserve"> for further consultation and adopt an accompanying statement reaffirming its commitment to ending all forms of disability-based violence, recognising the seriousness and urgency of the issue, and setting out a clear timetable for completing the Guidelines</w:t>
      </w:r>
      <w:r w:rsidR="000F693B">
        <w:rPr>
          <w:rFonts w:ascii="Times New Roman" w:hAnsi="Times New Roman" w:cs="Times New Roman"/>
          <w:sz w:val="20"/>
          <w:szCs w:val="20"/>
        </w:rPr>
        <w:t xml:space="preserve"> over the coming months</w:t>
      </w:r>
      <w:r w:rsidRPr="00766969">
        <w:rPr>
          <w:rFonts w:ascii="Times New Roman" w:hAnsi="Times New Roman" w:cs="Times New Roman"/>
          <w:sz w:val="20"/>
          <w:szCs w:val="20"/>
        </w:rPr>
        <w:t>.</w:t>
      </w:r>
      <w:r>
        <w:rPr>
          <w:rFonts w:ascii="Times New Roman" w:hAnsi="Times New Roman" w:cs="Times New Roman"/>
          <w:sz w:val="20"/>
          <w:szCs w:val="20"/>
        </w:rPr>
        <w:br/>
      </w:r>
    </w:p>
    <w:p w14:paraId="01E04579" w14:textId="32B3CA2A" w:rsidR="00766969" w:rsidRDefault="00766969" w:rsidP="00766969">
      <w:pPr>
        <w:pStyle w:val="ListParagraph"/>
        <w:numPr>
          <w:ilvl w:val="0"/>
          <w:numId w:val="1"/>
        </w:numPr>
        <w:rPr>
          <w:rFonts w:ascii="Times New Roman" w:hAnsi="Times New Roman" w:cs="Times New Roman"/>
          <w:sz w:val="20"/>
          <w:szCs w:val="20"/>
        </w:rPr>
      </w:pPr>
      <w:r w:rsidRPr="00766969">
        <w:rPr>
          <w:rFonts w:ascii="Times New Roman" w:hAnsi="Times New Roman" w:cs="Times New Roman"/>
          <w:sz w:val="20"/>
          <w:szCs w:val="20"/>
        </w:rPr>
        <w:t>The next stage of the process should provide a more comprehensive, accessible and inclusive opportunity for participation by persons with disabilities, particularly survivors of disability-based violence and their representative organisations. Consultation should be available in accessible formats and multiple languages, provide sufficient time for considered responses, and include targeted outreach to persons who are institutionalised, detained, isolated from representative organisations or otherwise face barriers to participation.</w:t>
      </w:r>
      <w:r>
        <w:rPr>
          <w:rFonts w:ascii="Times New Roman" w:hAnsi="Times New Roman" w:cs="Times New Roman"/>
          <w:sz w:val="20"/>
          <w:szCs w:val="20"/>
        </w:rPr>
        <w:t xml:space="preserve"> </w:t>
      </w:r>
      <w:r w:rsidRPr="00766969">
        <w:rPr>
          <w:rFonts w:ascii="Times New Roman" w:hAnsi="Times New Roman" w:cs="Times New Roman"/>
          <w:sz w:val="20"/>
          <w:szCs w:val="20"/>
        </w:rPr>
        <w:t>The Committee may also wish to seek targeted cooperation with relevant treaty bodies, special procedures and international and regional preventive and monitoring mechanisms. Such cooperation should strengthen consistency with the Convention and the Committee’s jurisprudence, while preserving the central role and leadership of persons with disabilities and their representative organisations.</w:t>
      </w:r>
      <w:r>
        <w:rPr>
          <w:rFonts w:ascii="Times New Roman" w:hAnsi="Times New Roman" w:cs="Times New Roman"/>
          <w:sz w:val="20"/>
          <w:szCs w:val="20"/>
        </w:rPr>
        <w:br/>
      </w:r>
    </w:p>
    <w:p w14:paraId="1B94CF6D" w14:textId="3A9B6646" w:rsidR="00B84677" w:rsidRPr="00CF115C" w:rsidRDefault="00766969" w:rsidP="00B84677">
      <w:pPr>
        <w:pStyle w:val="ListParagraph"/>
        <w:numPr>
          <w:ilvl w:val="0"/>
          <w:numId w:val="1"/>
        </w:numPr>
        <w:rPr>
          <w:rFonts w:ascii="Times New Roman" w:hAnsi="Times New Roman" w:cs="Times New Roman"/>
          <w:sz w:val="20"/>
          <w:szCs w:val="20"/>
        </w:rPr>
      </w:pPr>
      <w:r w:rsidRPr="00766969">
        <w:rPr>
          <w:rFonts w:ascii="Times New Roman" w:hAnsi="Times New Roman" w:cs="Times New Roman"/>
          <w:sz w:val="20"/>
          <w:szCs w:val="20"/>
        </w:rPr>
        <w:t xml:space="preserve">Validity stands ready to support the Committee in the further development of the Guidelines, including through consultation on definitions, State obligations, access to justice, monitoring, reparations and </w:t>
      </w:r>
      <w:r w:rsidRPr="00766969">
        <w:rPr>
          <w:rFonts w:ascii="Times New Roman" w:hAnsi="Times New Roman" w:cs="Times New Roman"/>
          <w:sz w:val="20"/>
          <w:szCs w:val="20"/>
        </w:rPr>
        <w:lastRenderedPageBreak/>
        <w:t>accountability. We respectfully encourage the Committee to prioritise a document that is conceptually coherent, legally rigorous, grounded in the knowledge and experience of survivors, and capable of guiding concrete action by States parties. A carefully revised and inclusively developed set of Guidelines could make a significant contribution to identifying, ending and redressing disability-based violence, dismantling the systems that perpetuate it, and ensuring effective guarantees of non-repetition.</w:t>
      </w:r>
    </w:p>
    <w:p w14:paraId="16B2BE88" w14:textId="77777777" w:rsidR="00DD1B78" w:rsidRDefault="00DD1B78" w:rsidP="00B84677">
      <w:pPr>
        <w:rPr>
          <w:rFonts w:ascii="Times New Roman" w:hAnsi="Times New Roman" w:cs="Times New Roman"/>
          <w:i/>
          <w:iCs/>
          <w:sz w:val="20"/>
          <w:szCs w:val="20"/>
        </w:rPr>
      </w:pPr>
    </w:p>
    <w:p w14:paraId="278423A6" w14:textId="08288CEB" w:rsidR="00B84677" w:rsidRPr="0027376E" w:rsidRDefault="002773E6" w:rsidP="00B84677">
      <w:pPr>
        <w:rPr>
          <w:rFonts w:ascii="Times New Roman" w:hAnsi="Times New Roman" w:cs="Times New Roman"/>
          <w:i/>
          <w:iCs/>
          <w:sz w:val="20"/>
          <w:szCs w:val="20"/>
        </w:rPr>
      </w:pPr>
      <w:r w:rsidRPr="0027376E">
        <w:rPr>
          <w:rFonts w:ascii="Times New Roman" w:hAnsi="Times New Roman" w:cs="Times New Roman"/>
          <w:i/>
          <w:iCs/>
          <w:sz w:val="20"/>
          <w:szCs w:val="20"/>
        </w:rPr>
        <w:t xml:space="preserve">We confirm that this submission may be published on the </w:t>
      </w:r>
      <w:r w:rsidR="0027376E" w:rsidRPr="0027376E">
        <w:rPr>
          <w:rFonts w:ascii="Times New Roman" w:hAnsi="Times New Roman" w:cs="Times New Roman"/>
          <w:i/>
          <w:iCs/>
          <w:sz w:val="20"/>
          <w:szCs w:val="20"/>
        </w:rPr>
        <w:t>website of the CRPD Committee.</w:t>
      </w:r>
    </w:p>
    <w:p w14:paraId="5596F959" w14:textId="77777777" w:rsidR="002773E6" w:rsidRDefault="002773E6" w:rsidP="00B84677">
      <w:pPr>
        <w:rPr>
          <w:rFonts w:ascii="Times New Roman" w:hAnsi="Times New Roman" w:cs="Times New Roman"/>
          <w:sz w:val="20"/>
          <w:szCs w:val="20"/>
        </w:rPr>
      </w:pPr>
    </w:p>
    <w:p w14:paraId="42866F49" w14:textId="0EABC091" w:rsidR="00B84677" w:rsidRPr="00B84677" w:rsidRDefault="00B84677" w:rsidP="00B84677">
      <w:pPr>
        <w:rPr>
          <w:rFonts w:ascii="Times New Roman" w:hAnsi="Times New Roman" w:cs="Times New Roman"/>
          <w:b/>
          <w:bCs/>
          <w:sz w:val="20"/>
          <w:szCs w:val="20"/>
          <w:u w:val="single"/>
        </w:rPr>
      </w:pPr>
      <w:r w:rsidRPr="00B84677">
        <w:rPr>
          <w:rFonts w:ascii="Times New Roman" w:hAnsi="Times New Roman" w:cs="Times New Roman"/>
          <w:b/>
          <w:bCs/>
          <w:sz w:val="20"/>
          <w:szCs w:val="20"/>
          <w:u w:val="single"/>
        </w:rPr>
        <w:t>Contact details</w:t>
      </w:r>
    </w:p>
    <w:p w14:paraId="449CFC8D" w14:textId="47A18A6E" w:rsidR="00B84677" w:rsidRPr="00B84677" w:rsidRDefault="00B84677" w:rsidP="00772C91">
      <w:pPr>
        <w:rPr>
          <w:rFonts w:ascii="Times New Roman" w:hAnsi="Times New Roman" w:cs="Times New Roman"/>
          <w:sz w:val="20"/>
          <w:szCs w:val="20"/>
        </w:rPr>
      </w:pPr>
      <w:r w:rsidRPr="00F03D09">
        <w:rPr>
          <w:rFonts w:ascii="Times New Roman" w:hAnsi="Times New Roman" w:cs="Times New Roman"/>
          <w:sz w:val="20"/>
          <w:szCs w:val="20"/>
        </w:rPr>
        <w:t>Steven Allen</w:t>
      </w:r>
      <w:r w:rsidRPr="00F03D09">
        <w:rPr>
          <w:rFonts w:ascii="Times New Roman" w:hAnsi="Times New Roman" w:cs="Times New Roman"/>
          <w:sz w:val="20"/>
          <w:szCs w:val="20"/>
        </w:rPr>
        <w:br/>
        <w:t>Executive Director</w:t>
      </w:r>
      <w:r w:rsidRPr="00F03D09">
        <w:rPr>
          <w:rFonts w:ascii="Times New Roman" w:hAnsi="Times New Roman" w:cs="Times New Roman"/>
          <w:sz w:val="20"/>
          <w:szCs w:val="20"/>
        </w:rPr>
        <w:br/>
        <w:t>Validity Foundation</w:t>
      </w:r>
      <w:r w:rsidRPr="00F03D09">
        <w:rPr>
          <w:rFonts w:ascii="Times New Roman" w:hAnsi="Times New Roman" w:cs="Times New Roman"/>
          <w:sz w:val="20"/>
          <w:szCs w:val="20"/>
        </w:rPr>
        <w:br/>
      </w:r>
      <w:hyperlink r:id="rId14" w:history="1">
        <w:r w:rsidRPr="00F03D09">
          <w:rPr>
            <w:rStyle w:val="Hyperlink"/>
            <w:rFonts w:ascii="Times New Roman" w:hAnsi="Times New Roman" w:cs="Times New Roman"/>
            <w:sz w:val="20"/>
            <w:szCs w:val="20"/>
          </w:rPr>
          <w:t>steven@validity.ngo</w:t>
        </w:r>
      </w:hyperlink>
      <w:r w:rsidRPr="00F03D09">
        <w:rPr>
          <w:rFonts w:ascii="Times New Roman" w:hAnsi="Times New Roman" w:cs="Times New Roman"/>
          <w:sz w:val="20"/>
          <w:szCs w:val="20"/>
        </w:rPr>
        <w:t xml:space="preserve"> </w:t>
      </w:r>
    </w:p>
    <w:sectPr w:rsidR="00B84677" w:rsidRPr="00B84677" w:rsidSect="00CE7C13">
      <w:headerReference w:type="default" r:id="rId15"/>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0E039" w14:textId="77777777" w:rsidR="00151677" w:rsidRDefault="00151677" w:rsidP="0004634B">
      <w:pPr>
        <w:spacing w:after="0" w:line="240" w:lineRule="auto"/>
      </w:pPr>
      <w:r>
        <w:separator/>
      </w:r>
    </w:p>
  </w:endnote>
  <w:endnote w:type="continuationSeparator" w:id="0">
    <w:p w14:paraId="6680E364" w14:textId="77777777" w:rsidR="00151677" w:rsidRDefault="00151677" w:rsidP="00046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531101793"/>
      <w:docPartObj>
        <w:docPartGallery w:val="Page Numbers (Bottom of Page)"/>
        <w:docPartUnique/>
      </w:docPartObj>
    </w:sdtPr>
    <w:sdtEndPr/>
    <w:sdtContent>
      <w:sdt>
        <w:sdtPr>
          <w:rPr>
            <w:rFonts w:ascii="Times New Roman" w:hAnsi="Times New Roman" w:cs="Times New Roman"/>
            <w:sz w:val="20"/>
            <w:szCs w:val="20"/>
          </w:rPr>
          <w:id w:val="1728636285"/>
          <w:docPartObj>
            <w:docPartGallery w:val="Page Numbers (Top of Page)"/>
            <w:docPartUnique/>
          </w:docPartObj>
        </w:sdtPr>
        <w:sdtEndPr/>
        <w:sdtContent>
          <w:p w14:paraId="6BD5445F" w14:textId="14DBD9FB" w:rsidR="0004634B" w:rsidRPr="00553AA9" w:rsidRDefault="00CE7C13" w:rsidP="00CE7C13">
            <w:pPr>
              <w:pStyle w:val="Footer"/>
              <w:jc w:val="center"/>
              <w:rPr>
                <w:rFonts w:ascii="Times New Roman" w:hAnsi="Times New Roman" w:cs="Times New Roman"/>
                <w:sz w:val="20"/>
                <w:szCs w:val="20"/>
              </w:rPr>
            </w:pPr>
            <w:r w:rsidRPr="00553AA9">
              <w:rPr>
                <w:rFonts w:ascii="Times New Roman" w:hAnsi="Times New Roman" w:cs="Times New Roman"/>
                <w:sz w:val="20"/>
                <w:szCs w:val="20"/>
              </w:rPr>
              <w:t xml:space="preserve">Page </w:t>
            </w:r>
            <w:r w:rsidRPr="00553AA9">
              <w:rPr>
                <w:rFonts w:ascii="Times New Roman" w:hAnsi="Times New Roman" w:cs="Times New Roman"/>
                <w:b/>
                <w:bCs/>
                <w:sz w:val="20"/>
                <w:szCs w:val="20"/>
              </w:rPr>
              <w:fldChar w:fldCharType="begin"/>
            </w:r>
            <w:r w:rsidRPr="00553AA9">
              <w:rPr>
                <w:rFonts w:ascii="Times New Roman" w:hAnsi="Times New Roman" w:cs="Times New Roman"/>
                <w:b/>
                <w:bCs/>
                <w:sz w:val="20"/>
                <w:szCs w:val="20"/>
              </w:rPr>
              <w:instrText xml:space="preserve"> PAGE </w:instrText>
            </w:r>
            <w:r w:rsidRPr="00553AA9">
              <w:rPr>
                <w:rFonts w:ascii="Times New Roman" w:hAnsi="Times New Roman" w:cs="Times New Roman"/>
                <w:b/>
                <w:bCs/>
                <w:sz w:val="20"/>
                <w:szCs w:val="20"/>
              </w:rPr>
              <w:fldChar w:fldCharType="separate"/>
            </w:r>
            <w:r w:rsidRPr="00553AA9">
              <w:rPr>
                <w:rFonts w:ascii="Times New Roman" w:hAnsi="Times New Roman" w:cs="Times New Roman"/>
                <w:b/>
                <w:bCs/>
                <w:noProof/>
                <w:sz w:val="20"/>
                <w:szCs w:val="20"/>
              </w:rPr>
              <w:t>2</w:t>
            </w:r>
            <w:r w:rsidRPr="00553AA9">
              <w:rPr>
                <w:rFonts w:ascii="Times New Roman" w:hAnsi="Times New Roman" w:cs="Times New Roman"/>
                <w:b/>
                <w:bCs/>
                <w:sz w:val="20"/>
                <w:szCs w:val="20"/>
              </w:rPr>
              <w:fldChar w:fldCharType="end"/>
            </w:r>
            <w:r w:rsidRPr="00553AA9">
              <w:rPr>
                <w:rFonts w:ascii="Times New Roman" w:hAnsi="Times New Roman" w:cs="Times New Roman"/>
                <w:sz w:val="20"/>
                <w:szCs w:val="20"/>
              </w:rPr>
              <w:t xml:space="preserve"> of </w:t>
            </w:r>
            <w:r w:rsidR="00B11535">
              <w:rPr>
                <w:rFonts w:ascii="Times New Roman" w:hAnsi="Times New Roman" w:cs="Times New Roman"/>
                <w:sz w:val="20"/>
                <w:szCs w:val="20"/>
              </w:rPr>
              <w:fldChar w:fldCharType="begin"/>
            </w:r>
            <w:r w:rsidR="00B11535">
              <w:rPr>
                <w:rFonts w:ascii="Times New Roman" w:hAnsi="Times New Roman" w:cs="Times New Roman"/>
                <w:sz w:val="20"/>
                <w:szCs w:val="20"/>
              </w:rPr>
              <w:instrText xml:space="preserve"> { = { NUMPAGES } - 1 } </w:instrText>
            </w:r>
            <w:r w:rsidR="00B11535">
              <w:rPr>
                <w:rFonts w:ascii="Times New Roman" w:hAnsi="Times New Roman" w:cs="Times New Roman"/>
                <w:sz w:val="20"/>
                <w:szCs w:val="20"/>
              </w:rPr>
              <w:fldChar w:fldCharType="end"/>
            </w:r>
            <w:r w:rsidR="00B11535">
              <w:rPr>
                <w:rFonts w:ascii="Times New Roman" w:hAnsi="Times New Roman" w:cs="Times New Roman"/>
                <w:b/>
                <w:bCs/>
                <w:sz w:val="20"/>
                <w:szCs w:val="20"/>
              </w:rPr>
              <w:t>1</w:t>
            </w:r>
            <w:r w:rsidR="003660A0">
              <w:rPr>
                <w:rFonts w:ascii="Times New Roman" w:hAnsi="Times New Roman" w:cs="Times New Roman"/>
                <w:b/>
                <w:bCs/>
                <w:sz w:val="20"/>
                <w:szCs w:val="20"/>
              </w:rPr>
              <w:t>2</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32910" w14:textId="77777777" w:rsidR="00151677" w:rsidRDefault="00151677" w:rsidP="0004634B">
      <w:pPr>
        <w:spacing w:after="0" w:line="240" w:lineRule="auto"/>
      </w:pPr>
      <w:r>
        <w:separator/>
      </w:r>
    </w:p>
  </w:footnote>
  <w:footnote w:type="continuationSeparator" w:id="0">
    <w:p w14:paraId="648D67DF" w14:textId="77777777" w:rsidR="00151677" w:rsidRDefault="00151677" w:rsidP="0004634B">
      <w:pPr>
        <w:spacing w:after="0" w:line="240" w:lineRule="auto"/>
      </w:pPr>
      <w:r>
        <w:continuationSeparator/>
      </w:r>
    </w:p>
  </w:footnote>
  <w:footnote w:id="1">
    <w:p w14:paraId="359C8256" w14:textId="77777777" w:rsidR="00D91EAA" w:rsidRPr="00FC5A73" w:rsidRDefault="00D91EAA" w:rsidP="00D91EAA">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Examples include: “</w:t>
      </w:r>
      <w:r w:rsidRPr="00FC5A73">
        <w:rPr>
          <w:rFonts w:ascii="Times New Roman" w:hAnsi="Times New Roman" w:cs="Times New Roman"/>
          <w:i/>
          <w:iCs/>
          <w:sz w:val="18"/>
          <w:szCs w:val="18"/>
        </w:rPr>
        <w:t>systemic violence</w:t>
      </w:r>
      <w:r w:rsidRPr="00FC5A73">
        <w:rPr>
          <w:rFonts w:ascii="Times New Roman" w:hAnsi="Times New Roman" w:cs="Times New Roman"/>
          <w:sz w:val="18"/>
          <w:szCs w:val="18"/>
        </w:rPr>
        <w:t>” (para. 15); “</w:t>
      </w:r>
      <w:r w:rsidRPr="00FC5A73">
        <w:rPr>
          <w:rFonts w:ascii="Times New Roman" w:hAnsi="Times New Roman" w:cs="Times New Roman"/>
          <w:i/>
          <w:iCs/>
          <w:sz w:val="18"/>
          <w:szCs w:val="18"/>
        </w:rPr>
        <w:t>systematic or structural violence</w:t>
      </w:r>
      <w:r w:rsidRPr="00FC5A73">
        <w:rPr>
          <w:rFonts w:ascii="Times New Roman" w:hAnsi="Times New Roman" w:cs="Times New Roman"/>
          <w:sz w:val="18"/>
          <w:szCs w:val="18"/>
        </w:rPr>
        <w:t>” (para. 1); “</w:t>
      </w:r>
      <w:r w:rsidRPr="00FC5A73">
        <w:rPr>
          <w:rFonts w:ascii="Times New Roman" w:hAnsi="Times New Roman" w:cs="Times New Roman"/>
          <w:i/>
          <w:iCs/>
          <w:sz w:val="18"/>
          <w:szCs w:val="18"/>
        </w:rPr>
        <w:t>institutional violence</w:t>
      </w:r>
      <w:r w:rsidRPr="00FC5A73">
        <w:rPr>
          <w:rFonts w:ascii="Times New Roman" w:hAnsi="Times New Roman" w:cs="Times New Roman"/>
          <w:sz w:val="18"/>
          <w:szCs w:val="18"/>
        </w:rPr>
        <w:t>” (para. 106); “</w:t>
      </w:r>
      <w:r w:rsidRPr="00FC5A73">
        <w:rPr>
          <w:rFonts w:ascii="Times New Roman" w:hAnsi="Times New Roman" w:cs="Times New Roman"/>
          <w:i/>
          <w:iCs/>
          <w:sz w:val="18"/>
          <w:szCs w:val="18"/>
        </w:rPr>
        <w:t>systemic disability-based violence</w:t>
      </w:r>
      <w:r w:rsidRPr="00FC5A73">
        <w:rPr>
          <w:rFonts w:ascii="Times New Roman" w:hAnsi="Times New Roman" w:cs="Times New Roman"/>
          <w:sz w:val="18"/>
          <w:szCs w:val="18"/>
        </w:rPr>
        <w:t>” (para. 113); “</w:t>
      </w:r>
      <w:r w:rsidRPr="00FC5A73">
        <w:rPr>
          <w:rFonts w:ascii="Times New Roman" w:hAnsi="Times New Roman" w:cs="Times New Roman"/>
          <w:i/>
          <w:iCs/>
          <w:sz w:val="18"/>
          <w:szCs w:val="18"/>
        </w:rPr>
        <w:t>structural dimension of violence</w:t>
      </w:r>
      <w:r w:rsidRPr="00FC5A73">
        <w:rPr>
          <w:rFonts w:ascii="Times New Roman" w:hAnsi="Times New Roman" w:cs="Times New Roman"/>
          <w:sz w:val="18"/>
          <w:szCs w:val="18"/>
        </w:rPr>
        <w:t>” (para. 15); “</w:t>
      </w:r>
      <w:r w:rsidRPr="00FC5A73">
        <w:rPr>
          <w:rFonts w:ascii="Times New Roman" w:hAnsi="Times New Roman" w:cs="Times New Roman"/>
          <w:i/>
          <w:iCs/>
          <w:sz w:val="18"/>
          <w:szCs w:val="18"/>
        </w:rPr>
        <w:t>systematic forms of violence</w:t>
      </w:r>
      <w:r w:rsidRPr="00FC5A73">
        <w:rPr>
          <w:rFonts w:ascii="Times New Roman" w:hAnsi="Times New Roman" w:cs="Times New Roman"/>
          <w:sz w:val="18"/>
          <w:szCs w:val="18"/>
        </w:rPr>
        <w:t>” (para. 11); “</w:t>
      </w:r>
      <w:r w:rsidRPr="00FC5A73">
        <w:rPr>
          <w:rFonts w:ascii="Times New Roman" w:hAnsi="Times New Roman" w:cs="Times New Roman"/>
          <w:i/>
          <w:iCs/>
          <w:sz w:val="18"/>
          <w:szCs w:val="18"/>
        </w:rPr>
        <w:t>structural or systemic discrimination</w:t>
      </w:r>
      <w:r w:rsidRPr="00FC5A73">
        <w:rPr>
          <w:rFonts w:ascii="Times New Roman" w:hAnsi="Times New Roman" w:cs="Times New Roman"/>
          <w:sz w:val="18"/>
          <w:szCs w:val="18"/>
        </w:rPr>
        <w:t>” (para. 15); “</w:t>
      </w:r>
      <w:r w:rsidRPr="00FC5A73">
        <w:rPr>
          <w:rFonts w:ascii="Times New Roman" w:hAnsi="Times New Roman" w:cs="Times New Roman"/>
          <w:i/>
          <w:iCs/>
          <w:sz w:val="18"/>
          <w:szCs w:val="18"/>
        </w:rPr>
        <w:t>systemic discrimination</w:t>
      </w:r>
      <w:r w:rsidRPr="00FC5A73">
        <w:rPr>
          <w:rFonts w:ascii="Times New Roman" w:hAnsi="Times New Roman" w:cs="Times New Roman"/>
          <w:sz w:val="18"/>
          <w:szCs w:val="18"/>
        </w:rPr>
        <w:t>” (para. 32(c)); and “</w:t>
      </w:r>
      <w:r w:rsidRPr="00FC5A73">
        <w:rPr>
          <w:rFonts w:ascii="Times New Roman" w:hAnsi="Times New Roman" w:cs="Times New Roman"/>
          <w:i/>
          <w:iCs/>
          <w:sz w:val="18"/>
          <w:szCs w:val="18"/>
        </w:rPr>
        <w:t>systemic abuse</w:t>
      </w:r>
      <w:r w:rsidRPr="00FC5A73">
        <w:rPr>
          <w:rFonts w:ascii="Times New Roman" w:hAnsi="Times New Roman" w:cs="Times New Roman"/>
          <w:sz w:val="18"/>
          <w:szCs w:val="18"/>
        </w:rPr>
        <w:t xml:space="preserve">” (para. 21). </w:t>
      </w:r>
    </w:p>
  </w:footnote>
  <w:footnote w:id="2">
    <w:p w14:paraId="0F0B35D0" w14:textId="12A01F82" w:rsidR="00600245" w:rsidRPr="00FC5A73" w:rsidRDefault="00600245">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w:t>
      </w:r>
      <w:r w:rsidR="00C33CF5" w:rsidRPr="00FC5A73">
        <w:rPr>
          <w:rFonts w:ascii="Times New Roman" w:hAnsi="Times New Roman" w:cs="Times New Roman"/>
          <w:sz w:val="18"/>
          <w:szCs w:val="18"/>
        </w:rPr>
        <w:t>“</w:t>
      </w:r>
      <w:r w:rsidR="000D6F34" w:rsidRPr="00FC5A73">
        <w:rPr>
          <w:rFonts w:ascii="Times New Roman" w:hAnsi="Times New Roman" w:cs="Times New Roman"/>
          <w:sz w:val="18"/>
          <w:szCs w:val="18"/>
        </w:rPr>
        <w:t>Neglect</w:t>
      </w:r>
      <w:r w:rsidR="00C33CF5" w:rsidRPr="00FC5A73">
        <w:rPr>
          <w:rFonts w:ascii="Times New Roman" w:hAnsi="Times New Roman" w:cs="Times New Roman"/>
          <w:sz w:val="18"/>
          <w:szCs w:val="18"/>
        </w:rPr>
        <w:t>” and “negligent treatment” are</w:t>
      </w:r>
      <w:r w:rsidR="000D6F34" w:rsidRPr="00FC5A73">
        <w:rPr>
          <w:rFonts w:ascii="Times New Roman" w:hAnsi="Times New Roman" w:cs="Times New Roman"/>
          <w:sz w:val="18"/>
          <w:szCs w:val="18"/>
        </w:rPr>
        <w:t xml:space="preserve"> recognised as form</w:t>
      </w:r>
      <w:r w:rsidR="00C33CF5" w:rsidRPr="00FC5A73">
        <w:rPr>
          <w:rFonts w:ascii="Times New Roman" w:hAnsi="Times New Roman" w:cs="Times New Roman"/>
          <w:sz w:val="18"/>
          <w:szCs w:val="18"/>
        </w:rPr>
        <w:t>s</w:t>
      </w:r>
      <w:r w:rsidR="000D6F34" w:rsidRPr="00FC5A73">
        <w:rPr>
          <w:rFonts w:ascii="Times New Roman" w:hAnsi="Times New Roman" w:cs="Times New Roman"/>
          <w:sz w:val="18"/>
          <w:szCs w:val="18"/>
        </w:rPr>
        <w:t xml:space="preserve"> of </w:t>
      </w:r>
      <w:r w:rsidR="002D710A" w:rsidRPr="00FC5A73">
        <w:rPr>
          <w:rFonts w:ascii="Times New Roman" w:hAnsi="Times New Roman" w:cs="Times New Roman"/>
          <w:sz w:val="18"/>
          <w:szCs w:val="18"/>
        </w:rPr>
        <w:t>violence against children under</w:t>
      </w:r>
      <w:r w:rsidR="00940252" w:rsidRPr="00FC5A73">
        <w:rPr>
          <w:rFonts w:ascii="Times New Roman" w:hAnsi="Times New Roman" w:cs="Times New Roman"/>
          <w:sz w:val="18"/>
          <w:szCs w:val="18"/>
        </w:rPr>
        <w:t xml:space="preserve"> article</w:t>
      </w:r>
      <w:r w:rsidR="0042263A" w:rsidRPr="00FC5A73">
        <w:rPr>
          <w:rFonts w:ascii="Times New Roman" w:hAnsi="Times New Roman" w:cs="Times New Roman"/>
          <w:sz w:val="18"/>
          <w:szCs w:val="18"/>
        </w:rPr>
        <w:t xml:space="preserve"> 19(1) </w:t>
      </w:r>
      <w:r w:rsidR="007E30C9" w:rsidRPr="00FC5A73">
        <w:rPr>
          <w:rFonts w:ascii="Times New Roman" w:hAnsi="Times New Roman" w:cs="Times New Roman"/>
          <w:sz w:val="18"/>
          <w:szCs w:val="18"/>
        </w:rPr>
        <w:t xml:space="preserve">of </w:t>
      </w:r>
      <w:r w:rsidR="002D710A" w:rsidRPr="00FC5A73">
        <w:rPr>
          <w:rFonts w:ascii="Times New Roman" w:hAnsi="Times New Roman" w:cs="Times New Roman"/>
          <w:sz w:val="18"/>
          <w:szCs w:val="18"/>
        </w:rPr>
        <w:t>the UN Convention on the Rights of the Child</w:t>
      </w:r>
      <w:r w:rsidR="002F2F77" w:rsidRPr="00FC5A73">
        <w:rPr>
          <w:rFonts w:ascii="Times New Roman" w:hAnsi="Times New Roman" w:cs="Times New Roman"/>
          <w:sz w:val="18"/>
          <w:szCs w:val="18"/>
        </w:rPr>
        <w:t xml:space="preserve"> </w:t>
      </w:r>
      <w:r w:rsidR="00D5708E" w:rsidRPr="00FC5A73">
        <w:rPr>
          <w:rFonts w:ascii="Times New Roman" w:hAnsi="Times New Roman" w:cs="Times New Roman"/>
          <w:sz w:val="18"/>
          <w:szCs w:val="18"/>
        </w:rPr>
        <w:t>(“CRC”)</w:t>
      </w:r>
      <w:r w:rsidR="007E30C9" w:rsidRPr="00FC5A73">
        <w:rPr>
          <w:rFonts w:ascii="Times New Roman" w:hAnsi="Times New Roman" w:cs="Times New Roman"/>
          <w:sz w:val="18"/>
          <w:szCs w:val="18"/>
        </w:rPr>
        <w:t>. See also: Committee on the Rights of the Child (“CRC Committee</w:t>
      </w:r>
      <w:r w:rsidR="004215C3" w:rsidRPr="00FC5A73">
        <w:rPr>
          <w:rFonts w:ascii="Times New Roman" w:hAnsi="Times New Roman" w:cs="Times New Roman"/>
          <w:sz w:val="18"/>
          <w:szCs w:val="18"/>
        </w:rPr>
        <w:t>”</w:t>
      </w:r>
      <w:r w:rsidR="007E30C9" w:rsidRPr="00FC5A73">
        <w:rPr>
          <w:rFonts w:ascii="Times New Roman" w:hAnsi="Times New Roman" w:cs="Times New Roman"/>
          <w:sz w:val="18"/>
          <w:szCs w:val="18"/>
        </w:rPr>
        <w:t xml:space="preserve">), </w:t>
      </w:r>
      <w:r w:rsidR="00112094" w:rsidRPr="00FC5A73">
        <w:rPr>
          <w:rFonts w:ascii="Times New Roman" w:hAnsi="Times New Roman" w:cs="Times New Roman"/>
          <w:sz w:val="18"/>
          <w:szCs w:val="18"/>
        </w:rPr>
        <w:t>General Comment No. 13 (2011) on the right of the child to freedom from all forms of violence, CRC/C/GC/13, 18 April 2011,</w:t>
      </w:r>
      <w:r w:rsidR="009914C8" w:rsidRPr="00FC5A73">
        <w:rPr>
          <w:rFonts w:ascii="Times New Roman" w:hAnsi="Times New Roman" w:cs="Times New Roman"/>
          <w:sz w:val="18"/>
          <w:szCs w:val="18"/>
        </w:rPr>
        <w:t xml:space="preserve"> in particular paras. 4 (‘</w:t>
      </w:r>
      <w:r w:rsidR="009914C8" w:rsidRPr="00FC5A73">
        <w:rPr>
          <w:rFonts w:ascii="Times New Roman" w:hAnsi="Times New Roman" w:cs="Times New Roman"/>
          <w:i/>
          <w:iCs/>
          <w:sz w:val="18"/>
          <w:szCs w:val="18"/>
        </w:rPr>
        <w:t>Definition of violence</w:t>
      </w:r>
      <w:r w:rsidR="009914C8" w:rsidRPr="00FC5A73">
        <w:rPr>
          <w:rFonts w:ascii="Times New Roman" w:hAnsi="Times New Roman" w:cs="Times New Roman"/>
          <w:sz w:val="18"/>
          <w:szCs w:val="18"/>
        </w:rPr>
        <w:t>’),</w:t>
      </w:r>
      <w:r w:rsidR="00914CFC" w:rsidRPr="00FC5A73">
        <w:rPr>
          <w:rFonts w:ascii="Times New Roman" w:hAnsi="Times New Roman" w:cs="Times New Roman"/>
          <w:sz w:val="18"/>
          <w:szCs w:val="18"/>
        </w:rPr>
        <w:t xml:space="preserve"> 20 (‘</w:t>
      </w:r>
      <w:r w:rsidR="00914CFC" w:rsidRPr="00FC5A73">
        <w:rPr>
          <w:rFonts w:ascii="Times New Roman" w:hAnsi="Times New Roman" w:cs="Times New Roman"/>
          <w:i/>
          <w:iCs/>
          <w:sz w:val="18"/>
          <w:szCs w:val="18"/>
        </w:rPr>
        <w:t>Neglect or negligent treatment</w:t>
      </w:r>
      <w:r w:rsidR="00914CFC" w:rsidRPr="00FC5A73">
        <w:rPr>
          <w:rFonts w:ascii="Times New Roman" w:hAnsi="Times New Roman" w:cs="Times New Roman"/>
          <w:sz w:val="18"/>
          <w:szCs w:val="18"/>
        </w:rPr>
        <w:t xml:space="preserve">’), </w:t>
      </w:r>
      <w:r w:rsidR="006E421D" w:rsidRPr="00FC5A73">
        <w:rPr>
          <w:rFonts w:ascii="Times New Roman" w:hAnsi="Times New Roman" w:cs="Times New Roman"/>
          <w:sz w:val="18"/>
          <w:szCs w:val="18"/>
        </w:rPr>
        <w:t>and 21 (‘</w:t>
      </w:r>
      <w:r w:rsidR="006E421D" w:rsidRPr="00FC5A73">
        <w:rPr>
          <w:rFonts w:ascii="Times New Roman" w:hAnsi="Times New Roman" w:cs="Times New Roman"/>
          <w:i/>
          <w:iCs/>
          <w:sz w:val="18"/>
          <w:szCs w:val="18"/>
        </w:rPr>
        <w:t>Mental violence</w:t>
      </w:r>
      <w:r w:rsidR="006E421D" w:rsidRPr="00FC5A73">
        <w:rPr>
          <w:rFonts w:ascii="Times New Roman" w:hAnsi="Times New Roman" w:cs="Times New Roman"/>
          <w:sz w:val="18"/>
          <w:szCs w:val="18"/>
        </w:rPr>
        <w:t xml:space="preserve">’). </w:t>
      </w:r>
    </w:p>
  </w:footnote>
  <w:footnote w:id="3">
    <w:p w14:paraId="617FEBB4" w14:textId="3B60A693" w:rsidR="00900BBD" w:rsidRPr="00FC5A73" w:rsidRDefault="00900BBD">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See: Committee on the </w:t>
      </w:r>
      <w:r w:rsidR="00F317A6" w:rsidRPr="00FC5A73">
        <w:rPr>
          <w:rFonts w:ascii="Times New Roman" w:hAnsi="Times New Roman" w:cs="Times New Roman"/>
          <w:sz w:val="18"/>
          <w:szCs w:val="18"/>
        </w:rPr>
        <w:t xml:space="preserve">Elimination of Discrimination Against Women (“CEDAW Committee”), </w:t>
      </w:r>
      <w:r w:rsidR="00F51F3D" w:rsidRPr="00FC5A73">
        <w:rPr>
          <w:rFonts w:ascii="Times New Roman" w:hAnsi="Times New Roman" w:cs="Times New Roman"/>
          <w:i/>
          <w:iCs/>
          <w:sz w:val="18"/>
          <w:szCs w:val="18"/>
        </w:rPr>
        <w:t>Harmful Practices as Gender-based Violence against Women and Girls</w:t>
      </w:r>
      <w:r w:rsidR="00F51F3D" w:rsidRPr="00FC5A73">
        <w:rPr>
          <w:rFonts w:ascii="Times New Roman" w:hAnsi="Times New Roman" w:cs="Times New Roman"/>
          <w:sz w:val="18"/>
          <w:szCs w:val="18"/>
        </w:rPr>
        <w:t xml:space="preserve">, </w:t>
      </w:r>
      <w:r w:rsidR="00B166D6" w:rsidRPr="00FC5A73">
        <w:rPr>
          <w:rFonts w:ascii="Times New Roman" w:hAnsi="Times New Roman" w:cs="Times New Roman"/>
          <w:sz w:val="18"/>
          <w:szCs w:val="18"/>
        </w:rPr>
        <w:t>Recommendations and Guidance, September 2022</w:t>
      </w:r>
      <w:r w:rsidR="00445A4C" w:rsidRPr="00FC5A73">
        <w:rPr>
          <w:rFonts w:ascii="Times New Roman" w:hAnsi="Times New Roman" w:cs="Times New Roman"/>
          <w:sz w:val="18"/>
          <w:szCs w:val="18"/>
        </w:rPr>
        <w:t xml:space="preserve">, available at </w:t>
      </w:r>
      <w:hyperlink r:id="rId1" w:history="1">
        <w:r w:rsidR="006C2425" w:rsidRPr="00FC5A73">
          <w:rPr>
            <w:rStyle w:val="Hyperlink"/>
            <w:rFonts w:ascii="Times New Roman" w:hAnsi="Times New Roman" w:cs="Times New Roman"/>
            <w:sz w:val="18"/>
            <w:szCs w:val="18"/>
          </w:rPr>
          <w:t>https://www.ohchr.org/en/documents/tools-and-resources/harmful-practices-gender-based-violence-against-women-and-girls-cedaw</w:t>
        </w:r>
      </w:hyperlink>
      <w:r w:rsidR="006C2425" w:rsidRPr="00FC5A73">
        <w:rPr>
          <w:rFonts w:ascii="Times New Roman" w:hAnsi="Times New Roman" w:cs="Times New Roman"/>
          <w:sz w:val="18"/>
          <w:szCs w:val="18"/>
        </w:rPr>
        <w:t xml:space="preserve"> (accessed 2 August 2026)</w:t>
      </w:r>
      <w:r w:rsidR="007575C8" w:rsidRPr="00FC5A73">
        <w:rPr>
          <w:rFonts w:ascii="Times New Roman" w:hAnsi="Times New Roman" w:cs="Times New Roman"/>
          <w:sz w:val="18"/>
          <w:szCs w:val="18"/>
        </w:rPr>
        <w:t>; and CRPD Committee, General Comment No. 3 (</w:t>
      </w:r>
      <w:r w:rsidR="00082679" w:rsidRPr="00FC5A73">
        <w:rPr>
          <w:rFonts w:ascii="Times New Roman" w:hAnsi="Times New Roman" w:cs="Times New Roman"/>
          <w:sz w:val="18"/>
          <w:szCs w:val="18"/>
        </w:rPr>
        <w:t>2016) on women and girls with disabilities, CRPD/C/GC/3, 25 November 20</w:t>
      </w:r>
      <w:r w:rsidR="00C92B1E" w:rsidRPr="00FC5A73">
        <w:rPr>
          <w:rFonts w:ascii="Times New Roman" w:hAnsi="Times New Roman" w:cs="Times New Roman"/>
          <w:sz w:val="18"/>
          <w:szCs w:val="18"/>
        </w:rPr>
        <w:t>1</w:t>
      </w:r>
      <w:r w:rsidR="00497BC2" w:rsidRPr="00FC5A73">
        <w:rPr>
          <w:rFonts w:ascii="Times New Roman" w:hAnsi="Times New Roman" w:cs="Times New Roman"/>
          <w:sz w:val="18"/>
          <w:szCs w:val="18"/>
        </w:rPr>
        <w:t xml:space="preserve">6, particularly paras. </w:t>
      </w:r>
      <w:r w:rsidR="00C303B1" w:rsidRPr="00FC5A73">
        <w:rPr>
          <w:rFonts w:ascii="Times New Roman" w:hAnsi="Times New Roman" w:cs="Times New Roman"/>
          <w:sz w:val="18"/>
          <w:szCs w:val="18"/>
        </w:rPr>
        <w:t>36</w:t>
      </w:r>
      <w:r w:rsidR="006554CD" w:rsidRPr="00FC5A73">
        <w:rPr>
          <w:rFonts w:ascii="Times New Roman" w:hAnsi="Times New Roman" w:cs="Times New Roman"/>
          <w:sz w:val="18"/>
          <w:szCs w:val="18"/>
        </w:rPr>
        <w:t>—</w:t>
      </w:r>
      <w:r w:rsidR="00C303B1" w:rsidRPr="00FC5A73">
        <w:rPr>
          <w:rFonts w:ascii="Times New Roman" w:hAnsi="Times New Roman" w:cs="Times New Roman"/>
          <w:sz w:val="18"/>
          <w:szCs w:val="18"/>
        </w:rPr>
        <w:t>37</w:t>
      </w:r>
      <w:r w:rsidR="006554CD" w:rsidRPr="00FC5A73">
        <w:rPr>
          <w:rFonts w:ascii="Times New Roman" w:hAnsi="Times New Roman" w:cs="Times New Roman"/>
          <w:sz w:val="18"/>
          <w:szCs w:val="18"/>
        </w:rPr>
        <w:t>.</w:t>
      </w:r>
    </w:p>
  </w:footnote>
  <w:footnote w:id="4">
    <w:p w14:paraId="469ED815" w14:textId="5B7615B2" w:rsidR="00A64ED4" w:rsidRPr="00FC5A73" w:rsidRDefault="00A64ED4">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Based on the four inquiries conducted by the Committee so far, and without wishing to advance a comprehensive analysis of the Committee’s jurisprudence under article </w:t>
      </w:r>
      <w:r w:rsidR="00A17266" w:rsidRPr="00FC5A73">
        <w:rPr>
          <w:rFonts w:ascii="Times New Roman" w:hAnsi="Times New Roman" w:cs="Times New Roman"/>
          <w:sz w:val="18"/>
          <w:szCs w:val="18"/>
        </w:rPr>
        <w:t>6</w:t>
      </w:r>
      <w:r w:rsidRPr="00FC5A73">
        <w:rPr>
          <w:rFonts w:ascii="Times New Roman" w:hAnsi="Times New Roman" w:cs="Times New Roman"/>
          <w:sz w:val="18"/>
          <w:szCs w:val="18"/>
        </w:rPr>
        <w:t xml:space="preserve"> OP-CRPD, it can be observed that: “grave” violations of the Convention are those violations likely to cause substantial harm, including further segregation, isolation or impoverishment, assessed by reference to scale, prevalence, nature and impact, including any permanent or irreparable consequences for the enjoyment of Convention rights; “systematic” violations are organised and unlikely to have occurred randomly, including violations that are widespread, habitual, continuing or interlinked and that arise, by intent or effect, from discriminatory or structural patterns entrenched in legislation, policies, plans, practices, resource allocation or failures to provide effective support; and “grave or systematic violations” means those violations that satisfy either or both of the criteria of gravity and systematicity, assessed in light of their scale, prevalence, nature, impact, continuing or cumulative nature, and their connection to discriminatory laws, policies, practices or structural patterns (</w:t>
      </w:r>
      <w:r w:rsidRPr="00FC5A73">
        <w:rPr>
          <w:rFonts w:ascii="Times New Roman" w:hAnsi="Times New Roman" w:cs="Times New Roman"/>
          <w:i/>
          <w:iCs/>
          <w:sz w:val="18"/>
          <w:szCs w:val="18"/>
        </w:rPr>
        <w:t>United Kingdom</w:t>
      </w:r>
      <w:r w:rsidRPr="00FC5A73">
        <w:rPr>
          <w:rFonts w:ascii="Times New Roman" w:hAnsi="Times New Roman" w:cs="Times New Roman"/>
          <w:sz w:val="18"/>
          <w:szCs w:val="18"/>
        </w:rPr>
        <w:t>, CRPD/C/15/4</w:t>
      </w:r>
      <w:r w:rsidR="00D83345" w:rsidRPr="00FC5A73">
        <w:rPr>
          <w:rFonts w:ascii="Times New Roman" w:hAnsi="Times New Roman" w:cs="Times New Roman"/>
          <w:sz w:val="18"/>
          <w:szCs w:val="18"/>
        </w:rPr>
        <w:t>, 24 October 2017</w:t>
      </w:r>
      <w:r w:rsidRPr="00FC5A73">
        <w:rPr>
          <w:rFonts w:ascii="Times New Roman" w:hAnsi="Times New Roman" w:cs="Times New Roman"/>
          <w:sz w:val="18"/>
          <w:szCs w:val="18"/>
        </w:rPr>
        <w:t xml:space="preserve">; </w:t>
      </w:r>
      <w:r w:rsidRPr="00FC5A73">
        <w:rPr>
          <w:rFonts w:ascii="Times New Roman" w:hAnsi="Times New Roman" w:cs="Times New Roman"/>
          <w:i/>
          <w:iCs/>
          <w:sz w:val="18"/>
          <w:szCs w:val="18"/>
        </w:rPr>
        <w:t>Spain</w:t>
      </w:r>
      <w:r w:rsidRPr="00FC5A73">
        <w:rPr>
          <w:rFonts w:ascii="Times New Roman" w:hAnsi="Times New Roman" w:cs="Times New Roman"/>
          <w:sz w:val="18"/>
          <w:szCs w:val="18"/>
        </w:rPr>
        <w:t>, CRPD/C/20/3</w:t>
      </w:r>
      <w:r w:rsidR="005D075B" w:rsidRPr="00FC5A73">
        <w:rPr>
          <w:rFonts w:ascii="Times New Roman" w:hAnsi="Times New Roman" w:cs="Times New Roman"/>
          <w:sz w:val="18"/>
          <w:szCs w:val="18"/>
        </w:rPr>
        <w:t>, 4 June 2018</w:t>
      </w:r>
      <w:r w:rsidRPr="00FC5A73">
        <w:rPr>
          <w:rFonts w:ascii="Times New Roman" w:hAnsi="Times New Roman" w:cs="Times New Roman"/>
          <w:sz w:val="18"/>
          <w:szCs w:val="18"/>
        </w:rPr>
        <w:t xml:space="preserve">; </w:t>
      </w:r>
      <w:r w:rsidRPr="00FC5A73">
        <w:rPr>
          <w:rFonts w:ascii="Times New Roman" w:hAnsi="Times New Roman" w:cs="Times New Roman"/>
          <w:i/>
          <w:iCs/>
          <w:sz w:val="18"/>
          <w:szCs w:val="18"/>
        </w:rPr>
        <w:t>Hungary</w:t>
      </w:r>
      <w:r w:rsidRPr="00FC5A73">
        <w:rPr>
          <w:rFonts w:ascii="Times New Roman" w:hAnsi="Times New Roman" w:cs="Times New Roman"/>
          <w:sz w:val="18"/>
          <w:szCs w:val="18"/>
        </w:rPr>
        <w:t>, CRPD/C/HUN/IR/1</w:t>
      </w:r>
      <w:r w:rsidR="00885BB5" w:rsidRPr="00FC5A73">
        <w:rPr>
          <w:rFonts w:ascii="Times New Roman" w:hAnsi="Times New Roman" w:cs="Times New Roman"/>
          <w:sz w:val="18"/>
          <w:szCs w:val="18"/>
        </w:rPr>
        <w:t>, 17 September 2020</w:t>
      </w:r>
      <w:r w:rsidRPr="00FC5A73">
        <w:rPr>
          <w:rFonts w:ascii="Times New Roman" w:hAnsi="Times New Roman" w:cs="Times New Roman"/>
          <w:sz w:val="18"/>
          <w:szCs w:val="18"/>
        </w:rPr>
        <w:t xml:space="preserve">; </w:t>
      </w:r>
      <w:r w:rsidRPr="00FC5A73">
        <w:rPr>
          <w:rFonts w:ascii="Times New Roman" w:hAnsi="Times New Roman" w:cs="Times New Roman"/>
          <w:i/>
          <w:iCs/>
          <w:sz w:val="18"/>
          <w:szCs w:val="18"/>
        </w:rPr>
        <w:t>Mexico</w:t>
      </w:r>
      <w:r w:rsidRPr="00FC5A73">
        <w:rPr>
          <w:rFonts w:ascii="Times New Roman" w:hAnsi="Times New Roman" w:cs="Times New Roman"/>
          <w:sz w:val="18"/>
          <w:szCs w:val="18"/>
        </w:rPr>
        <w:t>, CRPD/C/MEX/IR/1</w:t>
      </w:r>
      <w:r w:rsidR="00885BB5" w:rsidRPr="00FC5A73">
        <w:rPr>
          <w:rFonts w:ascii="Times New Roman" w:hAnsi="Times New Roman" w:cs="Times New Roman"/>
          <w:sz w:val="18"/>
          <w:szCs w:val="18"/>
        </w:rPr>
        <w:t xml:space="preserve">, </w:t>
      </w:r>
      <w:r w:rsidR="00D6291D" w:rsidRPr="00FC5A73">
        <w:rPr>
          <w:rFonts w:ascii="Times New Roman" w:hAnsi="Times New Roman" w:cs="Times New Roman"/>
          <w:sz w:val="18"/>
          <w:szCs w:val="18"/>
        </w:rPr>
        <w:t>31 March 2026</w:t>
      </w:r>
      <w:r w:rsidRPr="00FC5A73">
        <w:rPr>
          <w:rFonts w:ascii="Times New Roman" w:hAnsi="Times New Roman" w:cs="Times New Roman"/>
          <w:sz w:val="18"/>
          <w:szCs w:val="18"/>
        </w:rPr>
        <w:t xml:space="preserve">). </w:t>
      </w:r>
    </w:p>
  </w:footnote>
  <w:footnote w:id="5">
    <w:p w14:paraId="27888AE8" w14:textId="18CDAB1C" w:rsidR="008F5A46" w:rsidRPr="00FC5A73" w:rsidRDefault="008F5A46" w:rsidP="00167DAF">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w:t>
      </w:r>
      <w:r w:rsidR="00167DAF" w:rsidRPr="00FC5A73">
        <w:rPr>
          <w:rFonts w:ascii="Times New Roman" w:hAnsi="Times New Roman" w:cs="Times New Roman"/>
          <w:sz w:val="18"/>
          <w:szCs w:val="18"/>
        </w:rPr>
        <w:t>We note, however, that the term “systemic violence” is not specifically defined and appears to be used here descriptively. While Validity agrees with the Committee’s intention to recognise institutionalisation as a specific form of disability-based violence, we recommend that it be identified consistently as structural disability-based violence, in accordance with the definition proposed in paragraph 6 above.</w:t>
      </w:r>
    </w:p>
  </w:footnote>
  <w:footnote w:id="6">
    <w:p w14:paraId="055FC52C" w14:textId="30001A79" w:rsidR="001D143C" w:rsidRPr="00FC5A73" w:rsidRDefault="001D143C">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CRPD Committee, Guidelines on deinstitutionalization, including in emergencies, CRPD/C/5, 10 October 2022, para. 6.</w:t>
      </w:r>
    </w:p>
  </w:footnote>
  <w:footnote w:id="7">
    <w:p w14:paraId="36021813" w14:textId="6DFEEAD7" w:rsidR="00836EFC" w:rsidRPr="00FC5A73" w:rsidRDefault="00836EFC">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Validity conducts strategic litigation with the specific goal of highlighting systematic and/or structural weaknesses of States parties in</w:t>
      </w:r>
      <w:r w:rsidR="00A17266" w:rsidRPr="00FC5A73">
        <w:rPr>
          <w:rFonts w:ascii="Times New Roman" w:hAnsi="Times New Roman" w:cs="Times New Roman"/>
          <w:sz w:val="18"/>
          <w:szCs w:val="18"/>
        </w:rPr>
        <w:t xml:space="preserve"> fulfilling</w:t>
      </w:r>
      <w:r w:rsidRPr="00FC5A73">
        <w:rPr>
          <w:rFonts w:ascii="Times New Roman" w:hAnsi="Times New Roman" w:cs="Times New Roman"/>
          <w:sz w:val="18"/>
          <w:szCs w:val="18"/>
        </w:rPr>
        <w:t xml:space="preserve"> their obligations under the CRPD</w:t>
      </w:r>
      <w:r w:rsidR="00A17266" w:rsidRPr="00FC5A73">
        <w:rPr>
          <w:rFonts w:ascii="Times New Roman" w:hAnsi="Times New Roman" w:cs="Times New Roman"/>
          <w:sz w:val="18"/>
          <w:szCs w:val="18"/>
        </w:rPr>
        <w:t>, particularly in respect of the rights of persons with intellectual disabilities and persons with psychosocial disabilities</w:t>
      </w:r>
      <w:r w:rsidR="005D2971" w:rsidRPr="00FC5A73">
        <w:rPr>
          <w:rFonts w:ascii="Times New Roman" w:hAnsi="Times New Roman" w:cs="Times New Roman"/>
          <w:sz w:val="18"/>
          <w:szCs w:val="18"/>
        </w:rPr>
        <w:t>. Examples where Validity (or the Mental Disability Advocacy Centre</w:t>
      </w:r>
      <w:r w:rsidR="00BA6CC7">
        <w:rPr>
          <w:rFonts w:ascii="Times New Roman" w:hAnsi="Times New Roman" w:cs="Times New Roman"/>
          <w:sz w:val="18"/>
          <w:szCs w:val="18"/>
        </w:rPr>
        <w:t>,</w:t>
      </w:r>
      <w:r w:rsidR="005D2971" w:rsidRPr="00FC5A73">
        <w:rPr>
          <w:rFonts w:ascii="Times New Roman" w:hAnsi="Times New Roman" w:cs="Times New Roman"/>
          <w:sz w:val="18"/>
          <w:szCs w:val="18"/>
        </w:rPr>
        <w:t xml:space="preserve"> “MDAC”) acted as representative, complainant, third-party intervener or contributing civil</w:t>
      </w:r>
      <w:r w:rsidR="0038026B" w:rsidRPr="00FC5A73">
        <w:rPr>
          <w:rFonts w:ascii="Times New Roman" w:hAnsi="Times New Roman" w:cs="Times New Roman"/>
          <w:sz w:val="18"/>
          <w:szCs w:val="18"/>
        </w:rPr>
        <w:t xml:space="preserve"> </w:t>
      </w:r>
      <w:r w:rsidR="005D2971" w:rsidRPr="00FC5A73">
        <w:rPr>
          <w:rFonts w:ascii="Times New Roman" w:hAnsi="Times New Roman" w:cs="Times New Roman"/>
          <w:sz w:val="18"/>
          <w:szCs w:val="18"/>
        </w:rPr>
        <w:t>society organisation</w:t>
      </w:r>
      <w:r w:rsidR="00A17266" w:rsidRPr="00FC5A73">
        <w:rPr>
          <w:rFonts w:ascii="Times New Roman" w:hAnsi="Times New Roman" w:cs="Times New Roman"/>
          <w:sz w:val="18"/>
          <w:szCs w:val="18"/>
        </w:rPr>
        <w:t xml:space="preserve"> include</w:t>
      </w:r>
      <w:r w:rsidR="005D2971" w:rsidRPr="00FC5A73">
        <w:rPr>
          <w:rFonts w:ascii="Times New Roman" w:hAnsi="Times New Roman" w:cs="Times New Roman"/>
          <w:sz w:val="18"/>
          <w:szCs w:val="18"/>
        </w:rPr>
        <w:t xml:space="preserve">: </w:t>
      </w:r>
      <w:r w:rsidR="00C006DF">
        <w:rPr>
          <w:rFonts w:ascii="Times New Roman" w:hAnsi="Times New Roman" w:cs="Times New Roman"/>
          <w:sz w:val="18"/>
          <w:szCs w:val="18"/>
        </w:rPr>
        <w:t xml:space="preserve">European Court of Human Rights (“ECtHR”), </w:t>
      </w:r>
      <w:r w:rsidR="005D2971" w:rsidRPr="00FC5A73">
        <w:rPr>
          <w:rFonts w:ascii="Times New Roman" w:hAnsi="Times New Roman" w:cs="Times New Roman"/>
          <w:i/>
          <w:iCs/>
          <w:sz w:val="18"/>
          <w:szCs w:val="18"/>
        </w:rPr>
        <w:t>Stanev v Bulgaria</w:t>
      </w:r>
      <w:r w:rsidR="005D2971" w:rsidRPr="00FC5A73">
        <w:rPr>
          <w:rFonts w:ascii="Times New Roman" w:hAnsi="Times New Roman" w:cs="Times New Roman"/>
          <w:sz w:val="18"/>
          <w:szCs w:val="18"/>
        </w:rPr>
        <w:t xml:space="preserve"> [GC], </w:t>
      </w:r>
      <w:r w:rsidR="00C006DF">
        <w:rPr>
          <w:rFonts w:ascii="Times New Roman" w:hAnsi="Times New Roman" w:cs="Times New Roman"/>
          <w:sz w:val="18"/>
          <w:szCs w:val="18"/>
        </w:rPr>
        <w:t>App. N</w:t>
      </w:r>
      <w:r w:rsidR="005D2971" w:rsidRPr="00FC5A73">
        <w:rPr>
          <w:rFonts w:ascii="Times New Roman" w:hAnsi="Times New Roman" w:cs="Times New Roman"/>
          <w:sz w:val="18"/>
          <w:szCs w:val="18"/>
        </w:rPr>
        <w:t xml:space="preserve">o. 36760/06, </w:t>
      </w:r>
      <w:r w:rsidR="00C006DF">
        <w:rPr>
          <w:rFonts w:ascii="Times New Roman" w:hAnsi="Times New Roman" w:cs="Times New Roman"/>
          <w:sz w:val="18"/>
          <w:szCs w:val="18"/>
        </w:rPr>
        <w:t xml:space="preserve">judgment of </w:t>
      </w:r>
      <w:r w:rsidR="005D2971" w:rsidRPr="00FC5A73">
        <w:rPr>
          <w:rFonts w:ascii="Times New Roman" w:hAnsi="Times New Roman" w:cs="Times New Roman"/>
          <w:sz w:val="18"/>
          <w:szCs w:val="18"/>
        </w:rPr>
        <w:t xml:space="preserve">17 January 2012 [ill-treatment, access to justice, institutionalisation]; </w:t>
      </w:r>
      <w:r w:rsidR="005D2971" w:rsidRPr="00FC5A73">
        <w:rPr>
          <w:rFonts w:ascii="Times New Roman" w:hAnsi="Times New Roman" w:cs="Times New Roman"/>
          <w:i/>
          <w:iCs/>
          <w:sz w:val="18"/>
          <w:szCs w:val="18"/>
        </w:rPr>
        <w:t>Centre for Health, Human Rights and Development and Others v Buyende District Local Government and Attorney General</w:t>
      </w:r>
      <w:r w:rsidR="005D2971" w:rsidRPr="00FC5A73">
        <w:rPr>
          <w:rFonts w:ascii="Times New Roman" w:hAnsi="Times New Roman" w:cs="Times New Roman"/>
          <w:sz w:val="18"/>
          <w:szCs w:val="18"/>
        </w:rPr>
        <w:t xml:space="preserve"> (the </w:t>
      </w:r>
      <w:r w:rsidR="00A17266" w:rsidRPr="00FC5A73">
        <w:rPr>
          <w:rFonts w:ascii="Times New Roman" w:hAnsi="Times New Roman" w:cs="Times New Roman"/>
          <w:sz w:val="18"/>
          <w:szCs w:val="18"/>
        </w:rPr>
        <w:t>‘</w:t>
      </w:r>
      <w:r w:rsidR="005D2971" w:rsidRPr="00FC5A73">
        <w:rPr>
          <w:rFonts w:ascii="Times New Roman" w:hAnsi="Times New Roman" w:cs="Times New Roman"/>
          <w:i/>
          <w:iCs/>
          <w:sz w:val="18"/>
          <w:szCs w:val="18"/>
        </w:rPr>
        <w:t>Perez Mwase</w:t>
      </w:r>
      <w:r w:rsidR="00A17266" w:rsidRPr="00FC5A73">
        <w:rPr>
          <w:rFonts w:ascii="Times New Roman" w:hAnsi="Times New Roman" w:cs="Times New Roman"/>
          <w:sz w:val="18"/>
          <w:szCs w:val="18"/>
        </w:rPr>
        <w:t>’</w:t>
      </w:r>
      <w:r w:rsidR="005D2971" w:rsidRPr="00FC5A73">
        <w:rPr>
          <w:rFonts w:ascii="Times New Roman" w:hAnsi="Times New Roman" w:cs="Times New Roman"/>
          <w:sz w:val="18"/>
          <w:szCs w:val="18"/>
        </w:rPr>
        <w:t xml:space="preserve"> case), HCT-03-CV-CS-135-2017, High Court of Uganda at Jinja, judgment received 15 March 2022 [abuse of autistic child, lack of a framework of services]; </w:t>
      </w:r>
      <w:r w:rsidR="00C006DF">
        <w:rPr>
          <w:rFonts w:ascii="Times New Roman" w:hAnsi="Times New Roman" w:cs="Times New Roman"/>
          <w:sz w:val="18"/>
          <w:szCs w:val="18"/>
        </w:rPr>
        <w:t xml:space="preserve">ECtHR, </w:t>
      </w:r>
      <w:r w:rsidR="005D2971" w:rsidRPr="00FC5A73">
        <w:rPr>
          <w:rFonts w:ascii="Times New Roman" w:hAnsi="Times New Roman" w:cs="Times New Roman"/>
          <w:i/>
          <w:iCs/>
          <w:sz w:val="18"/>
          <w:szCs w:val="18"/>
        </w:rPr>
        <w:t>I.C. v the Republic of Moldova</w:t>
      </w:r>
      <w:r w:rsidR="005D2971" w:rsidRPr="00FC5A73">
        <w:rPr>
          <w:rFonts w:ascii="Times New Roman" w:hAnsi="Times New Roman" w:cs="Times New Roman"/>
          <w:sz w:val="18"/>
          <w:szCs w:val="18"/>
        </w:rPr>
        <w:t xml:space="preserve">, </w:t>
      </w:r>
      <w:r w:rsidR="00C006DF">
        <w:rPr>
          <w:rFonts w:ascii="Times New Roman" w:hAnsi="Times New Roman" w:cs="Times New Roman"/>
          <w:sz w:val="18"/>
          <w:szCs w:val="18"/>
        </w:rPr>
        <w:t>App. No.</w:t>
      </w:r>
      <w:r w:rsidR="005D2971" w:rsidRPr="00FC5A73">
        <w:rPr>
          <w:rFonts w:ascii="Times New Roman" w:hAnsi="Times New Roman" w:cs="Times New Roman"/>
          <w:sz w:val="18"/>
          <w:szCs w:val="18"/>
        </w:rPr>
        <w:t xml:space="preserve"> 36436/22, </w:t>
      </w:r>
      <w:r w:rsidR="00C006DF">
        <w:rPr>
          <w:rFonts w:ascii="Times New Roman" w:hAnsi="Times New Roman" w:cs="Times New Roman"/>
          <w:sz w:val="18"/>
          <w:szCs w:val="18"/>
        </w:rPr>
        <w:t xml:space="preserve">judgment of </w:t>
      </w:r>
      <w:r w:rsidR="005D2971" w:rsidRPr="00FC5A73">
        <w:rPr>
          <w:rFonts w:ascii="Times New Roman" w:hAnsi="Times New Roman" w:cs="Times New Roman"/>
          <w:sz w:val="18"/>
          <w:szCs w:val="18"/>
        </w:rPr>
        <w:t xml:space="preserve">27 February 2025 [servitude]; </w:t>
      </w:r>
      <w:r w:rsidR="00C006DF">
        <w:rPr>
          <w:rFonts w:ascii="Times New Roman" w:hAnsi="Times New Roman" w:cs="Times New Roman"/>
          <w:sz w:val="18"/>
          <w:szCs w:val="18"/>
        </w:rPr>
        <w:t xml:space="preserve">ECtHR, </w:t>
      </w:r>
      <w:r w:rsidR="005D2971" w:rsidRPr="00FC5A73">
        <w:rPr>
          <w:rFonts w:ascii="Times New Roman" w:hAnsi="Times New Roman" w:cs="Times New Roman"/>
          <w:i/>
          <w:iCs/>
          <w:sz w:val="18"/>
          <w:szCs w:val="18"/>
        </w:rPr>
        <w:t>Validity Foundation on behalf of T.J. v Hungary</w:t>
      </w:r>
      <w:r w:rsidR="005D2971" w:rsidRPr="00FC5A73">
        <w:rPr>
          <w:rFonts w:ascii="Times New Roman" w:hAnsi="Times New Roman" w:cs="Times New Roman"/>
          <w:sz w:val="18"/>
          <w:szCs w:val="18"/>
        </w:rPr>
        <w:t xml:space="preserve">, </w:t>
      </w:r>
      <w:r w:rsidR="00C006DF">
        <w:rPr>
          <w:rFonts w:ascii="Times New Roman" w:hAnsi="Times New Roman" w:cs="Times New Roman"/>
          <w:sz w:val="18"/>
          <w:szCs w:val="18"/>
        </w:rPr>
        <w:t>App. No.</w:t>
      </w:r>
      <w:r w:rsidR="005D2971" w:rsidRPr="00FC5A73">
        <w:rPr>
          <w:rFonts w:ascii="Times New Roman" w:hAnsi="Times New Roman" w:cs="Times New Roman"/>
          <w:sz w:val="18"/>
          <w:szCs w:val="18"/>
        </w:rPr>
        <w:t xml:space="preserve"> 31970/20, </w:t>
      </w:r>
      <w:r w:rsidR="00C006DF">
        <w:rPr>
          <w:rFonts w:ascii="Times New Roman" w:hAnsi="Times New Roman" w:cs="Times New Roman"/>
          <w:sz w:val="18"/>
          <w:szCs w:val="18"/>
        </w:rPr>
        <w:t xml:space="preserve">judgment of </w:t>
      </w:r>
      <w:r w:rsidR="005D2971" w:rsidRPr="00FC5A73">
        <w:rPr>
          <w:rFonts w:ascii="Times New Roman" w:hAnsi="Times New Roman" w:cs="Times New Roman"/>
          <w:sz w:val="18"/>
          <w:szCs w:val="18"/>
        </w:rPr>
        <w:t xml:space="preserve">10 October 2024 [death in institutions, guardianship, effective investigations]; CRPD Committee, </w:t>
      </w:r>
      <w:r w:rsidR="005D2971" w:rsidRPr="00FC5A73">
        <w:rPr>
          <w:rFonts w:ascii="Times New Roman" w:hAnsi="Times New Roman" w:cs="Times New Roman"/>
          <w:i/>
          <w:iCs/>
          <w:sz w:val="18"/>
          <w:szCs w:val="18"/>
        </w:rPr>
        <w:t>Inquiry concerning Hungary under article 6 of the Optional Protocol</w:t>
      </w:r>
      <w:r w:rsidR="005D2971" w:rsidRPr="00FC5A73">
        <w:rPr>
          <w:rFonts w:ascii="Times New Roman" w:hAnsi="Times New Roman" w:cs="Times New Roman"/>
          <w:sz w:val="18"/>
          <w:szCs w:val="18"/>
        </w:rPr>
        <w:t>, CRPD/C/HUN/IR/1, 17 September 2020 [guardianship, institutionalisation, grave and systematic violations];</w:t>
      </w:r>
      <w:r w:rsidR="00C006DF">
        <w:rPr>
          <w:rFonts w:ascii="Times New Roman" w:hAnsi="Times New Roman" w:cs="Times New Roman"/>
          <w:sz w:val="18"/>
          <w:szCs w:val="18"/>
        </w:rPr>
        <w:t xml:space="preserve"> ECtHR,</w:t>
      </w:r>
      <w:r w:rsidR="005D2971" w:rsidRPr="00FC5A73">
        <w:rPr>
          <w:rFonts w:ascii="Times New Roman" w:hAnsi="Times New Roman" w:cs="Times New Roman"/>
          <w:sz w:val="18"/>
          <w:szCs w:val="18"/>
        </w:rPr>
        <w:t xml:space="preserve"> </w:t>
      </w:r>
      <w:r w:rsidR="005D2971" w:rsidRPr="00FC5A73">
        <w:rPr>
          <w:rFonts w:ascii="Times New Roman" w:hAnsi="Times New Roman" w:cs="Times New Roman"/>
          <w:i/>
          <w:iCs/>
          <w:sz w:val="18"/>
          <w:szCs w:val="18"/>
        </w:rPr>
        <w:t>V.I. v the Republic of Moldova</w:t>
      </w:r>
      <w:r w:rsidR="005D2971" w:rsidRPr="00FC5A73">
        <w:rPr>
          <w:rFonts w:ascii="Times New Roman" w:hAnsi="Times New Roman" w:cs="Times New Roman"/>
          <w:sz w:val="18"/>
          <w:szCs w:val="18"/>
        </w:rPr>
        <w:t xml:space="preserve">, </w:t>
      </w:r>
      <w:r w:rsidR="00C006DF">
        <w:rPr>
          <w:rFonts w:ascii="Times New Roman" w:hAnsi="Times New Roman" w:cs="Times New Roman"/>
          <w:sz w:val="18"/>
          <w:szCs w:val="18"/>
        </w:rPr>
        <w:t>App No.</w:t>
      </w:r>
      <w:r w:rsidR="005D2971" w:rsidRPr="00FC5A73">
        <w:rPr>
          <w:rFonts w:ascii="Times New Roman" w:hAnsi="Times New Roman" w:cs="Times New Roman"/>
          <w:sz w:val="18"/>
          <w:szCs w:val="18"/>
        </w:rPr>
        <w:t xml:space="preserve"> 38963/18, </w:t>
      </w:r>
      <w:r w:rsidR="00C006DF">
        <w:rPr>
          <w:rFonts w:ascii="Times New Roman" w:hAnsi="Times New Roman" w:cs="Times New Roman"/>
          <w:sz w:val="18"/>
          <w:szCs w:val="18"/>
        </w:rPr>
        <w:t xml:space="preserve">judgment of </w:t>
      </w:r>
      <w:r w:rsidR="005D2971" w:rsidRPr="00FC5A73">
        <w:rPr>
          <w:rFonts w:ascii="Times New Roman" w:hAnsi="Times New Roman" w:cs="Times New Roman"/>
          <w:sz w:val="18"/>
          <w:szCs w:val="18"/>
        </w:rPr>
        <w:t xml:space="preserve">26 March 2024 [forced psychiatry, intersectional discrimination]; </w:t>
      </w:r>
      <w:r w:rsidR="00C006DF">
        <w:rPr>
          <w:rFonts w:ascii="Times New Roman" w:hAnsi="Times New Roman" w:cs="Times New Roman"/>
          <w:sz w:val="18"/>
          <w:szCs w:val="18"/>
        </w:rPr>
        <w:t xml:space="preserve">ECtHR, </w:t>
      </w:r>
      <w:r w:rsidR="005D2971" w:rsidRPr="00FC5A73">
        <w:rPr>
          <w:rFonts w:ascii="Times New Roman" w:hAnsi="Times New Roman" w:cs="Times New Roman"/>
          <w:i/>
          <w:iCs/>
          <w:sz w:val="18"/>
          <w:szCs w:val="18"/>
        </w:rPr>
        <w:t>Bureš v the Czech Republic</w:t>
      </w:r>
      <w:r w:rsidR="005D2971" w:rsidRPr="00FC5A73">
        <w:rPr>
          <w:rFonts w:ascii="Times New Roman" w:hAnsi="Times New Roman" w:cs="Times New Roman"/>
          <w:sz w:val="18"/>
          <w:szCs w:val="18"/>
        </w:rPr>
        <w:t xml:space="preserve">, </w:t>
      </w:r>
      <w:r w:rsidR="00C006DF">
        <w:rPr>
          <w:rFonts w:ascii="Times New Roman" w:hAnsi="Times New Roman" w:cs="Times New Roman"/>
          <w:sz w:val="18"/>
          <w:szCs w:val="18"/>
        </w:rPr>
        <w:t>App. N</w:t>
      </w:r>
      <w:r w:rsidR="005D2971" w:rsidRPr="00FC5A73">
        <w:rPr>
          <w:rFonts w:ascii="Times New Roman" w:hAnsi="Times New Roman" w:cs="Times New Roman"/>
          <w:sz w:val="18"/>
          <w:szCs w:val="18"/>
        </w:rPr>
        <w:t>o. 37679/08,</w:t>
      </w:r>
      <w:r w:rsidR="00C006DF">
        <w:rPr>
          <w:rFonts w:ascii="Times New Roman" w:hAnsi="Times New Roman" w:cs="Times New Roman"/>
          <w:sz w:val="18"/>
          <w:szCs w:val="18"/>
        </w:rPr>
        <w:t xml:space="preserve"> judgment of</w:t>
      </w:r>
      <w:r w:rsidR="005D2971" w:rsidRPr="00FC5A73">
        <w:rPr>
          <w:rFonts w:ascii="Times New Roman" w:hAnsi="Times New Roman" w:cs="Times New Roman"/>
          <w:sz w:val="18"/>
          <w:szCs w:val="18"/>
        </w:rPr>
        <w:t xml:space="preserve"> 18 October 2012 [restraint]; </w:t>
      </w:r>
      <w:r w:rsidR="00C006DF">
        <w:rPr>
          <w:rFonts w:ascii="Times New Roman" w:hAnsi="Times New Roman" w:cs="Times New Roman"/>
          <w:sz w:val="18"/>
          <w:szCs w:val="18"/>
        </w:rPr>
        <w:t xml:space="preserve">ECtHR, </w:t>
      </w:r>
      <w:r w:rsidR="005D2971" w:rsidRPr="00FC5A73">
        <w:rPr>
          <w:rFonts w:ascii="Times New Roman" w:hAnsi="Times New Roman" w:cs="Times New Roman"/>
          <w:i/>
          <w:iCs/>
          <w:sz w:val="18"/>
          <w:szCs w:val="18"/>
        </w:rPr>
        <w:t>Shtukaturov v Russia</w:t>
      </w:r>
      <w:r w:rsidR="005D2971" w:rsidRPr="00FC5A73">
        <w:rPr>
          <w:rFonts w:ascii="Times New Roman" w:hAnsi="Times New Roman" w:cs="Times New Roman"/>
          <w:sz w:val="18"/>
          <w:szCs w:val="18"/>
        </w:rPr>
        <w:t xml:space="preserve">, </w:t>
      </w:r>
      <w:r w:rsidR="00C006DF">
        <w:rPr>
          <w:rFonts w:ascii="Times New Roman" w:hAnsi="Times New Roman" w:cs="Times New Roman"/>
          <w:sz w:val="18"/>
          <w:szCs w:val="18"/>
        </w:rPr>
        <w:t>App. N</w:t>
      </w:r>
      <w:r w:rsidR="005D2971" w:rsidRPr="00FC5A73">
        <w:rPr>
          <w:rFonts w:ascii="Times New Roman" w:hAnsi="Times New Roman" w:cs="Times New Roman"/>
          <w:sz w:val="18"/>
          <w:szCs w:val="18"/>
        </w:rPr>
        <w:t xml:space="preserve">o. 44009/05, </w:t>
      </w:r>
      <w:r w:rsidR="00C006DF">
        <w:rPr>
          <w:rFonts w:ascii="Times New Roman" w:hAnsi="Times New Roman" w:cs="Times New Roman"/>
          <w:sz w:val="18"/>
          <w:szCs w:val="18"/>
        </w:rPr>
        <w:t xml:space="preserve">judgment of </w:t>
      </w:r>
      <w:r w:rsidR="005D2971" w:rsidRPr="00FC5A73">
        <w:rPr>
          <w:rFonts w:ascii="Times New Roman" w:hAnsi="Times New Roman" w:cs="Times New Roman"/>
          <w:sz w:val="18"/>
          <w:szCs w:val="18"/>
        </w:rPr>
        <w:t xml:space="preserve">27 March 2008 [forensic detention, legal capacity]; </w:t>
      </w:r>
      <w:r w:rsidR="00C006DF">
        <w:rPr>
          <w:rFonts w:ascii="Times New Roman" w:hAnsi="Times New Roman" w:cs="Times New Roman"/>
          <w:sz w:val="18"/>
          <w:szCs w:val="18"/>
        </w:rPr>
        <w:t xml:space="preserve">ECtHR, </w:t>
      </w:r>
      <w:r w:rsidR="005D2971" w:rsidRPr="00FC5A73">
        <w:rPr>
          <w:rFonts w:ascii="Times New Roman" w:hAnsi="Times New Roman" w:cs="Times New Roman"/>
          <w:i/>
          <w:iCs/>
          <w:sz w:val="18"/>
          <w:szCs w:val="18"/>
        </w:rPr>
        <w:t>Centre for Legal Resources on behalf of Valentin Câmpeanu v Romania</w:t>
      </w:r>
      <w:r w:rsidR="005D2971" w:rsidRPr="00FC5A73">
        <w:rPr>
          <w:rFonts w:ascii="Times New Roman" w:hAnsi="Times New Roman" w:cs="Times New Roman"/>
          <w:sz w:val="18"/>
          <w:szCs w:val="18"/>
        </w:rPr>
        <w:t xml:space="preserve"> [GC], </w:t>
      </w:r>
      <w:r w:rsidR="00C006DF">
        <w:rPr>
          <w:rFonts w:ascii="Times New Roman" w:hAnsi="Times New Roman" w:cs="Times New Roman"/>
          <w:sz w:val="18"/>
          <w:szCs w:val="18"/>
        </w:rPr>
        <w:t>App. No</w:t>
      </w:r>
      <w:r w:rsidR="005D2971" w:rsidRPr="00FC5A73">
        <w:rPr>
          <w:rFonts w:ascii="Times New Roman" w:hAnsi="Times New Roman" w:cs="Times New Roman"/>
          <w:sz w:val="18"/>
          <w:szCs w:val="18"/>
        </w:rPr>
        <w:t xml:space="preserve">. 47848/08, </w:t>
      </w:r>
      <w:r w:rsidR="00C006DF">
        <w:rPr>
          <w:rFonts w:ascii="Times New Roman" w:hAnsi="Times New Roman" w:cs="Times New Roman"/>
          <w:sz w:val="18"/>
          <w:szCs w:val="18"/>
        </w:rPr>
        <w:t xml:space="preserve">judgment of </w:t>
      </w:r>
      <w:r w:rsidR="005D2971" w:rsidRPr="00FC5A73">
        <w:rPr>
          <w:rFonts w:ascii="Times New Roman" w:hAnsi="Times New Roman" w:cs="Times New Roman"/>
          <w:sz w:val="18"/>
          <w:szCs w:val="18"/>
        </w:rPr>
        <w:t>17 July 2014 [third-party</w:t>
      </w:r>
      <w:r w:rsidR="000D0992">
        <w:rPr>
          <w:rFonts w:ascii="Times New Roman" w:hAnsi="Times New Roman" w:cs="Times New Roman"/>
          <w:sz w:val="18"/>
          <w:szCs w:val="18"/>
        </w:rPr>
        <w:t xml:space="preserve"> intervention</w:t>
      </w:r>
      <w:r w:rsidR="005D2971" w:rsidRPr="00FC5A73">
        <w:rPr>
          <w:rFonts w:ascii="Times New Roman" w:hAnsi="Times New Roman" w:cs="Times New Roman"/>
          <w:sz w:val="18"/>
          <w:szCs w:val="18"/>
        </w:rPr>
        <w:t>, institutional death, no investigation or remedies, standing]; and</w:t>
      </w:r>
      <w:r w:rsidR="00C006DF">
        <w:rPr>
          <w:rFonts w:ascii="Times New Roman" w:hAnsi="Times New Roman" w:cs="Times New Roman"/>
          <w:sz w:val="18"/>
          <w:szCs w:val="18"/>
        </w:rPr>
        <w:t xml:space="preserve"> ECtHR,</w:t>
      </w:r>
      <w:r w:rsidR="005D2971" w:rsidRPr="00FC5A73">
        <w:rPr>
          <w:rFonts w:ascii="Times New Roman" w:hAnsi="Times New Roman" w:cs="Times New Roman"/>
          <w:sz w:val="18"/>
          <w:szCs w:val="18"/>
        </w:rPr>
        <w:t xml:space="preserve"> </w:t>
      </w:r>
      <w:r w:rsidR="005D2971" w:rsidRPr="00FC5A73">
        <w:rPr>
          <w:rFonts w:ascii="Times New Roman" w:hAnsi="Times New Roman" w:cs="Times New Roman"/>
          <w:i/>
          <w:iCs/>
          <w:sz w:val="18"/>
          <w:szCs w:val="18"/>
        </w:rPr>
        <w:t>Blokhin v Russia</w:t>
      </w:r>
      <w:r w:rsidR="005D2971" w:rsidRPr="00FC5A73">
        <w:rPr>
          <w:rFonts w:ascii="Times New Roman" w:hAnsi="Times New Roman" w:cs="Times New Roman"/>
          <w:sz w:val="18"/>
          <w:szCs w:val="18"/>
        </w:rPr>
        <w:t xml:space="preserve"> [GC], </w:t>
      </w:r>
      <w:r w:rsidR="00C006DF">
        <w:rPr>
          <w:rFonts w:ascii="Times New Roman" w:hAnsi="Times New Roman" w:cs="Times New Roman"/>
          <w:sz w:val="18"/>
          <w:szCs w:val="18"/>
        </w:rPr>
        <w:t>App. No</w:t>
      </w:r>
      <w:r w:rsidR="005D2971" w:rsidRPr="00FC5A73">
        <w:rPr>
          <w:rFonts w:ascii="Times New Roman" w:hAnsi="Times New Roman" w:cs="Times New Roman"/>
          <w:sz w:val="18"/>
          <w:szCs w:val="18"/>
        </w:rPr>
        <w:t xml:space="preserve">. 47152/06, </w:t>
      </w:r>
      <w:r w:rsidR="00C006DF">
        <w:rPr>
          <w:rFonts w:ascii="Times New Roman" w:hAnsi="Times New Roman" w:cs="Times New Roman"/>
          <w:sz w:val="18"/>
          <w:szCs w:val="18"/>
        </w:rPr>
        <w:t xml:space="preserve">judgment of </w:t>
      </w:r>
      <w:r w:rsidR="005D2971" w:rsidRPr="00FC5A73">
        <w:rPr>
          <w:rFonts w:ascii="Times New Roman" w:hAnsi="Times New Roman" w:cs="Times New Roman"/>
          <w:sz w:val="18"/>
          <w:szCs w:val="18"/>
        </w:rPr>
        <w:t>23 March 2016 [child detention].</w:t>
      </w:r>
    </w:p>
  </w:footnote>
  <w:footnote w:id="8">
    <w:p w14:paraId="019A99C2" w14:textId="29269D05" w:rsidR="005D2971" w:rsidRPr="00FC5A73" w:rsidRDefault="005D2971">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For example, in </w:t>
      </w:r>
      <w:r w:rsidR="00D30D7C" w:rsidRPr="00FC5A73">
        <w:rPr>
          <w:rFonts w:ascii="Times New Roman" w:hAnsi="Times New Roman" w:cs="Times New Roman"/>
          <w:sz w:val="18"/>
          <w:szCs w:val="18"/>
        </w:rPr>
        <w:t>it</w:t>
      </w:r>
      <w:r w:rsidR="00303989" w:rsidRPr="00FC5A73">
        <w:rPr>
          <w:rFonts w:ascii="Times New Roman" w:hAnsi="Times New Roman" w:cs="Times New Roman"/>
          <w:sz w:val="18"/>
          <w:szCs w:val="18"/>
        </w:rPr>
        <w:t>s In</w:t>
      </w:r>
      <w:r w:rsidRPr="00FC5A73">
        <w:rPr>
          <w:rFonts w:ascii="Times New Roman" w:hAnsi="Times New Roman" w:cs="Times New Roman"/>
          <w:sz w:val="18"/>
          <w:szCs w:val="18"/>
        </w:rPr>
        <w:t xml:space="preserve">quiry concerning Hungary, the CRPD Committee found grave and systematic violations of the rights of children with disabilities as a result of their harmful and discriminatory effects, the perpetuation of marginalization and vulnerability, and resulting from “the combined effect and cumulative impact of laws, policies, plans and prevailing disability-based stereotypes”, CRPD Committee, </w:t>
      </w:r>
      <w:r w:rsidRPr="00FC5A73">
        <w:rPr>
          <w:rFonts w:ascii="Times New Roman" w:hAnsi="Times New Roman" w:cs="Times New Roman"/>
          <w:i/>
          <w:iCs/>
          <w:sz w:val="18"/>
          <w:szCs w:val="18"/>
        </w:rPr>
        <w:t>Inquiry concerning Hungary under article 6 of the Optional Protocol</w:t>
      </w:r>
      <w:r w:rsidRPr="00FC5A73">
        <w:rPr>
          <w:rFonts w:ascii="Times New Roman" w:hAnsi="Times New Roman" w:cs="Times New Roman"/>
          <w:sz w:val="18"/>
          <w:szCs w:val="18"/>
        </w:rPr>
        <w:t>, CRPD/C/HUN/IR/1, 17 September 2020, para. 109.</w:t>
      </w:r>
    </w:p>
  </w:footnote>
  <w:footnote w:id="9">
    <w:p w14:paraId="23ABD29B" w14:textId="00E20FED" w:rsidR="00942AF7" w:rsidRPr="00FC5A73" w:rsidRDefault="00942AF7">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CRPD Committee, General Comment No. 7 (2018) on the participation of persons with disabilities, including children with disabilities, through their representative organizations, in the implementation and monitoring of the Convention, CRPD/C/GC/7, paras. 15, 18, and 61(c).</w:t>
      </w:r>
    </w:p>
  </w:footnote>
  <w:footnote w:id="10">
    <w:p w14:paraId="5C440553" w14:textId="1BEC8856" w:rsidR="00942AF7" w:rsidRPr="00FC5A73" w:rsidRDefault="00942AF7">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See, for example, CRPD arts. 4(1)(b), (d) and (e), 4(2) </w:t>
      </w:r>
      <w:r w:rsidR="00BA6CC7">
        <w:rPr>
          <w:rFonts w:ascii="Times New Roman" w:hAnsi="Times New Roman" w:cs="Times New Roman"/>
          <w:sz w:val="18"/>
          <w:szCs w:val="18"/>
        </w:rPr>
        <w:t xml:space="preserve">particularly the </w:t>
      </w:r>
      <w:r w:rsidRPr="00FC5A73">
        <w:rPr>
          <w:rFonts w:ascii="Times New Roman" w:hAnsi="Times New Roman" w:cs="Times New Roman"/>
          <w:sz w:val="18"/>
          <w:szCs w:val="18"/>
        </w:rPr>
        <w:t>last part of the sentence; CRPD Committee, General Comment No. 6 (2018) on equality and non-d</w:t>
      </w:r>
      <w:r w:rsidR="00FC37D0" w:rsidRPr="00FC5A73">
        <w:rPr>
          <w:rFonts w:ascii="Times New Roman" w:hAnsi="Times New Roman" w:cs="Times New Roman"/>
          <w:sz w:val="18"/>
          <w:szCs w:val="18"/>
        </w:rPr>
        <w:t>i</w:t>
      </w:r>
      <w:r w:rsidRPr="00FC5A73">
        <w:rPr>
          <w:rFonts w:ascii="Times New Roman" w:hAnsi="Times New Roman" w:cs="Times New Roman"/>
          <w:sz w:val="18"/>
          <w:szCs w:val="18"/>
        </w:rPr>
        <w:t xml:space="preserve">scrimination, CRPD/C/GC/6, </w:t>
      </w:r>
      <w:r w:rsidR="00655933" w:rsidRPr="00FC5A73">
        <w:rPr>
          <w:rFonts w:ascii="Times New Roman" w:hAnsi="Times New Roman" w:cs="Times New Roman"/>
          <w:sz w:val="18"/>
          <w:szCs w:val="18"/>
        </w:rPr>
        <w:t xml:space="preserve">26 April 2018, </w:t>
      </w:r>
      <w:r w:rsidRPr="00FC5A73">
        <w:rPr>
          <w:rFonts w:ascii="Times New Roman" w:hAnsi="Times New Roman" w:cs="Times New Roman"/>
          <w:sz w:val="18"/>
          <w:szCs w:val="18"/>
        </w:rPr>
        <w:t>para. 12</w:t>
      </w:r>
      <w:r w:rsidR="00FC37D0" w:rsidRPr="00FC5A73">
        <w:rPr>
          <w:rFonts w:ascii="Times New Roman" w:hAnsi="Times New Roman" w:cs="Times New Roman"/>
          <w:sz w:val="18"/>
          <w:szCs w:val="18"/>
        </w:rPr>
        <w:t xml:space="preserve"> </w:t>
      </w:r>
      <w:r w:rsidRPr="00FC5A73">
        <w:rPr>
          <w:rFonts w:ascii="Times New Roman" w:hAnsi="Times New Roman" w:cs="Times New Roman"/>
          <w:sz w:val="18"/>
          <w:szCs w:val="18"/>
        </w:rPr>
        <w:t>(“</w:t>
      </w:r>
      <w:r w:rsidR="00FC37D0" w:rsidRPr="00FC5A73">
        <w:rPr>
          <w:rFonts w:ascii="Times New Roman" w:hAnsi="Times New Roman" w:cs="Times New Roman"/>
          <w:sz w:val="18"/>
          <w:szCs w:val="18"/>
        </w:rPr>
        <w:t>[p]romoting equality and tackling discrimination are cross-cutting obligations of immediate realization. They are not subject to progressive realization”); and CRPD Committee, Guidelines on deinstitutionalization, including in emergencies, CRPD/C/5,</w:t>
      </w:r>
      <w:r w:rsidR="00655933" w:rsidRPr="00FC5A73">
        <w:rPr>
          <w:rFonts w:ascii="Times New Roman" w:hAnsi="Times New Roman" w:cs="Times New Roman"/>
          <w:sz w:val="18"/>
          <w:szCs w:val="18"/>
        </w:rPr>
        <w:t xml:space="preserve"> 10 October 2022,</w:t>
      </w:r>
      <w:r w:rsidR="00FC37D0" w:rsidRPr="00FC5A73">
        <w:rPr>
          <w:rFonts w:ascii="Times New Roman" w:hAnsi="Times New Roman" w:cs="Times New Roman"/>
          <w:sz w:val="18"/>
          <w:szCs w:val="18"/>
        </w:rPr>
        <w:t xml:space="preserve"> paras. 8</w:t>
      </w:r>
      <w:r w:rsidR="002875AA" w:rsidRPr="00FC5A73">
        <w:rPr>
          <w:rFonts w:ascii="Times New Roman" w:hAnsi="Times New Roman" w:cs="Times New Roman"/>
          <w:sz w:val="18"/>
          <w:szCs w:val="18"/>
        </w:rPr>
        <w:t>—</w:t>
      </w:r>
      <w:r w:rsidR="00FC37D0" w:rsidRPr="00FC5A73">
        <w:rPr>
          <w:rFonts w:ascii="Times New Roman" w:hAnsi="Times New Roman" w:cs="Times New Roman"/>
          <w:sz w:val="18"/>
          <w:szCs w:val="18"/>
        </w:rPr>
        <w:t>9</w:t>
      </w:r>
      <w:r w:rsidR="002875AA" w:rsidRPr="00FC5A73">
        <w:rPr>
          <w:rFonts w:ascii="Times New Roman" w:hAnsi="Times New Roman" w:cs="Times New Roman"/>
          <w:sz w:val="18"/>
          <w:szCs w:val="18"/>
        </w:rPr>
        <w:t>,</w:t>
      </w:r>
      <w:r w:rsidR="00FC37D0" w:rsidRPr="00FC5A73">
        <w:rPr>
          <w:rFonts w:ascii="Times New Roman" w:hAnsi="Times New Roman" w:cs="Times New Roman"/>
          <w:sz w:val="18"/>
          <w:szCs w:val="18"/>
        </w:rPr>
        <w:t xml:space="preserve"> 13 and 55 (requiring abolition of institutionalisation, immediate release from disability-based detention, immediate lifting of guardianship, forced treatment and other substitute decision-making notwithstanding lack of services or need for law reform). </w:t>
      </w:r>
    </w:p>
  </w:footnote>
  <w:footnote w:id="11">
    <w:p w14:paraId="5BE8C48D" w14:textId="128FF9D7" w:rsidR="00846BA1" w:rsidRPr="00FC5A73" w:rsidRDefault="00846BA1">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CRPD Committee, Guidelines on the right to liberty and security of persons with disabilities, A/72/55 (2017), annex, paras. 6</w:t>
      </w:r>
      <w:r w:rsidR="00B86FA0" w:rsidRPr="00FC5A73">
        <w:rPr>
          <w:rFonts w:ascii="Times New Roman" w:hAnsi="Times New Roman" w:cs="Times New Roman"/>
          <w:sz w:val="18"/>
          <w:szCs w:val="18"/>
        </w:rPr>
        <w:t>—</w:t>
      </w:r>
      <w:r w:rsidRPr="00FC5A73">
        <w:rPr>
          <w:rFonts w:ascii="Times New Roman" w:hAnsi="Times New Roman" w:cs="Times New Roman"/>
          <w:sz w:val="18"/>
          <w:szCs w:val="18"/>
        </w:rPr>
        <w:t>15</w:t>
      </w:r>
      <w:r w:rsidR="00B86FA0" w:rsidRPr="00FC5A73">
        <w:rPr>
          <w:rFonts w:ascii="Times New Roman" w:hAnsi="Times New Roman" w:cs="Times New Roman"/>
          <w:sz w:val="18"/>
          <w:szCs w:val="18"/>
        </w:rPr>
        <w:t>.</w:t>
      </w:r>
    </w:p>
  </w:footnote>
  <w:footnote w:id="12">
    <w:p w14:paraId="17F5E366" w14:textId="4F2E5B34" w:rsidR="00EE13F7" w:rsidRPr="00FC5A73" w:rsidRDefault="00EE13F7">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The obligation of cessation is a specific category of obligations arising from the attribution of wrongful acts, including those of an international character,</w:t>
      </w:r>
      <w:r w:rsidR="0055769E" w:rsidRPr="00FC5A73">
        <w:rPr>
          <w:rFonts w:ascii="Times New Roman" w:hAnsi="Times New Roman" w:cs="Times New Roman"/>
          <w:sz w:val="18"/>
          <w:szCs w:val="18"/>
        </w:rPr>
        <w:t xml:space="preserve"> to States parties. It is</w:t>
      </w:r>
      <w:r w:rsidRPr="00FC5A73">
        <w:rPr>
          <w:rFonts w:ascii="Times New Roman" w:hAnsi="Times New Roman" w:cs="Times New Roman"/>
          <w:sz w:val="18"/>
          <w:szCs w:val="18"/>
        </w:rPr>
        <w:t xml:space="preserve"> distinct from (but connected to) other obligations including those of reparations, remedies and redress, and guarantees of non-repetition.</w:t>
      </w:r>
      <w:r w:rsidR="0055769E" w:rsidRPr="00FC5A73">
        <w:rPr>
          <w:rFonts w:ascii="Times New Roman" w:hAnsi="Times New Roman" w:cs="Times New Roman"/>
          <w:sz w:val="18"/>
          <w:szCs w:val="18"/>
        </w:rPr>
        <w:t xml:space="preserve"> See, inter alia, CRPD arts. 4(1)(b), (d) and (e), 5, 12 and 14</w:t>
      </w:r>
      <w:r w:rsidR="00B86FA0" w:rsidRPr="00FC5A73">
        <w:rPr>
          <w:rFonts w:ascii="Times New Roman" w:hAnsi="Times New Roman" w:cs="Times New Roman"/>
          <w:sz w:val="18"/>
          <w:szCs w:val="18"/>
        </w:rPr>
        <w:t>—</w:t>
      </w:r>
      <w:r w:rsidR="0055769E" w:rsidRPr="00FC5A73">
        <w:rPr>
          <w:rFonts w:ascii="Times New Roman" w:hAnsi="Times New Roman" w:cs="Times New Roman"/>
          <w:sz w:val="18"/>
          <w:szCs w:val="18"/>
        </w:rPr>
        <w:t>19</w:t>
      </w:r>
      <w:r w:rsidR="00B86FA0" w:rsidRPr="00FC5A73">
        <w:rPr>
          <w:rFonts w:ascii="Times New Roman" w:hAnsi="Times New Roman" w:cs="Times New Roman"/>
          <w:sz w:val="18"/>
          <w:szCs w:val="18"/>
        </w:rPr>
        <w:t>;</w:t>
      </w:r>
      <w:r w:rsidR="0055769E" w:rsidRPr="00FC5A73">
        <w:rPr>
          <w:rFonts w:ascii="Times New Roman" w:hAnsi="Times New Roman" w:cs="Times New Roman"/>
          <w:sz w:val="18"/>
          <w:szCs w:val="18"/>
        </w:rPr>
        <w:t xml:space="preserve"> CRPD Committee, General Comment No. 6 (2018) on equality and non-discrimination, CRPD/C/GC/6, 26 April 201</w:t>
      </w:r>
      <w:r w:rsidR="00F34FFC" w:rsidRPr="00FC5A73">
        <w:rPr>
          <w:rFonts w:ascii="Times New Roman" w:hAnsi="Times New Roman" w:cs="Times New Roman"/>
          <w:sz w:val="18"/>
          <w:szCs w:val="18"/>
        </w:rPr>
        <w:t>8</w:t>
      </w:r>
      <w:r w:rsidR="0055769E" w:rsidRPr="00FC5A73">
        <w:rPr>
          <w:rFonts w:ascii="Times New Roman" w:hAnsi="Times New Roman" w:cs="Times New Roman"/>
          <w:sz w:val="18"/>
          <w:szCs w:val="18"/>
        </w:rPr>
        <w:t>, paras. 12</w:t>
      </w:r>
      <w:r w:rsidR="00B86FA0" w:rsidRPr="00FC5A73">
        <w:rPr>
          <w:rFonts w:ascii="Times New Roman" w:hAnsi="Times New Roman" w:cs="Times New Roman"/>
          <w:sz w:val="18"/>
          <w:szCs w:val="18"/>
        </w:rPr>
        <w:t>—</w:t>
      </w:r>
      <w:r w:rsidR="0055769E" w:rsidRPr="00FC5A73">
        <w:rPr>
          <w:rFonts w:ascii="Times New Roman" w:hAnsi="Times New Roman" w:cs="Times New Roman"/>
          <w:sz w:val="18"/>
          <w:szCs w:val="18"/>
        </w:rPr>
        <w:t>15</w:t>
      </w:r>
      <w:r w:rsidR="00B86FA0" w:rsidRPr="00FC5A73">
        <w:rPr>
          <w:rFonts w:ascii="Times New Roman" w:hAnsi="Times New Roman" w:cs="Times New Roman"/>
          <w:sz w:val="18"/>
          <w:szCs w:val="18"/>
        </w:rPr>
        <w:t>,</w:t>
      </w:r>
      <w:r w:rsidR="0055769E" w:rsidRPr="00FC5A73">
        <w:rPr>
          <w:rFonts w:ascii="Times New Roman" w:hAnsi="Times New Roman" w:cs="Times New Roman"/>
          <w:sz w:val="18"/>
          <w:szCs w:val="18"/>
        </w:rPr>
        <w:t xml:space="preserve"> 30 and 56; CRPD Committee, Guidelines on deinstitutionalization, including in emergencies, CRPD/C/5, 10 October 2022, paras. 6 and 8</w:t>
      </w:r>
      <w:r w:rsidR="00B86FA0" w:rsidRPr="00FC5A73">
        <w:rPr>
          <w:rFonts w:ascii="Times New Roman" w:hAnsi="Times New Roman" w:cs="Times New Roman"/>
          <w:sz w:val="18"/>
          <w:szCs w:val="18"/>
        </w:rPr>
        <w:t>—</w:t>
      </w:r>
      <w:r w:rsidR="0055769E" w:rsidRPr="00FC5A73">
        <w:rPr>
          <w:rFonts w:ascii="Times New Roman" w:hAnsi="Times New Roman" w:cs="Times New Roman"/>
          <w:sz w:val="18"/>
          <w:szCs w:val="18"/>
        </w:rPr>
        <w:t>13</w:t>
      </w:r>
      <w:r w:rsidR="00B86FA0" w:rsidRPr="00FC5A73">
        <w:rPr>
          <w:rFonts w:ascii="Times New Roman" w:hAnsi="Times New Roman" w:cs="Times New Roman"/>
          <w:sz w:val="18"/>
          <w:szCs w:val="18"/>
        </w:rPr>
        <w:t>;</w:t>
      </w:r>
      <w:r w:rsidR="0055769E" w:rsidRPr="00FC5A73">
        <w:rPr>
          <w:rFonts w:ascii="Times New Roman" w:hAnsi="Times New Roman" w:cs="Times New Roman"/>
          <w:sz w:val="18"/>
          <w:szCs w:val="18"/>
        </w:rPr>
        <w:t xml:space="preserve"> </w:t>
      </w:r>
      <w:r w:rsidR="001B68D8" w:rsidRPr="00FC5A73">
        <w:rPr>
          <w:rFonts w:ascii="Times New Roman" w:hAnsi="Times New Roman" w:cs="Times New Roman"/>
          <w:sz w:val="18"/>
          <w:szCs w:val="18"/>
        </w:rPr>
        <w:t>and International Law Commission, Articles on Responsibility of States for Internationally Wrongful Acts (2001), particularly arts. 4, 5, 8, 29, 30 and 31.</w:t>
      </w:r>
    </w:p>
  </w:footnote>
  <w:footnote w:id="13">
    <w:p w14:paraId="3BE5A6E8" w14:textId="27B48E4A" w:rsidR="00F3390F" w:rsidRPr="00FC5A73" w:rsidRDefault="00F3390F">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w:t>
      </w:r>
      <w:r w:rsidR="00A30A3C" w:rsidRPr="00FC5A73">
        <w:rPr>
          <w:rFonts w:ascii="Times New Roman" w:hAnsi="Times New Roman" w:cs="Times New Roman"/>
          <w:sz w:val="18"/>
          <w:szCs w:val="18"/>
        </w:rPr>
        <w:t xml:space="preserve">Where the incompatibility of a State-authorised practice has not yet been finally determined, but credible evidence indicates a real and imminent risk of serious or irreparable harm, the practice should be </w:t>
      </w:r>
      <w:r w:rsidR="007A4369" w:rsidRPr="00FC5A73">
        <w:rPr>
          <w:rFonts w:ascii="Times New Roman" w:hAnsi="Times New Roman" w:cs="Times New Roman"/>
          <w:sz w:val="18"/>
          <w:szCs w:val="18"/>
        </w:rPr>
        <w:t>immediately suspend</w:t>
      </w:r>
      <w:r w:rsidR="001F2D98" w:rsidRPr="00FC5A73">
        <w:rPr>
          <w:rFonts w:ascii="Times New Roman" w:hAnsi="Times New Roman" w:cs="Times New Roman"/>
          <w:sz w:val="18"/>
          <w:szCs w:val="18"/>
        </w:rPr>
        <w:t xml:space="preserve">ed </w:t>
      </w:r>
      <w:r w:rsidR="007A4369" w:rsidRPr="00FC5A73">
        <w:rPr>
          <w:rFonts w:ascii="Times New Roman" w:hAnsi="Times New Roman" w:cs="Times New Roman"/>
          <w:sz w:val="18"/>
          <w:szCs w:val="18"/>
        </w:rPr>
        <w:t xml:space="preserve">notwithstanding final </w:t>
      </w:r>
      <w:r w:rsidR="00175444" w:rsidRPr="00FC5A73">
        <w:rPr>
          <w:rFonts w:ascii="Times New Roman" w:hAnsi="Times New Roman" w:cs="Times New Roman"/>
          <w:sz w:val="18"/>
          <w:szCs w:val="18"/>
        </w:rPr>
        <w:t>ju</w:t>
      </w:r>
      <w:r w:rsidR="00806674" w:rsidRPr="00FC5A73">
        <w:rPr>
          <w:rFonts w:ascii="Times New Roman" w:hAnsi="Times New Roman" w:cs="Times New Roman"/>
          <w:sz w:val="18"/>
          <w:szCs w:val="18"/>
        </w:rPr>
        <w:t xml:space="preserve">dicial </w:t>
      </w:r>
      <w:r w:rsidR="007A4369" w:rsidRPr="00FC5A73">
        <w:rPr>
          <w:rFonts w:ascii="Times New Roman" w:hAnsi="Times New Roman" w:cs="Times New Roman"/>
          <w:sz w:val="18"/>
          <w:szCs w:val="18"/>
        </w:rPr>
        <w:t>determination</w:t>
      </w:r>
      <w:r w:rsidR="00806674" w:rsidRPr="00FC5A73">
        <w:rPr>
          <w:rFonts w:ascii="Times New Roman" w:hAnsi="Times New Roman" w:cs="Times New Roman"/>
          <w:sz w:val="18"/>
          <w:szCs w:val="18"/>
        </w:rPr>
        <w:t>. See, by analogy,</w:t>
      </w:r>
      <w:r w:rsidR="001F2D98" w:rsidRPr="00FC5A73">
        <w:rPr>
          <w:rFonts w:ascii="Times New Roman" w:hAnsi="Times New Roman" w:cs="Times New Roman"/>
          <w:sz w:val="18"/>
          <w:szCs w:val="18"/>
        </w:rPr>
        <w:t xml:space="preserve"> </w:t>
      </w:r>
      <w:r w:rsidR="00940252" w:rsidRPr="00FC5A73">
        <w:rPr>
          <w:rFonts w:ascii="Times New Roman" w:hAnsi="Times New Roman" w:cs="Times New Roman"/>
          <w:sz w:val="18"/>
          <w:szCs w:val="18"/>
        </w:rPr>
        <w:t>article</w:t>
      </w:r>
      <w:r w:rsidR="00914FC6" w:rsidRPr="00FC5A73">
        <w:rPr>
          <w:rFonts w:ascii="Times New Roman" w:hAnsi="Times New Roman" w:cs="Times New Roman"/>
          <w:sz w:val="18"/>
          <w:szCs w:val="18"/>
        </w:rPr>
        <w:t xml:space="preserve"> 4(1)</w:t>
      </w:r>
      <w:r w:rsidR="00D97E11" w:rsidRPr="00FC5A73">
        <w:rPr>
          <w:rFonts w:ascii="Times New Roman" w:hAnsi="Times New Roman" w:cs="Times New Roman"/>
          <w:sz w:val="18"/>
          <w:szCs w:val="18"/>
        </w:rPr>
        <w:t xml:space="preserve"> OP-CRPD.</w:t>
      </w:r>
    </w:p>
  </w:footnote>
  <w:footnote w:id="14">
    <w:p w14:paraId="7447F302" w14:textId="7413910C" w:rsidR="00102644" w:rsidRPr="007A567A" w:rsidRDefault="00102644">
      <w:pPr>
        <w:pStyle w:val="FootnoteText"/>
        <w:rPr>
          <w:rFonts w:ascii="Times New Roman" w:hAnsi="Times New Roman" w:cs="Times New Roman"/>
          <w:sz w:val="18"/>
          <w:szCs w:val="18"/>
          <w:lang w:val="es-ES"/>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CRPD Committee, Guidelines on deinstitutionalization, including in emergencies, CRPD/C/5, 10 October 2022, para. </w:t>
      </w:r>
      <w:r w:rsidRPr="007A567A">
        <w:rPr>
          <w:rFonts w:ascii="Times New Roman" w:hAnsi="Times New Roman" w:cs="Times New Roman"/>
          <w:sz w:val="18"/>
          <w:szCs w:val="18"/>
          <w:lang w:val="es-ES"/>
        </w:rPr>
        <w:t xml:space="preserve">31. </w:t>
      </w:r>
    </w:p>
  </w:footnote>
  <w:footnote w:id="15">
    <w:p w14:paraId="5E10A26D" w14:textId="7856D9BD" w:rsidR="00102644" w:rsidRPr="007A567A" w:rsidRDefault="00102644">
      <w:pPr>
        <w:pStyle w:val="FootnoteText"/>
        <w:rPr>
          <w:rFonts w:ascii="Times New Roman" w:hAnsi="Times New Roman" w:cs="Times New Roman"/>
          <w:sz w:val="18"/>
          <w:szCs w:val="18"/>
          <w:lang w:val="es-ES"/>
        </w:rPr>
      </w:pPr>
      <w:r w:rsidRPr="00FC5A73">
        <w:rPr>
          <w:rStyle w:val="FootnoteReference"/>
          <w:rFonts w:ascii="Times New Roman" w:hAnsi="Times New Roman" w:cs="Times New Roman"/>
          <w:sz w:val="18"/>
          <w:szCs w:val="18"/>
        </w:rPr>
        <w:footnoteRef/>
      </w:r>
      <w:r w:rsidRPr="007A567A">
        <w:rPr>
          <w:rFonts w:ascii="Times New Roman" w:hAnsi="Times New Roman" w:cs="Times New Roman"/>
          <w:sz w:val="18"/>
          <w:szCs w:val="18"/>
          <w:lang w:val="es-ES"/>
        </w:rPr>
        <w:t xml:space="preserve"> Ibid., paras. 32</w:t>
      </w:r>
      <w:r w:rsidR="00B86FA0" w:rsidRPr="007A567A">
        <w:rPr>
          <w:rFonts w:ascii="Times New Roman" w:hAnsi="Times New Roman" w:cs="Times New Roman"/>
          <w:sz w:val="18"/>
          <w:szCs w:val="18"/>
          <w:lang w:val="es-ES"/>
        </w:rPr>
        <w:t>—</w:t>
      </w:r>
      <w:r w:rsidRPr="007A567A">
        <w:rPr>
          <w:rFonts w:ascii="Times New Roman" w:hAnsi="Times New Roman" w:cs="Times New Roman"/>
          <w:sz w:val="18"/>
          <w:szCs w:val="18"/>
          <w:lang w:val="es-ES"/>
        </w:rPr>
        <w:t>33</w:t>
      </w:r>
      <w:r w:rsidR="00B86FA0" w:rsidRPr="007A567A">
        <w:rPr>
          <w:rFonts w:ascii="Times New Roman" w:hAnsi="Times New Roman" w:cs="Times New Roman"/>
          <w:sz w:val="18"/>
          <w:szCs w:val="18"/>
          <w:lang w:val="es-ES"/>
        </w:rPr>
        <w:t>.</w:t>
      </w:r>
    </w:p>
  </w:footnote>
  <w:footnote w:id="16">
    <w:p w14:paraId="547DB970" w14:textId="1B24AB25" w:rsidR="00102644" w:rsidRPr="007A567A" w:rsidRDefault="00102644">
      <w:pPr>
        <w:pStyle w:val="FootnoteText"/>
        <w:rPr>
          <w:rFonts w:ascii="Times New Roman" w:hAnsi="Times New Roman" w:cs="Times New Roman"/>
          <w:sz w:val="18"/>
          <w:szCs w:val="18"/>
          <w:lang w:val="es-ES"/>
        </w:rPr>
      </w:pPr>
      <w:r w:rsidRPr="00FC5A73">
        <w:rPr>
          <w:rStyle w:val="FootnoteReference"/>
          <w:rFonts w:ascii="Times New Roman" w:hAnsi="Times New Roman" w:cs="Times New Roman"/>
          <w:sz w:val="18"/>
          <w:szCs w:val="18"/>
        </w:rPr>
        <w:footnoteRef/>
      </w:r>
      <w:r w:rsidRPr="007A567A">
        <w:rPr>
          <w:rFonts w:ascii="Times New Roman" w:hAnsi="Times New Roman" w:cs="Times New Roman"/>
          <w:sz w:val="18"/>
          <w:szCs w:val="18"/>
          <w:lang w:val="es-ES"/>
        </w:rPr>
        <w:t xml:space="preserve"> Ibid., paras. 22</w:t>
      </w:r>
      <w:r w:rsidR="00B86FA0" w:rsidRPr="007A567A">
        <w:rPr>
          <w:rFonts w:ascii="Times New Roman" w:hAnsi="Times New Roman" w:cs="Times New Roman"/>
          <w:sz w:val="18"/>
          <w:szCs w:val="18"/>
          <w:lang w:val="es-ES"/>
        </w:rPr>
        <w:t>—</w:t>
      </w:r>
      <w:r w:rsidRPr="007A567A">
        <w:rPr>
          <w:rFonts w:ascii="Times New Roman" w:hAnsi="Times New Roman" w:cs="Times New Roman"/>
          <w:sz w:val="18"/>
          <w:szCs w:val="18"/>
          <w:lang w:val="es-ES"/>
        </w:rPr>
        <w:t>28</w:t>
      </w:r>
      <w:r w:rsidR="00B86FA0" w:rsidRPr="007A567A">
        <w:rPr>
          <w:rFonts w:ascii="Times New Roman" w:hAnsi="Times New Roman" w:cs="Times New Roman"/>
          <w:sz w:val="18"/>
          <w:szCs w:val="18"/>
          <w:lang w:val="es-ES"/>
        </w:rPr>
        <w:t>.</w:t>
      </w:r>
    </w:p>
  </w:footnote>
  <w:footnote w:id="17">
    <w:p w14:paraId="1D3808F0" w14:textId="13F048BB" w:rsidR="00102644" w:rsidRPr="007A567A" w:rsidRDefault="00102644">
      <w:pPr>
        <w:pStyle w:val="FootnoteText"/>
        <w:rPr>
          <w:rFonts w:ascii="Times New Roman" w:hAnsi="Times New Roman" w:cs="Times New Roman"/>
          <w:sz w:val="18"/>
          <w:szCs w:val="18"/>
          <w:lang w:val="es-ES"/>
        </w:rPr>
      </w:pPr>
      <w:r w:rsidRPr="00FC5A73">
        <w:rPr>
          <w:rStyle w:val="FootnoteReference"/>
          <w:rFonts w:ascii="Times New Roman" w:hAnsi="Times New Roman" w:cs="Times New Roman"/>
          <w:sz w:val="18"/>
          <w:szCs w:val="18"/>
        </w:rPr>
        <w:footnoteRef/>
      </w:r>
      <w:r w:rsidRPr="007A567A">
        <w:rPr>
          <w:rFonts w:ascii="Times New Roman" w:hAnsi="Times New Roman" w:cs="Times New Roman"/>
          <w:sz w:val="18"/>
          <w:szCs w:val="18"/>
          <w:lang w:val="es-ES"/>
        </w:rPr>
        <w:t xml:space="preserve"> Ibid., paras. 86</w:t>
      </w:r>
      <w:r w:rsidR="00B86FA0" w:rsidRPr="007A567A">
        <w:rPr>
          <w:rFonts w:ascii="Times New Roman" w:hAnsi="Times New Roman" w:cs="Times New Roman"/>
          <w:sz w:val="18"/>
          <w:szCs w:val="18"/>
          <w:lang w:val="es-ES"/>
        </w:rPr>
        <w:t>—</w:t>
      </w:r>
      <w:r w:rsidRPr="007A567A">
        <w:rPr>
          <w:rFonts w:ascii="Times New Roman" w:hAnsi="Times New Roman" w:cs="Times New Roman"/>
          <w:sz w:val="18"/>
          <w:szCs w:val="18"/>
          <w:lang w:val="es-ES"/>
        </w:rPr>
        <w:t>89</w:t>
      </w:r>
      <w:r w:rsidR="00B86FA0" w:rsidRPr="007A567A">
        <w:rPr>
          <w:rFonts w:ascii="Times New Roman" w:hAnsi="Times New Roman" w:cs="Times New Roman"/>
          <w:sz w:val="18"/>
          <w:szCs w:val="18"/>
          <w:lang w:val="es-ES"/>
        </w:rPr>
        <w:t>.</w:t>
      </w:r>
    </w:p>
  </w:footnote>
  <w:footnote w:id="18">
    <w:p w14:paraId="3E717385" w14:textId="45052B65" w:rsidR="00102644" w:rsidRPr="007A567A" w:rsidRDefault="00102644">
      <w:pPr>
        <w:pStyle w:val="FootnoteText"/>
        <w:rPr>
          <w:rFonts w:ascii="Times New Roman" w:hAnsi="Times New Roman" w:cs="Times New Roman"/>
          <w:sz w:val="18"/>
          <w:szCs w:val="18"/>
          <w:lang w:val="es-ES"/>
        </w:rPr>
      </w:pPr>
      <w:r w:rsidRPr="00FC5A73">
        <w:rPr>
          <w:rStyle w:val="FootnoteReference"/>
          <w:rFonts w:ascii="Times New Roman" w:hAnsi="Times New Roman" w:cs="Times New Roman"/>
          <w:sz w:val="18"/>
          <w:szCs w:val="18"/>
        </w:rPr>
        <w:footnoteRef/>
      </w:r>
      <w:r w:rsidRPr="007A567A">
        <w:rPr>
          <w:rFonts w:ascii="Times New Roman" w:hAnsi="Times New Roman" w:cs="Times New Roman"/>
          <w:sz w:val="18"/>
          <w:szCs w:val="18"/>
          <w:lang w:val="es-ES"/>
        </w:rPr>
        <w:t xml:space="preserve"> Ibid., para. 96.</w:t>
      </w:r>
    </w:p>
  </w:footnote>
  <w:footnote w:id="19">
    <w:p w14:paraId="493FAE9E" w14:textId="2E7B63BC" w:rsidR="00102644" w:rsidRPr="00FC5A73" w:rsidRDefault="00102644">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7A567A">
        <w:rPr>
          <w:rFonts w:ascii="Times New Roman" w:hAnsi="Times New Roman" w:cs="Times New Roman"/>
          <w:sz w:val="18"/>
          <w:szCs w:val="18"/>
          <w:lang w:val="es-ES"/>
        </w:rPr>
        <w:t xml:space="preserve"> Ibid., para. </w:t>
      </w:r>
      <w:r w:rsidRPr="00FC5A73">
        <w:rPr>
          <w:rFonts w:ascii="Times New Roman" w:hAnsi="Times New Roman" w:cs="Times New Roman"/>
          <w:sz w:val="18"/>
          <w:szCs w:val="18"/>
        </w:rPr>
        <w:t>9.</w:t>
      </w:r>
    </w:p>
  </w:footnote>
  <w:footnote w:id="20">
    <w:p w14:paraId="7DE0C558" w14:textId="694D2E55" w:rsidR="008D7221" w:rsidRPr="00FC5A73" w:rsidRDefault="008D7221">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w:t>
      </w:r>
      <w:r w:rsidR="00C006DF">
        <w:rPr>
          <w:rFonts w:ascii="Times New Roman" w:hAnsi="Times New Roman" w:cs="Times New Roman"/>
          <w:sz w:val="18"/>
          <w:szCs w:val="18"/>
        </w:rPr>
        <w:t xml:space="preserve">ECtHR, </w:t>
      </w:r>
      <w:r w:rsidRPr="00FC5A73">
        <w:rPr>
          <w:rFonts w:ascii="Times New Roman" w:hAnsi="Times New Roman" w:cs="Times New Roman"/>
          <w:i/>
          <w:iCs/>
          <w:sz w:val="18"/>
          <w:szCs w:val="18"/>
        </w:rPr>
        <w:t>I.C. v the Republic of Moldova</w:t>
      </w:r>
      <w:r w:rsidRPr="00FC5A73">
        <w:rPr>
          <w:rFonts w:ascii="Times New Roman" w:hAnsi="Times New Roman" w:cs="Times New Roman"/>
          <w:sz w:val="18"/>
          <w:szCs w:val="18"/>
        </w:rPr>
        <w:t>,</w:t>
      </w:r>
      <w:r w:rsidR="00C006DF">
        <w:rPr>
          <w:rFonts w:ascii="Times New Roman" w:hAnsi="Times New Roman" w:cs="Times New Roman"/>
          <w:sz w:val="18"/>
          <w:szCs w:val="18"/>
        </w:rPr>
        <w:t xml:space="preserve"> App. N</w:t>
      </w:r>
      <w:r w:rsidRPr="00FC5A73">
        <w:rPr>
          <w:rFonts w:ascii="Times New Roman" w:hAnsi="Times New Roman" w:cs="Times New Roman"/>
          <w:sz w:val="18"/>
          <w:szCs w:val="18"/>
        </w:rPr>
        <w:t xml:space="preserve">o. 36436/22, </w:t>
      </w:r>
      <w:r w:rsidR="00C006DF">
        <w:rPr>
          <w:rFonts w:ascii="Times New Roman" w:hAnsi="Times New Roman" w:cs="Times New Roman"/>
          <w:sz w:val="18"/>
          <w:szCs w:val="18"/>
        </w:rPr>
        <w:t xml:space="preserve">judgment of </w:t>
      </w:r>
      <w:r w:rsidRPr="00FC5A73">
        <w:rPr>
          <w:rFonts w:ascii="Times New Roman" w:hAnsi="Times New Roman" w:cs="Times New Roman"/>
          <w:sz w:val="18"/>
          <w:szCs w:val="18"/>
        </w:rPr>
        <w:t>27 February 2025.</w:t>
      </w:r>
    </w:p>
  </w:footnote>
  <w:footnote w:id="21">
    <w:p w14:paraId="0DB956D1" w14:textId="3ABB9685" w:rsidR="008D47A2" w:rsidRPr="00FC5A73" w:rsidRDefault="008D47A2">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See, by analogy: Committee against Torture, General Comment No. 2 (2008) Implementation of article 2 by States parties, CAT/C/GC/2, 24 January 2008, para. </w:t>
      </w:r>
      <w:r w:rsidR="005A04FC" w:rsidRPr="00FC5A73">
        <w:rPr>
          <w:rFonts w:ascii="Times New Roman" w:hAnsi="Times New Roman" w:cs="Times New Roman"/>
          <w:sz w:val="18"/>
          <w:szCs w:val="18"/>
        </w:rPr>
        <w:t>18: (“…where State authorities or others acting in official capacity or under colour of law, know or have reasonable grounds to believe that acts of torture or ill-treatment are being committe</w:t>
      </w:r>
      <w:r w:rsidR="0008383F" w:rsidRPr="00FC5A73">
        <w:rPr>
          <w:rFonts w:ascii="Times New Roman" w:hAnsi="Times New Roman" w:cs="Times New Roman"/>
          <w:sz w:val="18"/>
          <w:szCs w:val="18"/>
        </w:rPr>
        <w:t>d</w:t>
      </w:r>
      <w:r w:rsidR="005A04FC" w:rsidRPr="00FC5A73">
        <w:rPr>
          <w:rFonts w:ascii="Times New Roman" w:hAnsi="Times New Roman" w:cs="Times New Roman"/>
          <w:sz w:val="18"/>
          <w:szCs w:val="18"/>
        </w:rPr>
        <w:t xml:space="preserve"> by non-State officials or private actors and they fail to exercise due diligence to prevent, investigate, prosecute and punish such non-State officials or private actors consistently with the Convention [against Torture], the State bears responsibility and its officials should be considered as authors, complicit or otherwise responsible under the Convention for consenting to or acquiescing in such impermissible acts. Since the failure of the State to exercise due diligence to intervene to stop, sanction and provide remedies to victims of torture facilitates and enables non-State actors to commit acts impermissible under the Convention with impunity, the State’s indifference or inaction provides a form of encouragement and/or de facto permission.”) </w:t>
      </w:r>
    </w:p>
  </w:footnote>
  <w:footnote w:id="22">
    <w:p w14:paraId="488BC884" w14:textId="7A329B5D" w:rsidR="00A21711" w:rsidRPr="00FC5A73" w:rsidRDefault="00A21711">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See, for example: </w:t>
      </w:r>
      <w:r w:rsidR="00C90AC7">
        <w:rPr>
          <w:rFonts w:ascii="Times New Roman" w:hAnsi="Times New Roman" w:cs="Times New Roman"/>
          <w:sz w:val="18"/>
          <w:szCs w:val="18"/>
        </w:rPr>
        <w:t xml:space="preserve">ECtHR, </w:t>
      </w:r>
      <w:r w:rsidR="009B6555" w:rsidRPr="00FC5A73">
        <w:rPr>
          <w:rFonts w:ascii="Times New Roman" w:hAnsi="Times New Roman" w:cs="Times New Roman"/>
          <w:i/>
          <w:iCs/>
          <w:sz w:val="18"/>
          <w:szCs w:val="18"/>
        </w:rPr>
        <w:t>I.C. v the Republic of Moldova</w:t>
      </w:r>
      <w:r w:rsidR="009B6555" w:rsidRPr="00FC5A73">
        <w:rPr>
          <w:rFonts w:ascii="Times New Roman" w:hAnsi="Times New Roman" w:cs="Times New Roman"/>
          <w:sz w:val="18"/>
          <w:szCs w:val="18"/>
        </w:rPr>
        <w:t xml:space="preserve">, </w:t>
      </w:r>
      <w:r w:rsidR="00C90AC7">
        <w:rPr>
          <w:rFonts w:ascii="Times New Roman" w:hAnsi="Times New Roman" w:cs="Times New Roman"/>
          <w:sz w:val="18"/>
          <w:szCs w:val="18"/>
        </w:rPr>
        <w:t>App No. 36436/22, judgment of 27 February 2025</w:t>
      </w:r>
      <w:r w:rsidR="009B6555" w:rsidRPr="00FC5A73">
        <w:rPr>
          <w:rFonts w:ascii="Times New Roman" w:hAnsi="Times New Roman" w:cs="Times New Roman"/>
          <w:sz w:val="18"/>
          <w:szCs w:val="18"/>
        </w:rPr>
        <w:t xml:space="preserve">; </w:t>
      </w:r>
      <w:r w:rsidRPr="00FC5A73">
        <w:rPr>
          <w:rFonts w:ascii="Times New Roman" w:hAnsi="Times New Roman" w:cs="Times New Roman"/>
          <w:sz w:val="18"/>
          <w:szCs w:val="18"/>
        </w:rPr>
        <w:t xml:space="preserve">Sara Rocha, </w:t>
      </w:r>
      <w:r w:rsidRPr="00FC5A73">
        <w:rPr>
          <w:rFonts w:ascii="Times New Roman" w:hAnsi="Times New Roman" w:cs="Times New Roman"/>
          <w:i/>
          <w:iCs/>
          <w:sz w:val="18"/>
          <w:szCs w:val="18"/>
        </w:rPr>
        <w:t>Ending Violence, Ensuring Inclusion: Strengthening Protections Against Gender- and Disability-Based Violence</w:t>
      </w:r>
      <w:r w:rsidRPr="00FC5A73">
        <w:rPr>
          <w:rFonts w:ascii="Times New Roman" w:hAnsi="Times New Roman" w:cs="Times New Roman"/>
          <w:sz w:val="18"/>
          <w:szCs w:val="18"/>
        </w:rPr>
        <w:t>, Validity Foundation (Budapest, 2025), Chapter 4 (</w:t>
      </w:r>
      <w:r w:rsidR="002151CF" w:rsidRPr="00FC5A73">
        <w:rPr>
          <w:rFonts w:ascii="Times New Roman" w:hAnsi="Times New Roman" w:cs="Times New Roman"/>
          <w:sz w:val="18"/>
          <w:szCs w:val="18"/>
        </w:rPr>
        <w:t>‘</w:t>
      </w:r>
      <w:r w:rsidRPr="00FC5A73">
        <w:rPr>
          <w:rFonts w:ascii="Times New Roman" w:hAnsi="Times New Roman" w:cs="Times New Roman"/>
          <w:i/>
          <w:iCs/>
          <w:sz w:val="18"/>
          <w:szCs w:val="18"/>
        </w:rPr>
        <w:t>Findings</w:t>
      </w:r>
      <w:r w:rsidR="002151CF" w:rsidRPr="00FC5A73">
        <w:rPr>
          <w:rFonts w:ascii="Times New Roman" w:hAnsi="Times New Roman" w:cs="Times New Roman"/>
          <w:sz w:val="18"/>
          <w:szCs w:val="18"/>
        </w:rPr>
        <w:t>’</w:t>
      </w:r>
      <w:r w:rsidRPr="00FC5A73">
        <w:rPr>
          <w:rFonts w:ascii="Times New Roman" w:hAnsi="Times New Roman" w:cs="Times New Roman"/>
          <w:sz w:val="18"/>
          <w:szCs w:val="18"/>
        </w:rPr>
        <w:t xml:space="preserve">); </w:t>
      </w:r>
      <w:r w:rsidR="002151CF" w:rsidRPr="00FC5A73">
        <w:rPr>
          <w:rFonts w:ascii="Times New Roman" w:hAnsi="Times New Roman" w:cs="Times New Roman"/>
          <w:sz w:val="18"/>
          <w:szCs w:val="18"/>
        </w:rPr>
        <w:t xml:space="preserve">Joanna Perry and Paola Grenier, </w:t>
      </w:r>
      <w:r w:rsidR="002151CF" w:rsidRPr="00FC5A73">
        <w:rPr>
          <w:rFonts w:ascii="Times New Roman" w:hAnsi="Times New Roman" w:cs="Times New Roman"/>
          <w:i/>
          <w:iCs/>
          <w:sz w:val="18"/>
          <w:szCs w:val="18"/>
        </w:rPr>
        <w:t>Humanising Justice: International Report from Voices for Justice – Communicating with Victims of Crime with Disability</w:t>
      </w:r>
      <w:r w:rsidR="002151CF" w:rsidRPr="00FC5A73">
        <w:rPr>
          <w:rFonts w:ascii="Times New Roman" w:hAnsi="Times New Roman" w:cs="Times New Roman"/>
          <w:sz w:val="18"/>
          <w:szCs w:val="18"/>
        </w:rPr>
        <w:t>, Validity Foundation (Budapest, 2022), Chapter 3 (‘</w:t>
      </w:r>
      <w:r w:rsidR="002151CF" w:rsidRPr="00FC5A73">
        <w:rPr>
          <w:rFonts w:ascii="Times New Roman" w:hAnsi="Times New Roman" w:cs="Times New Roman"/>
          <w:i/>
          <w:iCs/>
          <w:sz w:val="18"/>
          <w:szCs w:val="18"/>
        </w:rPr>
        <w:t>Analysis at the interface of UN and EU access to justice standards for victims of crime with disabilities</w:t>
      </w:r>
      <w:r w:rsidR="002151CF" w:rsidRPr="00FC5A73">
        <w:rPr>
          <w:rFonts w:ascii="Times New Roman" w:hAnsi="Times New Roman" w:cs="Times New Roman"/>
          <w:sz w:val="18"/>
          <w:szCs w:val="18"/>
        </w:rPr>
        <w:t xml:space="preserve">’); </w:t>
      </w:r>
      <w:r w:rsidR="009B6555" w:rsidRPr="00FC5A73">
        <w:rPr>
          <w:rFonts w:ascii="Times New Roman" w:hAnsi="Times New Roman" w:cs="Times New Roman"/>
          <w:sz w:val="18"/>
          <w:szCs w:val="18"/>
        </w:rPr>
        <w:t xml:space="preserve">regarding children with disabilities, MDAC, </w:t>
      </w:r>
      <w:r w:rsidR="009B6555" w:rsidRPr="00FC5A73">
        <w:rPr>
          <w:rFonts w:ascii="Times New Roman" w:hAnsi="Times New Roman" w:cs="Times New Roman"/>
          <w:i/>
          <w:iCs/>
          <w:sz w:val="18"/>
          <w:szCs w:val="18"/>
        </w:rPr>
        <w:t>Access to Justice for Children with Mental Disabilities: International Standards and Findings from Ten EU Member States</w:t>
      </w:r>
      <w:r w:rsidR="009B6555" w:rsidRPr="00FC5A73">
        <w:rPr>
          <w:rFonts w:ascii="Times New Roman" w:hAnsi="Times New Roman" w:cs="Times New Roman"/>
          <w:sz w:val="18"/>
          <w:szCs w:val="18"/>
        </w:rPr>
        <w:t xml:space="preserve">, MDAC (Budapest, 2015); and Sarah Woodin, </w:t>
      </w:r>
      <w:r w:rsidR="009B6555" w:rsidRPr="00FC5A73">
        <w:rPr>
          <w:rFonts w:ascii="Times New Roman" w:hAnsi="Times New Roman" w:cs="Times New Roman"/>
          <w:i/>
          <w:iCs/>
          <w:sz w:val="18"/>
          <w:szCs w:val="18"/>
        </w:rPr>
        <w:t>The CHARM Toolkit Piloted: Findings from Visits – Bulgaria, Czech Republic, Hungary and United Kingdom</w:t>
      </w:r>
      <w:r w:rsidR="009B6555" w:rsidRPr="00FC5A73">
        <w:rPr>
          <w:rFonts w:ascii="Times New Roman" w:hAnsi="Times New Roman" w:cs="Times New Roman"/>
          <w:sz w:val="18"/>
          <w:szCs w:val="18"/>
        </w:rPr>
        <w:t>, MDAC (Budapest, 2017), Chapter 6 (‘</w:t>
      </w:r>
      <w:r w:rsidR="009B6555" w:rsidRPr="00FC5A73">
        <w:rPr>
          <w:rFonts w:ascii="Times New Roman" w:hAnsi="Times New Roman" w:cs="Times New Roman"/>
          <w:i/>
          <w:iCs/>
          <w:sz w:val="18"/>
          <w:szCs w:val="18"/>
        </w:rPr>
        <w:t>Analysis of the Findings on Abuse</w:t>
      </w:r>
      <w:r w:rsidR="009B6555" w:rsidRPr="00FC5A73">
        <w:rPr>
          <w:rFonts w:ascii="Times New Roman" w:hAnsi="Times New Roman" w:cs="Times New Roman"/>
          <w:sz w:val="18"/>
          <w:szCs w:val="18"/>
        </w:rPr>
        <w:t>’).</w:t>
      </w:r>
    </w:p>
  </w:footnote>
  <w:footnote w:id="23">
    <w:p w14:paraId="665BA9A4" w14:textId="2EE2AC92" w:rsidR="00EE590E" w:rsidRPr="00FC5A73" w:rsidRDefault="00EE590E">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w:t>
      </w:r>
      <w:r w:rsidR="005A6215" w:rsidRPr="00FC5A73">
        <w:rPr>
          <w:rFonts w:ascii="Times New Roman" w:hAnsi="Times New Roman" w:cs="Times New Roman"/>
          <w:sz w:val="18"/>
          <w:szCs w:val="18"/>
        </w:rPr>
        <w:t xml:space="preserve">See also: United Nations High Commissioner for Human Rights, </w:t>
      </w:r>
      <w:r w:rsidR="005A6215" w:rsidRPr="00FC5A73">
        <w:rPr>
          <w:rFonts w:ascii="Times New Roman" w:hAnsi="Times New Roman" w:cs="Times New Roman"/>
          <w:i/>
          <w:iCs/>
          <w:sz w:val="18"/>
          <w:szCs w:val="18"/>
        </w:rPr>
        <w:t>The Minnesota Protocol on the Investigation of Potentially Unlawful Death: The Revised United Nations Manual on the Effective Prevention and Investigation of Extra-legal, Arbitrary and Summary Executions</w:t>
      </w:r>
      <w:r w:rsidR="005A6215" w:rsidRPr="00FC5A73">
        <w:rPr>
          <w:rFonts w:ascii="Times New Roman" w:hAnsi="Times New Roman" w:cs="Times New Roman"/>
          <w:sz w:val="18"/>
          <w:szCs w:val="18"/>
        </w:rPr>
        <w:t>, OHCHR (Geneva, 2016), particularly Chapter II (‘</w:t>
      </w:r>
      <w:r w:rsidR="005A6215" w:rsidRPr="00FC5A73">
        <w:rPr>
          <w:rFonts w:ascii="Times New Roman" w:hAnsi="Times New Roman" w:cs="Times New Roman"/>
          <w:i/>
          <w:iCs/>
          <w:sz w:val="18"/>
          <w:szCs w:val="18"/>
        </w:rPr>
        <w:t>International Legal Framework</w:t>
      </w:r>
      <w:r w:rsidR="005A6215" w:rsidRPr="00FC5A73">
        <w:rPr>
          <w:rFonts w:ascii="Times New Roman" w:hAnsi="Times New Roman" w:cs="Times New Roman"/>
          <w:sz w:val="18"/>
          <w:szCs w:val="18"/>
        </w:rPr>
        <w:t>’), and Chapter IV. (‘</w:t>
      </w:r>
      <w:r w:rsidR="005A6215" w:rsidRPr="00FC5A73">
        <w:rPr>
          <w:rFonts w:ascii="Times New Roman" w:hAnsi="Times New Roman" w:cs="Times New Roman"/>
          <w:i/>
          <w:iCs/>
          <w:sz w:val="18"/>
          <w:szCs w:val="18"/>
        </w:rPr>
        <w:t>Conduct of an Investigation</w:t>
      </w:r>
      <w:r w:rsidR="005A6215" w:rsidRPr="00FC5A73">
        <w:rPr>
          <w:rFonts w:ascii="Times New Roman" w:hAnsi="Times New Roman" w:cs="Times New Roman"/>
          <w:sz w:val="18"/>
          <w:szCs w:val="18"/>
        </w:rPr>
        <w:t>’).</w:t>
      </w:r>
    </w:p>
  </w:footnote>
  <w:footnote w:id="24">
    <w:p w14:paraId="531DCFA0" w14:textId="077DD334" w:rsidR="005A04FC" w:rsidRPr="00FC5A73" w:rsidRDefault="005A04FC">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See also: CRPD Committee, UN Special Rapporteur on the rights of persons with disabilities and Special Envoy of the Secretary-General of the United Nations on Disability and Accessibility, </w:t>
      </w:r>
      <w:r w:rsidRPr="00FC5A73">
        <w:rPr>
          <w:rFonts w:ascii="Times New Roman" w:hAnsi="Times New Roman" w:cs="Times New Roman"/>
          <w:i/>
          <w:iCs/>
          <w:sz w:val="18"/>
          <w:szCs w:val="18"/>
        </w:rPr>
        <w:t>International Principles and Guidelines on Access to Justice for Persons with Disabilities</w:t>
      </w:r>
      <w:r w:rsidRPr="00FC5A73">
        <w:rPr>
          <w:rFonts w:ascii="Times New Roman" w:hAnsi="Times New Roman" w:cs="Times New Roman"/>
          <w:sz w:val="18"/>
          <w:szCs w:val="18"/>
        </w:rPr>
        <w:t xml:space="preserve"> (Geneva, August 2020)</w:t>
      </w:r>
      <w:r w:rsidR="000152CE" w:rsidRPr="00FC5A73">
        <w:rPr>
          <w:rFonts w:ascii="Times New Roman" w:hAnsi="Times New Roman" w:cs="Times New Roman"/>
          <w:sz w:val="18"/>
          <w:szCs w:val="18"/>
        </w:rPr>
        <w:t>.</w:t>
      </w:r>
    </w:p>
  </w:footnote>
  <w:footnote w:id="25">
    <w:p w14:paraId="5E58A82A" w14:textId="0CCF7676" w:rsidR="002043C5" w:rsidRPr="00FC5A73" w:rsidRDefault="002043C5">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This paragraph, and the next, integrate aspects of General Assembly resolution 60</w:t>
      </w:r>
      <w:r w:rsidR="00FC5A73" w:rsidRPr="00FC5A73">
        <w:rPr>
          <w:rFonts w:ascii="Times New Roman" w:hAnsi="Times New Roman" w:cs="Times New Roman"/>
          <w:sz w:val="18"/>
          <w:szCs w:val="18"/>
        </w:rPr>
        <w:t>/</w:t>
      </w:r>
      <w:r w:rsidRPr="00FC5A73">
        <w:rPr>
          <w:rFonts w:ascii="Times New Roman" w:hAnsi="Times New Roman" w:cs="Times New Roman"/>
          <w:sz w:val="18"/>
          <w:szCs w:val="18"/>
        </w:rPr>
        <w:t xml:space="preserve">147, Basic Principles and Guidelines on the Right to a Remedy and Reparation for Victims of Gross Violations of International Human Rights Law and Serious Violations of International Humanitarian Law, </w:t>
      </w:r>
      <w:r w:rsidR="00FC5A73">
        <w:rPr>
          <w:rFonts w:ascii="Times New Roman" w:hAnsi="Times New Roman" w:cs="Times New Roman"/>
          <w:sz w:val="18"/>
          <w:szCs w:val="18"/>
        </w:rPr>
        <w:t xml:space="preserve">A/RES/60/147, </w:t>
      </w:r>
      <w:r w:rsidRPr="00FC5A73">
        <w:rPr>
          <w:rFonts w:ascii="Times New Roman" w:hAnsi="Times New Roman" w:cs="Times New Roman"/>
          <w:sz w:val="18"/>
          <w:szCs w:val="18"/>
        </w:rPr>
        <w:t>16 December 2005, and particularly Section IX. (‘</w:t>
      </w:r>
      <w:r w:rsidRPr="00FC5A73">
        <w:rPr>
          <w:rFonts w:ascii="Times New Roman" w:hAnsi="Times New Roman" w:cs="Times New Roman"/>
          <w:i/>
          <w:iCs/>
          <w:sz w:val="18"/>
          <w:szCs w:val="18"/>
        </w:rPr>
        <w:t>Reparation for harm suffered</w:t>
      </w:r>
      <w:r w:rsidRPr="00FC5A73">
        <w:rPr>
          <w:rFonts w:ascii="Times New Roman" w:hAnsi="Times New Roman" w:cs="Times New Roman"/>
          <w:sz w:val="18"/>
          <w:szCs w:val="18"/>
        </w:rPr>
        <w:t>’), and Committee against Torture, General Comment No. 3 (2012) on the implementation of article 14 by States parties, CAT/C/GC/3, 13 December 2012, including substantive obligations and the scope of the right to redress (paras. 6</w:t>
      </w:r>
      <w:r w:rsidR="003B3BC5" w:rsidRPr="00FC5A73">
        <w:rPr>
          <w:rFonts w:ascii="Times New Roman" w:hAnsi="Times New Roman" w:cs="Times New Roman"/>
          <w:sz w:val="18"/>
          <w:szCs w:val="18"/>
        </w:rPr>
        <w:t>—</w:t>
      </w:r>
      <w:r w:rsidRPr="00FC5A73">
        <w:rPr>
          <w:rFonts w:ascii="Times New Roman" w:hAnsi="Times New Roman" w:cs="Times New Roman"/>
          <w:sz w:val="18"/>
          <w:szCs w:val="18"/>
        </w:rPr>
        <w:t>7</w:t>
      </w:r>
      <w:r w:rsidR="003B3BC5" w:rsidRPr="00FC5A73">
        <w:rPr>
          <w:rFonts w:ascii="Times New Roman" w:hAnsi="Times New Roman" w:cs="Times New Roman"/>
          <w:sz w:val="18"/>
          <w:szCs w:val="18"/>
        </w:rPr>
        <w:t>)</w:t>
      </w:r>
      <w:r w:rsidRPr="00FC5A73">
        <w:rPr>
          <w:rFonts w:ascii="Times New Roman" w:hAnsi="Times New Roman" w:cs="Times New Roman"/>
          <w:sz w:val="18"/>
          <w:szCs w:val="18"/>
        </w:rPr>
        <w:t>, restitution (para. 8), compensation (paras. 9</w:t>
      </w:r>
      <w:r w:rsidR="003B3BC5" w:rsidRPr="00FC5A73">
        <w:rPr>
          <w:rFonts w:ascii="Times New Roman" w:hAnsi="Times New Roman" w:cs="Times New Roman"/>
          <w:sz w:val="18"/>
          <w:szCs w:val="18"/>
        </w:rPr>
        <w:t>—</w:t>
      </w:r>
      <w:r w:rsidRPr="00FC5A73">
        <w:rPr>
          <w:rFonts w:ascii="Times New Roman" w:hAnsi="Times New Roman" w:cs="Times New Roman"/>
          <w:sz w:val="18"/>
          <w:szCs w:val="18"/>
        </w:rPr>
        <w:t>11</w:t>
      </w:r>
      <w:r w:rsidR="003B3BC5" w:rsidRPr="00FC5A73">
        <w:rPr>
          <w:rFonts w:ascii="Times New Roman" w:hAnsi="Times New Roman" w:cs="Times New Roman"/>
          <w:sz w:val="18"/>
          <w:szCs w:val="18"/>
        </w:rPr>
        <w:t>)</w:t>
      </w:r>
      <w:r w:rsidRPr="00FC5A73">
        <w:rPr>
          <w:rFonts w:ascii="Times New Roman" w:hAnsi="Times New Roman" w:cs="Times New Roman"/>
          <w:sz w:val="18"/>
          <w:szCs w:val="18"/>
        </w:rPr>
        <w:t xml:space="preserve">, </w:t>
      </w:r>
      <w:r w:rsidR="003C28F4" w:rsidRPr="00FC5A73">
        <w:rPr>
          <w:rFonts w:ascii="Times New Roman" w:hAnsi="Times New Roman" w:cs="Times New Roman"/>
          <w:sz w:val="18"/>
          <w:szCs w:val="18"/>
        </w:rPr>
        <w:t>drawing, with appropriate adaptation to the CRPD framework, on the treatment of</w:t>
      </w:r>
      <w:r w:rsidRPr="00FC5A73">
        <w:rPr>
          <w:rFonts w:ascii="Times New Roman" w:hAnsi="Times New Roman" w:cs="Times New Roman"/>
          <w:sz w:val="18"/>
          <w:szCs w:val="18"/>
        </w:rPr>
        <w:t xml:space="preserve"> rehabilitation (paras. 11</w:t>
      </w:r>
      <w:r w:rsidR="003B3BC5" w:rsidRPr="00FC5A73">
        <w:rPr>
          <w:rFonts w:ascii="Times New Roman" w:hAnsi="Times New Roman" w:cs="Times New Roman"/>
          <w:sz w:val="18"/>
          <w:szCs w:val="18"/>
        </w:rPr>
        <w:t>—</w:t>
      </w:r>
      <w:r w:rsidRPr="00FC5A73">
        <w:rPr>
          <w:rFonts w:ascii="Times New Roman" w:hAnsi="Times New Roman" w:cs="Times New Roman"/>
          <w:sz w:val="18"/>
          <w:szCs w:val="18"/>
        </w:rPr>
        <w:t>15), satisfaction and the right to truth (paras. 16</w:t>
      </w:r>
      <w:r w:rsidR="003B3BC5" w:rsidRPr="00FC5A73">
        <w:rPr>
          <w:rFonts w:ascii="Times New Roman" w:hAnsi="Times New Roman" w:cs="Times New Roman"/>
          <w:sz w:val="18"/>
          <w:szCs w:val="18"/>
        </w:rPr>
        <w:t>—</w:t>
      </w:r>
      <w:r w:rsidRPr="00FC5A73">
        <w:rPr>
          <w:rFonts w:ascii="Times New Roman" w:hAnsi="Times New Roman" w:cs="Times New Roman"/>
          <w:sz w:val="18"/>
          <w:szCs w:val="18"/>
        </w:rPr>
        <w:t>17</w:t>
      </w:r>
      <w:r w:rsidR="003B3BC5" w:rsidRPr="00FC5A73">
        <w:rPr>
          <w:rFonts w:ascii="Times New Roman" w:hAnsi="Times New Roman" w:cs="Times New Roman"/>
          <w:sz w:val="18"/>
          <w:szCs w:val="18"/>
        </w:rPr>
        <w:t>)</w:t>
      </w:r>
      <w:r w:rsidR="00E97FB5" w:rsidRPr="00FC5A73">
        <w:rPr>
          <w:rFonts w:ascii="Times New Roman" w:hAnsi="Times New Roman" w:cs="Times New Roman"/>
          <w:sz w:val="18"/>
          <w:szCs w:val="18"/>
        </w:rPr>
        <w:t xml:space="preserve"> and guarantees of non-repetition (para. 18).</w:t>
      </w:r>
    </w:p>
  </w:footnote>
  <w:footnote w:id="26">
    <w:p w14:paraId="61C64C1F" w14:textId="046DF794" w:rsidR="00882C12" w:rsidRPr="00FC5A73" w:rsidRDefault="00882C12">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See, for example: CRPD Committee, Guidelines on deinstitutionalization, including in emergencies, CRPD/C/5, 10 October 2022, Chapter </w:t>
      </w:r>
      <w:r w:rsidR="0027127D" w:rsidRPr="00FC5A73">
        <w:rPr>
          <w:rFonts w:ascii="Times New Roman" w:hAnsi="Times New Roman" w:cs="Times New Roman"/>
          <w:sz w:val="18"/>
          <w:szCs w:val="18"/>
        </w:rPr>
        <w:t>IX (‘</w:t>
      </w:r>
      <w:r w:rsidR="0027127D" w:rsidRPr="00FC5A73">
        <w:rPr>
          <w:rFonts w:ascii="Times New Roman" w:hAnsi="Times New Roman" w:cs="Times New Roman"/>
          <w:i/>
          <w:iCs/>
          <w:sz w:val="18"/>
          <w:szCs w:val="18"/>
        </w:rPr>
        <w:t>Remedies, reparations and redress</w:t>
      </w:r>
      <w:r w:rsidR="0027127D" w:rsidRPr="00FC5A73">
        <w:rPr>
          <w:rFonts w:ascii="Times New Roman" w:hAnsi="Times New Roman" w:cs="Times New Roman"/>
          <w:sz w:val="18"/>
          <w:szCs w:val="18"/>
        </w:rPr>
        <w:t>’).</w:t>
      </w:r>
    </w:p>
  </w:footnote>
  <w:footnote w:id="27">
    <w:p w14:paraId="1BA320F5" w14:textId="6506FD74" w:rsidR="00171D6C" w:rsidRPr="00FC5A73" w:rsidRDefault="00171D6C">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w:t>
      </w:r>
      <w:r w:rsidR="000D0992">
        <w:rPr>
          <w:rFonts w:ascii="Times New Roman" w:hAnsi="Times New Roman" w:cs="Times New Roman"/>
          <w:sz w:val="18"/>
          <w:szCs w:val="18"/>
        </w:rPr>
        <w:t>See footnote 7 above concerning</w:t>
      </w:r>
      <w:r w:rsidR="00A749F8" w:rsidRPr="00FC5A73">
        <w:rPr>
          <w:rFonts w:ascii="Times New Roman" w:hAnsi="Times New Roman" w:cs="Times New Roman"/>
          <w:sz w:val="18"/>
          <w:szCs w:val="18"/>
        </w:rPr>
        <w:t xml:space="preserve"> Validity’s strategic litigation experience.</w:t>
      </w:r>
    </w:p>
  </w:footnote>
  <w:footnote w:id="28">
    <w:p w14:paraId="690A5518" w14:textId="174BFE32" w:rsidR="0040363B" w:rsidRPr="00FC5A73" w:rsidRDefault="0040363B">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See, inter alia: CRPD Committee, General Comment No. 3 (2016) on women and girls with disabilities, CRPD/C/GC/3, 25 November 2016, Chapter IV. (‘</w:t>
      </w:r>
      <w:r w:rsidRPr="00FC5A73">
        <w:rPr>
          <w:rFonts w:ascii="Times New Roman" w:hAnsi="Times New Roman" w:cs="Times New Roman"/>
          <w:i/>
          <w:iCs/>
          <w:sz w:val="18"/>
          <w:szCs w:val="18"/>
        </w:rPr>
        <w:t>Relationship between article 6 and other articles of the Convention</w:t>
      </w:r>
      <w:r w:rsidRPr="00FC5A73">
        <w:rPr>
          <w:rFonts w:ascii="Times New Roman" w:hAnsi="Times New Roman" w:cs="Times New Roman"/>
          <w:sz w:val="18"/>
          <w:szCs w:val="18"/>
        </w:rPr>
        <w:t>’), particularly paras. 29</w:t>
      </w:r>
      <w:r w:rsidR="00A837F8" w:rsidRPr="00FC5A73">
        <w:rPr>
          <w:rFonts w:ascii="Times New Roman" w:hAnsi="Times New Roman" w:cs="Times New Roman"/>
          <w:sz w:val="18"/>
          <w:szCs w:val="18"/>
        </w:rPr>
        <w:t>—</w:t>
      </w:r>
      <w:r w:rsidRPr="00FC5A73">
        <w:rPr>
          <w:rFonts w:ascii="Times New Roman" w:hAnsi="Times New Roman" w:cs="Times New Roman"/>
          <w:sz w:val="18"/>
          <w:szCs w:val="18"/>
        </w:rPr>
        <w:t>37</w:t>
      </w:r>
      <w:r w:rsidR="00A837F8" w:rsidRPr="00FC5A73">
        <w:rPr>
          <w:rFonts w:ascii="Times New Roman" w:hAnsi="Times New Roman" w:cs="Times New Roman"/>
          <w:sz w:val="18"/>
          <w:szCs w:val="18"/>
        </w:rPr>
        <w:t xml:space="preserve"> </w:t>
      </w:r>
      <w:r w:rsidRPr="00FC5A73">
        <w:rPr>
          <w:rFonts w:ascii="Times New Roman" w:hAnsi="Times New Roman" w:cs="Times New Roman"/>
          <w:sz w:val="18"/>
          <w:szCs w:val="18"/>
        </w:rPr>
        <w:t>(freedom from exploitation, violence and abuse), and paras. 38</w:t>
      </w:r>
      <w:r w:rsidR="00A837F8" w:rsidRPr="00FC5A73">
        <w:rPr>
          <w:rFonts w:ascii="Times New Roman" w:hAnsi="Times New Roman" w:cs="Times New Roman"/>
          <w:sz w:val="18"/>
          <w:szCs w:val="18"/>
        </w:rPr>
        <w:t>—</w:t>
      </w:r>
      <w:r w:rsidRPr="00FC5A73">
        <w:rPr>
          <w:rFonts w:ascii="Times New Roman" w:hAnsi="Times New Roman" w:cs="Times New Roman"/>
          <w:sz w:val="18"/>
          <w:szCs w:val="18"/>
        </w:rPr>
        <w:t>46</w:t>
      </w:r>
      <w:r w:rsidR="00A837F8" w:rsidRPr="00FC5A73">
        <w:rPr>
          <w:rFonts w:ascii="Times New Roman" w:hAnsi="Times New Roman" w:cs="Times New Roman"/>
          <w:sz w:val="18"/>
          <w:szCs w:val="18"/>
        </w:rPr>
        <w:t xml:space="preserve"> </w:t>
      </w:r>
      <w:r w:rsidRPr="00FC5A73">
        <w:rPr>
          <w:rFonts w:ascii="Times New Roman" w:hAnsi="Times New Roman" w:cs="Times New Roman"/>
          <w:sz w:val="18"/>
          <w:szCs w:val="18"/>
        </w:rPr>
        <w:t>(sexual and reproductive health and rights, including respect for the home and the family)</w:t>
      </w:r>
      <w:r w:rsidR="001611F0" w:rsidRPr="00FC5A73">
        <w:rPr>
          <w:rFonts w:ascii="Times New Roman" w:hAnsi="Times New Roman" w:cs="Times New Roman"/>
          <w:sz w:val="18"/>
          <w:szCs w:val="18"/>
        </w:rPr>
        <w:t xml:space="preserve">; </w:t>
      </w:r>
      <w:r w:rsidR="007E4A72" w:rsidRPr="00FC5A73">
        <w:rPr>
          <w:rFonts w:ascii="Times New Roman" w:hAnsi="Times New Roman" w:cs="Times New Roman"/>
          <w:sz w:val="18"/>
          <w:szCs w:val="18"/>
        </w:rPr>
        <w:t xml:space="preserve">and </w:t>
      </w:r>
      <w:r w:rsidR="001611F0" w:rsidRPr="00FC5A73">
        <w:rPr>
          <w:rFonts w:ascii="Times New Roman" w:hAnsi="Times New Roman" w:cs="Times New Roman"/>
          <w:sz w:val="18"/>
          <w:szCs w:val="18"/>
        </w:rPr>
        <w:t>CRPD Committee, Guidelines on the right to liberty and security of persons with disabilities, A/72/55, annex, particularly para. 12 (“forced treatment, seclusion and various methods of restraint in medical facilities, including physical, chemical and mechanical restraints”)</w:t>
      </w:r>
      <w:r w:rsidR="007E4A72" w:rsidRPr="00FC5A73">
        <w:rPr>
          <w:rFonts w:ascii="Times New Roman" w:hAnsi="Times New Roman" w:cs="Times New Roman"/>
          <w:sz w:val="18"/>
          <w:szCs w:val="18"/>
        </w:rPr>
        <w:t>.</w:t>
      </w:r>
    </w:p>
  </w:footnote>
  <w:footnote w:id="29">
    <w:p w14:paraId="15466DD9" w14:textId="10DEC9D4" w:rsidR="00FC5A73" w:rsidRPr="00FC5A73" w:rsidRDefault="00FC5A73">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CRPD Committee, Guidelines on deinstitutionalization, including in emergencies, CRPD/C/5, paras. 9—10. </w:t>
      </w:r>
    </w:p>
  </w:footnote>
  <w:footnote w:id="30">
    <w:p w14:paraId="0A2CF7AB" w14:textId="4F029FAF" w:rsidR="00846BA1" w:rsidRPr="00FC5A73" w:rsidRDefault="00846BA1">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CRPD Committee, Guidelines on the right to liberty and security of persons with disabilities, A/72/55 (2017), annex, paras 6</w:t>
      </w:r>
      <w:r w:rsidR="00517512" w:rsidRPr="00FC5A73">
        <w:rPr>
          <w:rFonts w:ascii="Times New Roman" w:hAnsi="Times New Roman" w:cs="Times New Roman"/>
          <w:sz w:val="18"/>
          <w:szCs w:val="18"/>
        </w:rPr>
        <w:t>—</w:t>
      </w:r>
      <w:r w:rsidRPr="00FC5A73">
        <w:rPr>
          <w:rFonts w:ascii="Times New Roman" w:hAnsi="Times New Roman" w:cs="Times New Roman"/>
          <w:sz w:val="18"/>
          <w:szCs w:val="18"/>
        </w:rPr>
        <w:t>15</w:t>
      </w:r>
      <w:r w:rsidR="00517512" w:rsidRPr="00FC5A73">
        <w:rPr>
          <w:rFonts w:ascii="Times New Roman" w:hAnsi="Times New Roman" w:cs="Times New Roman"/>
          <w:sz w:val="18"/>
          <w:szCs w:val="18"/>
        </w:rPr>
        <w:t>.</w:t>
      </w:r>
    </w:p>
  </w:footnote>
  <w:footnote w:id="31">
    <w:p w14:paraId="14032E2D" w14:textId="35FFEDB1" w:rsidR="00CE29CA" w:rsidRPr="00FC5A73" w:rsidRDefault="00CE29CA">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It is beyond the scope of this submission to address, in full, all international crimes including in the context of armed conflict and genocide. As such, this paragraph primarily addresses crimes against humanity. </w:t>
      </w:r>
    </w:p>
  </w:footnote>
  <w:footnote w:id="32">
    <w:p w14:paraId="44C4184F" w14:textId="34039CD4" w:rsidR="00FC5A73" w:rsidRPr="00FC5A73" w:rsidRDefault="00FC5A73">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General Assembly resolution 79/122 (2024) on the United Nations Conference of Plenipotentiaries on Prevention and Punishment of Crimes against Humanity, A/RES/79/122, 4 December 2024.</w:t>
      </w:r>
    </w:p>
  </w:footnote>
  <w:footnote w:id="33">
    <w:p w14:paraId="5064B962" w14:textId="63270710" w:rsidR="00171D6C" w:rsidRPr="00FC5A73" w:rsidRDefault="00171D6C">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w:t>
      </w:r>
      <w:r w:rsidR="003B4268" w:rsidRPr="00FC5A73">
        <w:rPr>
          <w:rFonts w:ascii="Times New Roman" w:hAnsi="Times New Roman" w:cs="Times New Roman"/>
          <w:sz w:val="18"/>
          <w:szCs w:val="18"/>
        </w:rPr>
        <w:t xml:space="preserve">Rome Statute, arts. 7 and 21(3); Security Council Resolution 2475 (2019), para. 2 (“[The Security Council] Emphasizes the need for States to end impunity for criminal acts against civilians, including those with disabilities, and to ensure that such persons have access to justice and effective remedies, and, as appropriate, reparation”); and </w:t>
      </w:r>
      <w:r w:rsidRPr="00FC5A73">
        <w:rPr>
          <w:rFonts w:ascii="Times New Roman" w:hAnsi="Times New Roman" w:cs="Times New Roman"/>
          <w:sz w:val="18"/>
          <w:szCs w:val="18"/>
        </w:rPr>
        <w:t xml:space="preserve">William I. Pons, </w:t>
      </w:r>
      <w:r w:rsidRPr="00FC5A73">
        <w:rPr>
          <w:rFonts w:ascii="Times New Roman" w:hAnsi="Times New Roman" w:cs="Times New Roman"/>
          <w:i/>
          <w:iCs/>
          <w:sz w:val="18"/>
          <w:szCs w:val="18"/>
        </w:rPr>
        <w:t>Towards Inclusive Justice: Addressing Persons with Disabilities in the Convention on the Prevention and Punishment of Crimes against Humanity</w:t>
      </w:r>
      <w:r w:rsidRPr="00FC5A73">
        <w:rPr>
          <w:rFonts w:ascii="Times New Roman" w:hAnsi="Times New Roman" w:cs="Times New Roman"/>
          <w:sz w:val="18"/>
          <w:szCs w:val="18"/>
        </w:rPr>
        <w:t xml:space="preserve">, Initiative for Disability Inclusion in the </w:t>
      </w:r>
      <w:r w:rsidR="001611F0" w:rsidRPr="00FC5A73">
        <w:rPr>
          <w:rFonts w:ascii="Times New Roman" w:hAnsi="Times New Roman" w:cs="Times New Roman"/>
          <w:sz w:val="18"/>
          <w:szCs w:val="18"/>
        </w:rPr>
        <w:t xml:space="preserve">Convention on </w:t>
      </w:r>
      <w:r w:rsidRPr="00FC5A73">
        <w:rPr>
          <w:rFonts w:ascii="Times New Roman" w:hAnsi="Times New Roman" w:cs="Times New Roman"/>
          <w:sz w:val="18"/>
          <w:szCs w:val="18"/>
        </w:rPr>
        <w:t xml:space="preserve">Crimes against Humanity (November 2025), available at </w:t>
      </w:r>
      <w:hyperlink r:id="rId2" w:history="1">
        <w:r w:rsidRPr="00FC5A73">
          <w:rPr>
            <w:rStyle w:val="Hyperlink"/>
            <w:rFonts w:ascii="Times New Roman" w:hAnsi="Times New Roman" w:cs="Times New Roman"/>
            <w:sz w:val="18"/>
            <w:szCs w:val="18"/>
          </w:rPr>
          <w:t>https://globalrightscompliance.org/towards-inclusive-justice-addressing-persons-with-disabilities-in-the-convention-on-crimes-against-humanity/</w:t>
        </w:r>
      </w:hyperlink>
      <w:r w:rsidRPr="00FC5A73">
        <w:rPr>
          <w:rFonts w:ascii="Times New Roman" w:hAnsi="Times New Roman" w:cs="Times New Roman"/>
          <w:sz w:val="18"/>
          <w:szCs w:val="18"/>
        </w:rPr>
        <w:t xml:space="preserve"> (accessed 3 July 2026).</w:t>
      </w:r>
    </w:p>
  </w:footnote>
  <w:footnote w:id="34">
    <w:p w14:paraId="673DF6C5" w14:textId="30ADFC1C" w:rsidR="00CC18CE" w:rsidRPr="00FC5A73" w:rsidRDefault="00CC18CE">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See also: CRPD Committee, Guidelines on independent monitoring frameworks and their participation in the work of the Committee on the Rights of Persons with Disabilities, CRPD/C/1/Rev.1, annex, 10 October 2016.</w:t>
      </w:r>
    </w:p>
  </w:footnote>
  <w:footnote w:id="35">
    <w:p w14:paraId="25437892" w14:textId="60CCBC9A" w:rsidR="00CC18CE" w:rsidRPr="00FC5A73" w:rsidRDefault="00CC18CE">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Validity (formerly MDAC), has also developed guidance concerning </w:t>
      </w:r>
      <w:r w:rsidR="00940252" w:rsidRPr="00FC5A73">
        <w:rPr>
          <w:rFonts w:ascii="Times New Roman" w:hAnsi="Times New Roman" w:cs="Times New Roman"/>
          <w:sz w:val="18"/>
          <w:szCs w:val="18"/>
        </w:rPr>
        <w:t>article</w:t>
      </w:r>
      <w:r w:rsidRPr="00FC5A73">
        <w:rPr>
          <w:rFonts w:ascii="Times New Roman" w:hAnsi="Times New Roman" w:cs="Times New Roman"/>
          <w:sz w:val="18"/>
          <w:szCs w:val="18"/>
        </w:rPr>
        <w:t xml:space="preserve"> 33 of the CRPD, </w:t>
      </w:r>
      <w:r w:rsidR="00981E91" w:rsidRPr="00FC5A73">
        <w:rPr>
          <w:rFonts w:ascii="Times New Roman" w:hAnsi="Times New Roman" w:cs="Times New Roman"/>
          <w:sz w:val="18"/>
          <w:szCs w:val="18"/>
        </w:rPr>
        <w:t>including coordination between independent monitoring mechanisms under article 33(2) and civil</w:t>
      </w:r>
      <w:r w:rsidR="00D21A39" w:rsidRPr="00FC5A73">
        <w:rPr>
          <w:rFonts w:ascii="Times New Roman" w:hAnsi="Times New Roman" w:cs="Times New Roman"/>
          <w:sz w:val="18"/>
          <w:szCs w:val="18"/>
        </w:rPr>
        <w:t xml:space="preserve"> </w:t>
      </w:r>
      <w:r w:rsidR="00981E91" w:rsidRPr="00FC5A73">
        <w:rPr>
          <w:rFonts w:ascii="Times New Roman" w:hAnsi="Times New Roman" w:cs="Times New Roman"/>
          <w:sz w:val="18"/>
          <w:szCs w:val="18"/>
        </w:rPr>
        <w:t>society participation under article 33(3)</w:t>
      </w:r>
      <w:r w:rsidRPr="00FC5A73">
        <w:rPr>
          <w:rFonts w:ascii="Times New Roman" w:hAnsi="Times New Roman" w:cs="Times New Roman"/>
          <w:sz w:val="18"/>
          <w:szCs w:val="18"/>
        </w:rPr>
        <w:t xml:space="preserve">: MDAC, </w:t>
      </w:r>
      <w:r w:rsidRPr="00FC5A73">
        <w:rPr>
          <w:rFonts w:ascii="Times New Roman" w:hAnsi="Times New Roman" w:cs="Times New Roman"/>
          <w:i/>
          <w:iCs/>
          <w:sz w:val="18"/>
          <w:szCs w:val="18"/>
        </w:rPr>
        <w:t>Building the Architecture for Change: Guidelines on Article 33 of the UN Convention on the Rights of Persons with Disabilities</w:t>
      </w:r>
      <w:r w:rsidRPr="00FC5A73">
        <w:rPr>
          <w:rFonts w:ascii="Times New Roman" w:hAnsi="Times New Roman" w:cs="Times New Roman"/>
          <w:sz w:val="18"/>
          <w:szCs w:val="18"/>
        </w:rPr>
        <w:t xml:space="preserve">, MDAC (Budapest, 2011), available at </w:t>
      </w:r>
      <w:hyperlink r:id="rId3" w:history="1">
        <w:r w:rsidRPr="00FC5A73">
          <w:rPr>
            <w:rStyle w:val="Hyperlink"/>
            <w:rFonts w:ascii="Times New Roman" w:hAnsi="Times New Roman" w:cs="Times New Roman"/>
            <w:sz w:val="18"/>
            <w:szCs w:val="18"/>
          </w:rPr>
          <w:t>https://mdac.org/sites/mdac.org/files/Article_33_EN.pdf</w:t>
        </w:r>
      </w:hyperlink>
      <w:r w:rsidRPr="00FC5A73">
        <w:rPr>
          <w:rFonts w:ascii="Times New Roman" w:hAnsi="Times New Roman" w:cs="Times New Roman"/>
          <w:sz w:val="18"/>
          <w:szCs w:val="18"/>
        </w:rPr>
        <w:t xml:space="preserve"> (accessed: 2 July 2026). </w:t>
      </w:r>
    </w:p>
  </w:footnote>
  <w:footnote w:id="36">
    <w:p w14:paraId="2C2FBD6D" w14:textId="10F4E4E7" w:rsidR="00CE0128" w:rsidRPr="00FC5A73" w:rsidRDefault="00CE0128">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See also, Subcommittee on the Prevention of Torture</w:t>
      </w:r>
      <w:r w:rsidR="00634726" w:rsidRPr="00FC5A73">
        <w:rPr>
          <w:rFonts w:ascii="Times New Roman" w:hAnsi="Times New Roman" w:cs="Times New Roman"/>
          <w:sz w:val="18"/>
          <w:szCs w:val="18"/>
        </w:rPr>
        <w:t xml:space="preserve"> and Other Cruel, Inhuman or Degrading Treatment or Punishment</w:t>
      </w:r>
      <w:r w:rsidRPr="00FC5A73">
        <w:rPr>
          <w:rFonts w:ascii="Times New Roman" w:hAnsi="Times New Roman" w:cs="Times New Roman"/>
          <w:sz w:val="18"/>
          <w:szCs w:val="18"/>
        </w:rPr>
        <w:t xml:space="preserve"> (“SPT”), </w:t>
      </w:r>
      <w:r w:rsidR="00634726" w:rsidRPr="00FC5A73">
        <w:rPr>
          <w:rFonts w:ascii="Times New Roman" w:hAnsi="Times New Roman" w:cs="Times New Roman"/>
          <w:sz w:val="18"/>
          <w:szCs w:val="18"/>
        </w:rPr>
        <w:t xml:space="preserve">General Comment No. 1 (2024) on article 4 of the Optional Protocol (places of deprivation of liberty), CAT/OP/GC/1, 4 July 2024, paras. </w:t>
      </w:r>
      <w:r w:rsidR="00CC18CE" w:rsidRPr="00FC5A73">
        <w:rPr>
          <w:rFonts w:ascii="Times New Roman" w:hAnsi="Times New Roman" w:cs="Times New Roman"/>
          <w:sz w:val="18"/>
          <w:szCs w:val="18"/>
        </w:rPr>
        <w:t>2</w:t>
      </w:r>
      <w:r w:rsidR="00D21A39" w:rsidRPr="00FC5A73">
        <w:rPr>
          <w:rFonts w:ascii="Times New Roman" w:hAnsi="Times New Roman" w:cs="Times New Roman"/>
          <w:sz w:val="18"/>
          <w:szCs w:val="18"/>
        </w:rPr>
        <w:t>—</w:t>
      </w:r>
      <w:r w:rsidR="00CC18CE" w:rsidRPr="00FC5A73">
        <w:rPr>
          <w:rFonts w:ascii="Times New Roman" w:hAnsi="Times New Roman" w:cs="Times New Roman"/>
          <w:sz w:val="18"/>
          <w:szCs w:val="18"/>
        </w:rPr>
        <w:t>12</w:t>
      </w:r>
      <w:r w:rsidR="00D21A39" w:rsidRPr="00FC5A73">
        <w:rPr>
          <w:rFonts w:ascii="Times New Roman" w:hAnsi="Times New Roman" w:cs="Times New Roman"/>
          <w:sz w:val="18"/>
          <w:szCs w:val="18"/>
        </w:rPr>
        <w:t>,</w:t>
      </w:r>
      <w:r w:rsidR="00CC18CE" w:rsidRPr="00FC5A73">
        <w:rPr>
          <w:rFonts w:ascii="Times New Roman" w:hAnsi="Times New Roman" w:cs="Times New Roman"/>
          <w:sz w:val="18"/>
          <w:szCs w:val="18"/>
        </w:rPr>
        <w:t xml:space="preserve"> </w:t>
      </w:r>
      <w:r w:rsidR="00634726" w:rsidRPr="00FC5A73">
        <w:rPr>
          <w:rFonts w:ascii="Times New Roman" w:hAnsi="Times New Roman" w:cs="Times New Roman"/>
          <w:sz w:val="18"/>
          <w:szCs w:val="18"/>
        </w:rPr>
        <w:t>15</w:t>
      </w:r>
      <w:r w:rsidR="00885B6F">
        <w:rPr>
          <w:rFonts w:ascii="Times New Roman" w:hAnsi="Times New Roman" w:cs="Times New Roman"/>
          <w:sz w:val="18"/>
          <w:szCs w:val="18"/>
        </w:rPr>
        <w:t>—</w:t>
      </w:r>
      <w:r w:rsidR="00634726" w:rsidRPr="00FC5A73">
        <w:rPr>
          <w:rFonts w:ascii="Times New Roman" w:hAnsi="Times New Roman" w:cs="Times New Roman"/>
          <w:sz w:val="18"/>
          <w:szCs w:val="18"/>
        </w:rPr>
        <w:t>16</w:t>
      </w:r>
      <w:r w:rsidR="00885B6F">
        <w:rPr>
          <w:rFonts w:ascii="Times New Roman" w:hAnsi="Times New Roman" w:cs="Times New Roman"/>
          <w:sz w:val="18"/>
          <w:szCs w:val="18"/>
        </w:rPr>
        <w:t>,</w:t>
      </w:r>
      <w:r w:rsidR="00634726" w:rsidRPr="00FC5A73">
        <w:rPr>
          <w:rFonts w:ascii="Times New Roman" w:hAnsi="Times New Roman" w:cs="Times New Roman"/>
          <w:sz w:val="18"/>
          <w:szCs w:val="18"/>
        </w:rPr>
        <w:t xml:space="preserve"> 24,</w:t>
      </w:r>
      <w:r w:rsidR="00CC18CE" w:rsidRPr="00FC5A73">
        <w:rPr>
          <w:rFonts w:ascii="Times New Roman" w:hAnsi="Times New Roman" w:cs="Times New Roman"/>
          <w:sz w:val="18"/>
          <w:szCs w:val="18"/>
        </w:rPr>
        <w:t xml:space="preserve"> 40</w:t>
      </w:r>
      <w:r w:rsidR="00D21A39" w:rsidRPr="00FC5A73">
        <w:rPr>
          <w:rFonts w:ascii="Times New Roman" w:hAnsi="Times New Roman" w:cs="Times New Roman"/>
          <w:sz w:val="18"/>
          <w:szCs w:val="18"/>
        </w:rPr>
        <w:t>—</w:t>
      </w:r>
      <w:r w:rsidR="00CC18CE" w:rsidRPr="00FC5A73">
        <w:rPr>
          <w:rFonts w:ascii="Times New Roman" w:hAnsi="Times New Roman" w:cs="Times New Roman"/>
          <w:sz w:val="18"/>
          <w:szCs w:val="18"/>
        </w:rPr>
        <w:t>41</w:t>
      </w:r>
      <w:r w:rsidR="00D21A39" w:rsidRPr="00FC5A73">
        <w:rPr>
          <w:rFonts w:ascii="Times New Roman" w:hAnsi="Times New Roman" w:cs="Times New Roman"/>
          <w:sz w:val="18"/>
          <w:szCs w:val="18"/>
        </w:rPr>
        <w:t>,</w:t>
      </w:r>
      <w:r w:rsidR="00634726" w:rsidRPr="00FC5A73">
        <w:rPr>
          <w:rFonts w:ascii="Times New Roman" w:hAnsi="Times New Roman" w:cs="Times New Roman"/>
          <w:sz w:val="18"/>
          <w:szCs w:val="18"/>
        </w:rPr>
        <w:t xml:space="preserve"> 44, 52, 53 and 56</w:t>
      </w:r>
      <w:r w:rsidR="00D21A39" w:rsidRPr="00FC5A73">
        <w:rPr>
          <w:rFonts w:ascii="Times New Roman" w:hAnsi="Times New Roman" w:cs="Times New Roman"/>
          <w:sz w:val="18"/>
          <w:szCs w:val="18"/>
        </w:rPr>
        <w:t>—</w:t>
      </w:r>
      <w:r w:rsidR="00634726" w:rsidRPr="00FC5A73">
        <w:rPr>
          <w:rFonts w:ascii="Times New Roman" w:hAnsi="Times New Roman" w:cs="Times New Roman"/>
          <w:sz w:val="18"/>
          <w:szCs w:val="18"/>
        </w:rPr>
        <w:t>58</w:t>
      </w:r>
      <w:r w:rsidR="00D21A39" w:rsidRPr="00FC5A73">
        <w:rPr>
          <w:rFonts w:ascii="Times New Roman" w:hAnsi="Times New Roman" w:cs="Times New Roman"/>
          <w:sz w:val="18"/>
          <w:szCs w:val="18"/>
        </w:rPr>
        <w:t>.</w:t>
      </w:r>
    </w:p>
  </w:footnote>
  <w:footnote w:id="37">
    <w:p w14:paraId="287CB280" w14:textId="4F30E45D" w:rsidR="00433B4B" w:rsidRPr="00FC5A73" w:rsidRDefault="00433B4B">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See, for example:</w:t>
      </w:r>
      <w:r w:rsidR="00C90AC7">
        <w:rPr>
          <w:rFonts w:ascii="Times New Roman" w:hAnsi="Times New Roman" w:cs="Times New Roman"/>
          <w:sz w:val="18"/>
          <w:szCs w:val="18"/>
        </w:rPr>
        <w:t xml:space="preserve"> ECtHR,</w:t>
      </w:r>
      <w:r w:rsidRPr="00FC5A73">
        <w:rPr>
          <w:rFonts w:ascii="Times New Roman" w:hAnsi="Times New Roman" w:cs="Times New Roman"/>
          <w:sz w:val="18"/>
          <w:szCs w:val="18"/>
        </w:rPr>
        <w:t xml:space="preserve"> </w:t>
      </w:r>
      <w:r w:rsidRPr="00FC5A73">
        <w:rPr>
          <w:rFonts w:ascii="Times New Roman" w:hAnsi="Times New Roman" w:cs="Times New Roman"/>
          <w:i/>
          <w:iCs/>
          <w:sz w:val="18"/>
          <w:szCs w:val="18"/>
        </w:rPr>
        <w:t>I.C. v the Republic of Moldova</w:t>
      </w:r>
      <w:r w:rsidRPr="00FC5A73">
        <w:rPr>
          <w:rFonts w:ascii="Times New Roman" w:hAnsi="Times New Roman" w:cs="Times New Roman"/>
          <w:sz w:val="18"/>
          <w:szCs w:val="18"/>
        </w:rPr>
        <w:t xml:space="preserve">, </w:t>
      </w:r>
      <w:r w:rsidR="00C90AC7">
        <w:rPr>
          <w:rFonts w:ascii="Times New Roman" w:hAnsi="Times New Roman" w:cs="Times New Roman"/>
          <w:sz w:val="18"/>
          <w:szCs w:val="18"/>
        </w:rPr>
        <w:t>App. N</w:t>
      </w:r>
      <w:r w:rsidRPr="00FC5A73">
        <w:rPr>
          <w:rFonts w:ascii="Times New Roman" w:hAnsi="Times New Roman" w:cs="Times New Roman"/>
          <w:sz w:val="18"/>
          <w:szCs w:val="18"/>
        </w:rPr>
        <w:t xml:space="preserve">o. 36436/22, </w:t>
      </w:r>
      <w:r w:rsidR="00C90AC7">
        <w:rPr>
          <w:rFonts w:ascii="Times New Roman" w:hAnsi="Times New Roman" w:cs="Times New Roman"/>
          <w:sz w:val="18"/>
          <w:szCs w:val="18"/>
        </w:rPr>
        <w:t xml:space="preserve">judgment of </w:t>
      </w:r>
      <w:r w:rsidRPr="00FC5A73">
        <w:rPr>
          <w:rFonts w:ascii="Times New Roman" w:hAnsi="Times New Roman" w:cs="Times New Roman"/>
          <w:sz w:val="18"/>
          <w:szCs w:val="18"/>
        </w:rPr>
        <w:t>27 February 2025; and</w:t>
      </w:r>
      <w:r w:rsidR="00C90AC7">
        <w:rPr>
          <w:rFonts w:ascii="Times New Roman" w:hAnsi="Times New Roman" w:cs="Times New Roman"/>
          <w:sz w:val="18"/>
          <w:szCs w:val="18"/>
        </w:rPr>
        <w:t xml:space="preserve"> ECtHR,</w:t>
      </w:r>
      <w:r w:rsidRPr="00FC5A73">
        <w:rPr>
          <w:rFonts w:ascii="Times New Roman" w:hAnsi="Times New Roman" w:cs="Times New Roman"/>
          <w:sz w:val="18"/>
          <w:szCs w:val="18"/>
        </w:rPr>
        <w:t xml:space="preserve"> </w:t>
      </w:r>
      <w:r w:rsidRPr="00FC5A73">
        <w:rPr>
          <w:rFonts w:ascii="Times New Roman" w:hAnsi="Times New Roman" w:cs="Times New Roman"/>
          <w:i/>
          <w:iCs/>
          <w:sz w:val="18"/>
          <w:szCs w:val="18"/>
        </w:rPr>
        <w:t>Validity Foundation on behalf of T.J. v Hungary</w:t>
      </w:r>
      <w:r w:rsidRPr="00FC5A73">
        <w:rPr>
          <w:rFonts w:ascii="Times New Roman" w:hAnsi="Times New Roman" w:cs="Times New Roman"/>
          <w:sz w:val="18"/>
          <w:szCs w:val="18"/>
        </w:rPr>
        <w:t xml:space="preserve">, </w:t>
      </w:r>
      <w:r w:rsidR="00C90AC7">
        <w:rPr>
          <w:rFonts w:ascii="Times New Roman" w:hAnsi="Times New Roman" w:cs="Times New Roman"/>
          <w:sz w:val="18"/>
          <w:szCs w:val="18"/>
        </w:rPr>
        <w:t>App. N</w:t>
      </w:r>
      <w:r w:rsidRPr="00FC5A73">
        <w:rPr>
          <w:rFonts w:ascii="Times New Roman" w:hAnsi="Times New Roman" w:cs="Times New Roman"/>
          <w:sz w:val="18"/>
          <w:szCs w:val="18"/>
        </w:rPr>
        <w:t xml:space="preserve">o. 31970/20, </w:t>
      </w:r>
      <w:r w:rsidR="00C90AC7">
        <w:rPr>
          <w:rFonts w:ascii="Times New Roman" w:hAnsi="Times New Roman" w:cs="Times New Roman"/>
          <w:sz w:val="18"/>
          <w:szCs w:val="18"/>
        </w:rPr>
        <w:t xml:space="preserve">judgment of </w:t>
      </w:r>
      <w:r w:rsidRPr="00FC5A73">
        <w:rPr>
          <w:rFonts w:ascii="Times New Roman" w:hAnsi="Times New Roman" w:cs="Times New Roman"/>
          <w:sz w:val="18"/>
          <w:szCs w:val="18"/>
        </w:rPr>
        <w:t>10 October 2024</w:t>
      </w:r>
      <w:r w:rsidR="00C90AC7">
        <w:rPr>
          <w:rFonts w:ascii="Times New Roman" w:hAnsi="Times New Roman" w:cs="Times New Roman"/>
          <w:sz w:val="18"/>
          <w:szCs w:val="18"/>
        </w:rPr>
        <w:t>.</w:t>
      </w:r>
    </w:p>
  </w:footnote>
  <w:footnote w:id="38">
    <w:p w14:paraId="1CAB7913" w14:textId="4F9C466A" w:rsidR="0018095E" w:rsidRPr="00FC5A73" w:rsidRDefault="0018095E">
      <w:pPr>
        <w:pStyle w:val="FootnoteText"/>
        <w:rPr>
          <w:rFonts w:ascii="Times New Roman" w:hAnsi="Times New Roman" w:cs="Times New Roman"/>
          <w:sz w:val="18"/>
          <w:szCs w:val="18"/>
        </w:rPr>
      </w:pPr>
      <w:r w:rsidRPr="00FC5A73">
        <w:rPr>
          <w:rStyle w:val="FootnoteReference"/>
          <w:rFonts w:ascii="Times New Roman" w:hAnsi="Times New Roman" w:cs="Times New Roman"/>
          <w:sz w:val="18"/>
          <w:szCs w:val="18"/>
        </w:rPr>
        <w:footnoteRef/>
      </w:r>
      <w:r w:rsidRPr="00FC5A73">
        <w:rPr>
          <w:rFonts w:ascii="Times New Roman" w:hAnsi="Times New Roman" w:cs="Times New Roman"/>
          <w:sz w:val="18"/>
          <w:szCs w:val="18"/>
        </w:rPr>
        <w:t xml:space="preserve"> The authors also note the obligation of regional organisations to refrain from adopting standards beneath those guaranteed under the CRPD, as the CRPD Committee recently commented regarding a Council of Europe proposal to adopt a draft Protocol to the Convention on Bioethics (known as the “Oviedo Convention” and “Oviedo Protocol”). See: CRPD Committee, Open Letter to the Council of Europe (‘</w:t>
      </w:r>
      <w:r w:rsidRPr="00FC5A73">
        <w:rPr>
          <w:rFonts w:ascii="Times New Roman" w:hAnsi="Times New Roman" w:cs="Times New Roman"/>
          <w:i/>
          <w:iCs/>
          <w:sz w:val="18"/>
          <w:szCs w:val="18"/>
        </w:rPr>
        <w:t>The Council of Europe must immediately halt any action that perpetuate</w:t>
      </w:r>
      <w:r w:rsidR="00A56CD6" w:rsidRPr="00FC5A73">
        <w:rPr>
          <w:rFonts w:ascii="Times New Roman" w:hAnsi="Times New Roman" w:cs="Times New Roman"/>
          <w:i/>
          <w:iCs/>
          <w:sz w:val="18"/>
          <w:szCs w:val="18"/>
        </w:rPr>
        <w:t>s</w:t>
      </w:r>
      <w:r w:rsidRPr="00FC5A73">
        <w:rPr>
          <w:rFonts w:ascii="Times New Roman" w:hAnsi="Times New Roman" w:cs="Times New Roman"/>
          <w:i/>
          <w:iCs/>
          <w:sz w:val="18"/>
          <w:szCs w:val="18"/>
        </w:rPr>
        <w:t xml:space="preserve"> coercion in mental health</w:t>
      </w:r>
      <w:r w:rsidRPr="00FC5A73">
        <w:rPr>
          <w:rFonts w:ascii="Times New Roman" w:hAnsi="Times New Roman" w:cs="Times New Roman"/>
          <w:sz w:val="18"/>
          <w:szCs w:val="18"/>
        </w:rPr>
        <w:t>’), 1 July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8E0C7" w14:textId="547263DB" w:rsidR="00CE7C13" w:rsidRPr="00CE7C13" w:rsidRDefault="00CE7C13" w:rsidP="00CE7C13">
    <w:pPr>
      <w:pStyle w:val="Header"/>
      <w:jc w:val="center"/>
    </w:pPr>
    <w:r w:rsidRPr="00CE7C13">
      <w:rPr>
        <w:noProof/>
      </w:rPr>
      <w:drawing>
        <wp:inline distT="0" distB="0" distL="0" distR="0" wp14:anchorId="7E6910DD" wp14:editId="6857EAE1">
          <wp:extent cx="2190750" cy="690163"/>
          <wp:effectExtent l="0" t="0" r="0" b="0"/>
          <wp:docPr id="801511616"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511616" name="Picture 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8778" cy="695843"/>
                  </a:xfrm>
                  <a:prstGeom prst="rect">
                    <a:avLst/>
                  </a:prstGeom>
                  <a:noFill/>
                  <a:ln>
                    <a:noFill/>
                  </a:ln>
                </pic:spPr>
              </pic:pic>
            </a:graphicData>
          </a:graphic>
        </wp:inline>
      </w:drawing>
    </w:r>
  </w:p>
  <w:p w14:paraId="04D7E371" w14:textId="3D13EE6D" w:rsidR="0004634B" w:rsidRPr="0004634B" w:rsidRDefault="0004634B" w:rsidP="0004634B">
    <w:pPr>
      <w:pStyle w:val="Header"/>
      <w:jc w:val="center"/>
    </w:pPr>
  </w:p>
  <w:p w14:paraId="693D297C" w14:textId="77777777" w:rsidR="0004634B" w:rsidRPr="0004634B" w:rsidRDefault="0004634B">
    <w:pPr>
      <w:pStyle w:val="Header"/>
      <w:rPr>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8E1FD" w14:textId="443F9FEC" w:rsidR="00CE7C13" w:rsidRPr="00CE7C13" w:rsidRDefault="00CE7C13" w:rsidP="00CE7C13">
    <w:pPr>
      <w:pStyle w:val="Header"/>
      <w:jc w:val="center"/>
    </w:pPr>
    <w:r w:rsidRPr="00CE7C13">
      <w:rPr>
        <w:noProof/>
      </w:rPr>
      <w:drawing>
        <wp:inline distT="0" distB="0" distL="0" distR="0" wp14:anchorId="42674402" wp14:editId="350B0044">
          <wp:extent cx="2418779" cy="762000"/>
          <wp:effectExtent l="0" t="0" r="635" b="0"/>
          <wp:docPr id="1880148521" name="Picture 6" descr="Logo of the Validity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148521" name="Picture 6" descr="Logo of the Validity Foundat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1024" cy="765858"/>
                  </a:xfrm>
                  <a:prstGeom prst="rect">
                    <a:avLst/>
                  </a:prstGeom>
                  <a:noFill/>
                  <a:ln>
                    <a:noFill/>
                  </a:ln>
                </pic:spPr>
              </pic:pic>
            </a:graphicData>
          </a:graphic>
        </wp:inline>
      </w:drawing>
    </w:r>
  </w:p>
  <w:p w14:paraId="2CC792AB" w14:textId="77777777" w:rsidR="00CE7C13" w:rsidRDefault="00CE7C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C335F" w14:textId="17AF72DA" w:rsidR="00CE7C13" w:rsidRPr="00CE7C13" w:rsidRDefault="00CE7C13" w:rsidP="00CE7C13">
    <w:pPr>
      <w:pStyle w:val="Header"/>
      <w:jc w:val="center"/>
    </w:pPr>
  </w:p>
  <w:p w14:paraId="507B72A4" w14:textId="77777777" w:rsidR="00CE7C13" w:rsidRPr="0004634B" w:rsidRDefault="00CE7C13" w:rsidP="0004634B">
    <w:pPr>
      <w:pStyle w:val="Header"/>
      <w:jc w:val="center"/>
    </w:pPr>
  </w:p>
  <w:p w14:paraId="2AE9E116" w14:textId="77777777" w:rsidR="00CE7C13" w:rsidRPr="0004634B" w:rsidRDefault="00CE7C13">
    <w:pPr>
      <w:pStyle w:val="Header"/>
      <w:rPr>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C3D27"/>
    <w:multiLevelType w:val="hybridMultilevel"/>
    <w:tmpl w:val="C80A9DF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40A6E77"/>
    <w:multiLevelType w:val="hybridMultilevel"/>
    <w:tmpl w:val="5B1834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952E93"/>
    <w:multiLevelType w:val="multilevel"/>
    <w:tmpl w:val="FAFEA7F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4A7DE1"/>
    <w:multiLevelType w:val="hybridMultilevel"/>
    <w:tmpl w:val="00D2E7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2F5650"/>
    <w:multiLevelType w:val="hybridMultilevel"/>
    <w:tmpl w:val="EA3E10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460910"/>
    <w:multiLevelType w:val="hybridMultilevel"/>
    <w:tmpl w:val="68A29C5C"/>
    <w:lvl w:ilvl="0" w:tplc="0D40BE42">
      <w:start w:val="1"/>
      <w:numFmt w:val="decimal"/>
      <w:lvlText w:val="%1."/>
      <w:lvlJc w:val="left"/>
      <w:pPr>
        <w:ind w:left="360" w:hanging="36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4B9476B"/>
    <w:multiLevelType w:val="multilevel"/>
    <w:tmpl w:val="4D485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676735"/>
    <w:multiLevelType w:val="hybridMultilevel"/>
    <w:tmpl w:val="413CE7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2921256">
    <w:abstractNumId w:val="5"/>
  </w:num>
  <w:num w:numId="2" w16cid:durableId="481698987">
    <w:abstractNumId w:val="0"/>
  </w:num>
  <w:num w:numId="3" w16cid:durableId="187840920">
    <w:abstractNumId w:val="4"/>
  </w:num>
  <w:num w:numId="4" w16cid:durableId="863132527">
    <w:abstractNumId w:val="7"/>
  </w:num>
  <w:num w:numId="5" w16cid:durableId="1418360600">
    <w:abstractNumId w:val="3"/>
  </w:num>
  <w:num w:numId="6" w16cid:durableId="803888020">
    <w:abstractNumId w:val="1"/>
  </w:num>
  <w:num w:numId="7" w16cid:durableId="982270962">
    <w:abstractNumId w:val="6"/>
  </w:num>
  <w:num w:numId="8" w16cid:durableId="8301045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34B"/>
    <w:rsid w:val="00002AB4"/>
    <w:rsid w:val="00002E6E"/>
    <w:rsid w:val="000035BB"/>
    <w:rsid w:val="00003667"/>
    <w:rsid w:val="0001206C"/>
    <w:rsid w:val="000128C3"/>
    <w:rsid w:val="000152CE"/>
    <w:rsid w:val="000207F1"/>
    <w:rsid w:val="000329FF"/>
    <w:rsid w:val="00041287"/>
    <w:rsid w:val="0004232D"/>
    <w:rsid w:val="00042830"/>
    <w:rsid w:val="0004634B"/>
    <w:rsid w:val="00051CDA"/>
    <w:rsid w:val="000704BF"/>
    <w:rsid w:val="00071477"/>
    <w:rsid w:val="00071E04"/>
    <w:rsid w:val="00082679"/>
    <w:rsid w:val="0008383F"/>
    <w:rsid w:val="00087328"/>
    <w:rsid w:val="00090486"/>
    <w:rsid w:val="00095CBF"/>
    <w:rsid w:val="000A1A0F"/>
    <w:rsid w:val="000A3336"/>
    <w:rsid w:val="000B2BBC"/>
    <w:rsid w:val="000B5517"/>
    <w:rsid w:val="000B5E46"/>
    <w:rsid w:val="000B720F"/>
    <w:rsid w:val="000C108B"/>
    <w:rsid w:val="000C1FD2"/>
    <w:rsid w:val="000C5CBF"/>
    <w:rsid w:val="000C6735"/>
    <w:rsid w:val="000D0992"/>
    <w:rsid w:val="000D6F34"/>
    <w:rsid w:val="000E4A9F"/>
    <w:rsid w:val="000E4D82"/>
    <w:rsid w:val="000F34E0"/>
    <w:rsid w:val="000F65F9"/>
    <w:rsid w:val="000F693B"/>
    <w:rsid w:val="000F7C8E"/>
    <w:rsid w:val="00102644"/>
    <w:rsid w:val="0010486F"/>
    <w:rsid w:val="00105668"/>
    <w:rsid w:val="00107AFB"/>
    <w:rsid w:val="00107EEF"/>
    <w:rsid w:val="00112094"/>
    <w:rsid w:val="00117542"/>
    <w:rsid w:val="001176A2"/>
    <w:rsid w:val="00120E9B"/>
    <w:rsid w:val="00126BD5"/>
    <w:rsid w:val="00126D72"/>
    <w:rsid w:val="00130EDB"/>
    <w:rsid w:val="00141C8A"/>
    <w:rsid w:val="00145DD2"/>
    <w:rsid w:val="00147ABE"/>
    <w:rsid w:val="00151677"/>
    <w:rsid w:val="0015381C"/>
    <w:rsid w:val="00155A20"/>
    <w:rsid w:val="00156E9A"/>
    <w:rsid w:val="00160190"/>
    <w:rsid w:val="001611F0"/>
    <w:rsid w:val="00167DAF"/>
    <w:rsid w:val="00171D6C"/>
    <w:rsid w:val="00173AB8"/>
    <w:rsid w:val="001746FC"/>
    <w:rsid w:val="00175444"/>
    <w:rsid w:val="00177A31"/>
    <w:rsid w:val="0018095E"/>
    <w:rsid w:val="00181ACE"/>
    <w:rsid w:val="00186031"/>
    <w:rsid w:val="00193DCD"/>
    <w:rsid w:val="001A1274"/>
    <w:rsid w:val="001B0075"/>
    <w:rsid w:val="001B386F"/>
    <w:rsid w:val="001B4B84"/>
    <w:rsid w:val="001B5BE4"/>
    <w:rsid w:val="001B68D8"/>
    <w:rsid w:val="001C1AC6"/>
    <w:rsid w:val="001C690C"/>
    <w:rsid w:val="001C7F13"/>
    <w:rsid w:val="001D143C"/>
    <w:rsid w:val="001E0E64"/>
    <w:rsid w:val="001E3B41"/>
    <w:rsid w:val="001F2D98"/>
    <w:rsid w:val="001F4DE5"/>
    <w:rsid w:val="002043C5"/>
    <w:rsid w:val="00214A88"/>
    <w:rsid w:val="002151CF"/>
    <w:rsid w:val="00227776"/>
    <w:rsid w:val="002321C7"/>
    <w:rsid w:val="00233F60"/>
    <w:rsid w:val="00237313"/>
    <w:rsid w:val="002428E4"/>
    <w:rsid w:val="0024630F"/>
    <w:rsid w:val="00251DDD"/>
    <w:rsid w:val="00252493"/>
    <w:rsid w:val="0026356A"/>
    <w:rsid w:val="00263A98"/>
    <w:rsid w:val="0027127D"/>
    <w:rsid w:val="002714DD"/>
    <w:rsid w:val="002720D1"/>
    <w:rsid w:val="0027376E"/>
    <w:rsid w:val="00276B43"/>
    <w:rsid w:val="002773E6"/>
    <w:rsid w:val="002875AA"/>
    <w:rsid w:val="00291F22"/>
    <w:rsid w:val="00296C37"/>
    <w:rsid w:val="002A044F"/>
    <w:rsid w:val="002A4816"/>
    <w:rsid w:val="002A759F"/>
    <w:rsid w:val="002B0911"/>
    <w:rsid w:val="002B56DE"/>
    <w:rsid w:val="002B732D"/>
    <w:rsid w:val="002B7FEC"/>
    <w:rsid w:val="002C3F3F"/>
    <w:rsid w:val="002D710A"/>
    <w:rsid w:val="002D73A3"/>
    <w:rsid w:val="002E281C"/>
    <w:rsid w:val="002E3C62"/>
    <w:rsid w:val="002E3F7C"/>
    <w:rsid w:val="002E6138"/>
    <w:rsid w:val="002F1255"/>
    <w:rsid w:val="002F1457"/>
    <w:rsid w:val="002F17C8"/>
    <w:rsid w:val="002F2F77"/>
    <w:rsid w:val="002F7DE2"/>
    <w:rsid w:val="00303076"/>
    <w:rsid w:val="00303989"/>
    <w:rsid w:val="003102CF"/>
    <w:rsid w:val="003121B4"/>
    <w:rsid w:val="0031496A"/>
    <w:rsid w:val="00314975"/>
    <w:rsid w:val="00314BCE"/>
    <w:rsid w:val="00322758"/>
    <w:rsid w:val="003233D5"/>
    <w:rsid w:val="00326FAB"/>
    <w:rsid w:val="00331B52"/>
    <w:rsid w:val="003416E7"/>
    <w:rsid w:val="00343CA2"/>
    <w:rsid w:val="003641A1"/>
    <w:rsid w:val="003660A0"/>
    <w:rsid w:val="0037199A"/>
    <w:rsid w:val="003734F5"/>
    <w:rsid w:val="0038026B"/>
    <w:rsid w:val="003840D1"/>
    <w:rsid w:val="00385495"/>
    <w:rsid w:val="003866D6"/>
    <w:rsid w:val="00386FB8"/>
    <w:rsid w:val="00391450"/>
    <w:rsid w:val="00393139"/>
    <w:rsid w:val="00395F99"/>
    <w:rsid w:val="00396219"/>
    <w:rsid w:val="003A24AF"/>
    <w:rsid w:val="003A270B"/>
    <w:rsid w:val="003A336D"/>
    <w:rsid w:val="003A3ABB"/>
    <w:rsid w:val="003A3BB5"/>
    <w:rsid w:val="003B08FB"/>
    <w:rsid w:val="003B1063"/>
    <w:rsid w:val="003B3BC5"/>
    <w:rsid w:val="003B4268"/>
    <w:rsid w:val="003B554C"/>
    <w:rsid w:val="003B5663"/>
    <w:rsid w:val="003B69AA"/>
    <w:rsid w:val="003B7CF4"/>
    <w:rsid w:val="003C28F4"/>
    <w:rsid w:val="003C39C9"/>
    <w:rsid w:val="003C52E3"/>
    <w:rsid w:val="003D0ABE"/>
    <w:rsid w:val="003D2101"/>
    <w:rsid w:val="003D411D"/>
    <w:rsid w:val="003D5D74"/>
    <w:rsid w:val="003E106F"/>
    <w:rsid w:val="003E561A"/>
    <w:rsid w:val="003F2178"/>
    <w:rsid w:val="0040363B"/>
    <w:rsid w:val="00405B54"/>
    <w:rsid w:val="00410A93"/>
    <w:rsid w:val="00417770"/>
    <w:rsid w:val="004215C3"/>
    <w:rsid w:val="0042263A"/>
    <w:rsid w:val="00424C93"/>
    <w:rsid w:val="004312E9"/>
    <w:rsid w:val="00431601"/>
    <w:rsid w:val="00433B4B"/>
    <w:rsid w:val="004347B2"/>
    <w:rsid w:val="00435F1A"/>
    <w:rsid w:val="0044150D"/>
    <w:rsid w:val="00443355"/>
    <w:rsid w:val="00445A4C"/>
    <w:rsid w:val="004468A2"/>
    <w:rsid w:val="00477016"/>
    <w:rsid w:val="00480ACB"/>
    <w:rsid w:val="00494AD8"/>
    <w:rsid w:val="00497BC2"/>
    <w:rsid w:val="004A270B"/>
    <w:rsid w:val="004A2BE8"/>
    <w:rsid w:val="004A3069"/>
    <w:rsid w:val="004A6D68"/>
    <w:rsid w:val="004A795C"/>
    <w:rsid w:val="004B4C45"/>
    <w:rsid w:val="004B7947"/>
    <w:rsid w:val="004D0561"/>
    <w:rsid w:val="004D0BF3"/>
    <w:rsid w:val="004D3228"/>
    <w:rsid w:val="004D596A"/>
    <w:rsid w:val="004E0046"/>
    <w:rsid w:val="004E2181"/>
    <w:rsid w:val="004E2356"/>
    <w:rsid w:val="004E2547"/>
    <w:rsid w:val="004E2AB4"/>
    <w:rsid w:val="004E3B2B"/>
    <w:rsid w:val="004E3FE0"/>
    <w:rsid w:val="004F11B3"/>
    <w:rsid w:val="004F23A8"/>
    <w:rsid w:val="004F3F19"/>
    <w:rsid w:val="004F6A89"/>
    <w:rsid w:val="00500E20"/>
    <w:rsid w:val="005028D5"/>
    <w:rsid w:val="00505C45"/>
    <w:rsid w:val="00510E09"/>
    <w:rsid w:val="00514CF7"/>
    <w:rsid w:val="00517512"/>
    <w:rsid w:val="00517BFC"/>
    <w:rsid w:val="00521750"/>
    <w:rsid w:val="00527795"/>
    <w:rsid w:val="00530580"/>
    <w:rsid w:val="00534BD8"/>
    <w:rsid w:val="005365AF"/>
    <w:rsid w:val="0054276A"/>
    <w:rsid w:val="00546B65"/>
    <w:rsid w:val="00550EB6"/>
    <w:rsid w:val="0055112A"/>
    <w:rsid w:val="00553AA9"/>
    <w:rsid w:val="005544B1"/>
    <w:rsid w:val="00556847"/>
    <w:rsid w:val="00557694"/>
    <w:rsid w:val="0055769E"/>
    <w:rsid w:val="0056529C"/>
    <w:rsid w:val="005661E4"/>
    <w:rsid w:val="0057219E"/>
    <w:rsid w:val="00582F86"/>
    <w:rsid w:val="00591DB0"/>
    <w:rsid w:val="005A04FC"/>
    <w:rsid w:val="005A439D"/>
    <w:rsid w:val="005A6215"/>
    <w:rsid w:val="005A69C5"/>
    <w:rsid w:val="005B3651"/>
    <w:rsid w:val="005C609E"/>
    <w:rsid w:val="005D075B"/>
    <w:rsid w:val="005D0D13"/>
    <w:rsid w:val="005D2971"/>
    <w:rsid w:val="005D56ED"/>
    <w:rsid w:val="005D65E3"/>
    <w:rsid w:val="005E2ADA"/>
    <w:rsid w:val="005E5312"/>
    <w:rsid w:val="005E6C1A"/>
    <w:rsid w:val="005F3FEA"/>
    <w:rsid w:val="00600245"/>
    <w:rsid w:val="006102C1"/>
    <w:rsid w:val="00613D25"/>
    <w:rsid w:val="00617EF2"/>
    <w:rsid w:val="00621F91"/>
    <w:rsid w:val="0062566E"/>
    <w:rsid w:val="00631340"/>
    <w:rsid w:val="00634726"/>
    <w:rsid w:val="00641812"/>
    <w:rsid w:val="00644C00"/>
    <w:rsid w:val="006545CA"/>
    <w:rsid w:val="006554CD"/>
    <w:rsid w:val="00655933"/>
    <w:rsid w:val="00655EB8"/>
    <w:rsid w:val="0066714E"/>
    <w:rsid w:val="00667F7A"/>
    <w:rsid w:val="00677645"/>
    <w:rsid w:val="00686CB6"/>
    <w:rsid w:val="006A1613"/>
    <w:rsid w:val="006A4CC4"/>
    <w:rsid w:val="006A4D35"/>
    <w:rsid w:val="006C1317"/>
    <w:rsid w:val="006C2425"/>
    <w:rsid w:val="006C67B4"/>
    <w:rsid w:val="006D0A97"/>
    <w:rsid w:val="006D21C3"/>
    <w:rsid w:val="006D4420"/>
    <w:rsid w:val="006E0A72"/>
    <w:rsid w:val="006E3988"/>
    <w:rsid w:val="006E421D"/>
    <w:rsid w:val="006E6DBE"/>
    <w:rsid w:val="006E783B"/>
    <w:rsid w:val="006E7F24"/>
    <w:rsid w:val="006F4EBC"/>
    <w:rsid w:val="006F7A92"/>
    <w:rsid w:val="0071418C"/>
    <w:rsid w:val="0072338B"/>
    <w:rsid w:val="00726B91"/>
    <w:rsid w:val="00730CC8"/>
    <w:rsid w:val="007322FA"/>
    <w:rsid w:val="007352CA"/>
    <w:rsid w:val="00741B01"/>
    <w:rsid w:val="0074408B"/>
    <w:rsid w:val="00754748"/>
    <w:rsid w:val="007575C8"/>
    <w:rsid w:val="007652D0"/>
    <w:rsid w:val="00766969"/>
    <w:rsid w:val="00772801"/>
    <w:rsid w:val="00772C06"/>
    <w:rsid w:val="00772C91"/>
    <w:rsid w:val="00773282"/>
    <w:rsid w:val="0077609C"/>
    <w:rsid w:val="007760CA"/>
    <w:rsid w:val="00777EA5"/>
    <w:rsid w:val="007910CC"/>
    <w:rsid w:val="007A0362"/>
    <w:rsid w:val="007A2581"/>
    <w:rsid w:val="007A4369"/>
    <w:rsid w:val="007A567A"/>
    <w:rsid w:val="007D157F"/>
    <w:rsid w:val="007E044A"/>
    <w:rsid w:val="007E1367"/>
    <w:rsid w:val="007E30C9"/>
    <w:rsid w:val="007E4A72"/>
    <w:rsid w:val="007F37B0"/>
    <w:rsid w:val="007F5F4A"/>
    <w:rsid w:val="007F76A3"/>
    <w:rsid w:val="00804191"/>
    <w:rsid w:val="00806674"/>
    <w:rsid w:val="008144AE"/>
    <w:rsid w:val="00815340"/>
    <w:rsid w:val="00821F43"/>
    <w:rsid w:val="00823D6E"/>
    <w:rsid w:val="00825029"/>
    <w:rsid w:val="00825622"/>
    <w:rsid w:val="00826C7B"/>
    <w:rsid w:val="00827DF2"/>
    <w:rsid w:val="00830C5A"/>
    <w:rsid w:val="00831212"/>
    <w:rsid w:val="00836EFC"/>
    <w:rsid w:val="00846BA1"/>
    <w:rsid w:val="00847E6B"/>
    <w:rsid w:val="00852E50"/>
    <w:rsid w:val="00871543"/>
    <w:rsid w:val="00873C38"/>
    <w:rsid w:val="008743DE"/>
    <w:rsid w:val="0087506C"/>
    <w:rsid w:val="00882C12"/>
    <w:rsid w:val="00883E65"/>
    <w:rsid w:val="00885B6F"/>
    <w:rsid w:val="00885BB5"/>
    <w:rsid w:val="00891093"/>
    <w:rsid w:val="008A6396"/>
    <w:rsid w:val="008A7482"/>
    <w:rsid w:val="008B1621"/>
    <w:rsid w:val="008B3897"/>
    <w:rsid w:val="008C1508"/>
    <w:rsid w:val="008D2CFC"/>
    <w:rsid w:val="008D3163"/>
    <w:rsid w:val="008D4272"/>
    <w:rsid w:val="008D47A2"/>
    <w:rsid w:val="008D7221"/>
    <w:rsid w:val="008E3C82"/>
    <w:rsid w:val="008E4F7C"/>
    <w:rsid w:val="008F19E8"/>
    <w:rsid w:val="008F2E95"/>
    <w:rsid w:val="008F5A46"/>
    <w:rsid w:val="00900BBD"/>
    <w:rsid w:val="009104DB"/>
    <w:rsid w:val="00914CFC"/>
    <w:rsid w:val="00914FC6"/>
    <w:rsid w:val="00921C58"/>
    <w:rsid w:val="00927DE7"/>
    <w:rsid w:val="009317B0"/>
    <w:rsid w:val="00940252"/>
    <w:rsid w:val="00940DE6"/>
    <w:rsid w:val="00942AF7"/>
    <w:rsid w:val="00944FF7"/>
    <w:rsid w:val="00951919"/>
    <w:rsid w:val="00955D25"/>
    <w:rsid w:val="00970160"/>
    <w:rsid w:val="00972628"/>
    <w:rsid w:val="00981E91"/>
    <w:rsid w:val="00990CAC"/>
    <w:rsid w:val="009914C8"/>
    <w:rsid w:val="00994B92"/>
    <w:rsid w:val="00995912"/>
    <w:rsid w:val="0099653D"/>
    <w:rsid w:val="00997819"/>
    <w:rsid w:val="00997DE9"/>
    <w:rsid w:val="009A0445"/>
    <w:rsid w:val="009A06E9"/>
    <w:rsid w:val="009A1583"/>
    <w:rsid w:val="009A4709"/>
    <w:rsid w:val="009B5745"/>
    <w:rsid w:val="009B6061"/>
    <w:rsid w:val="009B6555"/>
    <w:rsid w:val="009B6EDF"/>
    <w:rsid w:val="009C2D30"/>
    <w:rsid w:val="009C3CF7"/>
    <w:rsid w:val="009D06C6"/>
    <w:rsid w:val="009D32AD"/>
    <w:rsid w:val="009D4299"/>
    <w:rsid w:val="009E0372"/>
    <w:rsid w:val="009E1FCD"/>
    <w:rsid w:val="009E43D9"/>
    <w:rsid w:val="009E5532"/>
    <w:rsid w:val="009F1422"/>
    <w:rsid w:val="009F5282"/>
    <w:rsid w:val="00A05DAA"/>
    <w:rsid w:val="00A0780D"/>
    <w:rsid w:val="00A17266"/>
    <w:rsid w:val="00A177AD"/>
    <w:rsid w:val="00A21711"/>
    <w:rsid w:val="00A2641E"/>
    <w:rsid w:val="00A30A3C"/>
    <w:rsid w:val="00A350A6"/>
    <w:rsid w:val="00A37647"/>
    <w:rsid w:val="00A526B6"/>
    <w:rsid w:val="00A53490"/>
    <w:rsid w:val="00A537FF"/>
    <w:rsid w:val="00A55265"/>
    <w:rsid w:val="00A55EE1"/>
    <w:rsid w:val="00A56CD6"/>
    <w:rsid w:val="00A60D8C"/>
    <w:rsid w:val="00A64B10"/>
    <w:rsid w:val="00A64DD5"/>
    <w:rsid w:val="00A64ED4"/>
    <w:rsid w:val="00A749F8"/>
    <w:rsid w:val="00A837F8"/>
    <w:rsid w:val="00A90107"/>
    <w:rsid w:val="00A90F3A"/>
    <w:rsid w:val="00AC3549"/>
    <w:rsid w:val="00AC7BBC"/>
    <w:rsid w:val="00AD4992"/>
    <w:rsid w:val="00AE7992"/>
    <w:rsid w:val="00AF10E0"/>
    <w:rsid w:val="00B00B2C"/>
    <w:rsid w:val="00B01188"/>
    <w:rsid w:val="00B044BB"/>
    <w:rsid w:val="00B11478"/>
    <w:rsid w:val="00B11535"/>
    <w:rsid w:val="00B12EF3"/>
    <w:rsid w:val="00B166D6"/>
    <w:rsid w:val="00B20472"/>
    <w:rsid w:val="00B21ACB"/>
    <w:rsid w:val="00B23AAC"/>
    <w:rsid w:val="00B40B9F"/>
    <w:rsid w:val="00B5578D"/>
    <w:rsid w:val="00B56160"/>
    <w:rsid w:val="00B57199"/>
    <w:rsid w:val="00B64741"/>
    <w:rsid w:val="00B67191"/>
    <w:rsid w:val="00B71173"/>
    <w:rsid w:val="00B74972"/>
    <w:rsid w:val="00B77F3F"/>
    <w:rsid w:val="00B81979"/>
    <w:rsid w:val="00B838A7"/>
    <w:rsid w:val="00B84677"/>
    <w:rsid w:val="00B86FA0"/>
    <w:rsid w:val="00B87A3D"/>
    <w:rsid w:val="00B93E55"/>
    <w:rsid w:val="00B94D33"/>
    <w:rsid w:val="00B95B7F"/>
    <w:rsid w:val="00BA2AA8"/>
    <w:rsid w:val="00BA3A7F"/>
    <w:rsid w:val="00BA6CC7"/>
    <w:rsid w:val="00BA7510"/>
    <w:rsid w:val="00BB391F"/>
    <w:rsid w:val="00BB65D0"/>
    <w:rsid w:val="00BD235A"/>
    <w:rsid w:val="00BD7C60"/>
    <w:rsid w:val="00BE56B0"/>
    <w:rsid w:val="00BF38D6"/>
    <w:rsid w:val="00BF406A"/>
    <w:rsid w:val="00BF45C6"/>
    <w:rsid w:val="00BF67C8"/>
    <w:rsid w:val="00C006DF"/>
    <w:rsid w:val="00C03E9B"/>
    <w:rsid w:val="00C13647"/>
    <w:rsid w:val="00C2240D"/>
    <w:rsid w:val="00C25270"/>
    <w:rsid w:val="00C27012"/>
    <w:rsid w:val="00C2703F"/>
    <w:rsid w:val="00C303B1"/>
    <w:rsid w:val="00C3193B"/>
    <w:rsid w:val="00C33CF5"/>
    <w:rsid w:val="00C35C93"/>
    <w:rsid w:val="00C3728D"/>
    <w:rsid w:val="00C407F3"/>
    <w:rsid w:val="00C43A63"/>
    <w:rsid w:val="00C504F6"/>
    <w:rsid w:val="00C51B90"/>
    <w:rsid w:val="00C55F78"/>
    <w:rsid w:val="00C5702B"/>
    <w:rsid w:val="00C82B67"/>
    <w:rsid w:val="00C843A0"/>
    <w:rsid w:val="00C90AC7"/>
    <w:rsid w:val="00C92B1E"/>
    <w:rsid w:val="00C93D81"/>
    <w:rsid w:val="00C95FF0"/>
    <w:rsid w:val="00C97C37"/>
    <w:rsid w:val="00CB0130"/>
    <w:rsid w:val="00CB60B1"/>
    <w:rsid w:val="00CC03B1"/>
    <w:rsid w:val="00CC18CE"/>
    <w:rsid w:val="00CC2C9A"/>
    <w:rsid w:val="00CC4355"/>
    <w:rsid w:val="00CC6011"/>
    <w:rsid w:val="00CC7B49"/>
    <w:rsid w:val="00CD0617"/>
    <w:rsid w:val="00CD1135"/>
    <w:rsid w:val="00CE0128"/>
    <w:rsid w:val="00CE29CA"/>
    <w:rsid w:val="00CE42AE"/>
    <w:rsid w:val="00CE7C13"/>
    <w:rsid w:val="00CE7CB7"/>
    <w:rsid w:val="00CF099A"/>
    <w:rsid w:val="00CF115C"/>
    <w:rsid w:val="00CF3256"/>
    <w:rsid w:val="00CF50E1"/>
    <w:rsid w:val="00CF569E"/>
    <w:rsid w:val="00CF74C2"/>
    <w:rsid w:val="00CF7F9D"/>
    <w:rsid w:val="00D05383"/>
    <w:rsid w:val="00D21A39"/>
    <w:rsid w:val="00D22ADA"/>
    <w:rsid w:val="00D24A30"/>
    <w:rsid w:val="00D30D7C"/>
    <w:rsid w:val="00D41302"/>
    <w:rsid w:val="00D56D54"/>
    <w:rsid w:val="00D5708E"/>
    <w:rsid w:val="00D57460"/>
    <w:rsid w:val="00D61438"/>
    <w:rsid w:val="00D6291D"/>
    <w:rsid w:val="00D64600"/>
    <w:rsid w:val="00D7380E"/>
    <w:rsid w:val="00D752CE"/>
    <w:rsid w:val="00D8311A"/>
    <w:rsid w:val="00D83345"/>
    <w:rsid w:val="00D85B64"/>
    <w:rsid w:val="00D85BB0"/>
    <w:rsid w:val="00D85DC6"/>
    <w:rsid w:val="00D86EA9"/>
    <w:rsid w:val="00D9078B"/>
    <w:rsid w:val="00D91EAA"/>
    <w:rsid w:val="00D97E11"/>
    <w:rsid w:val="00DA0D5F"/>
    <w:rsid w:val="00DB53C8"/>
    <w:rsid w:val="00DB7A2F"/>
    <w:rsid w:val="00DC0883"/>
    <w:rsid w:val="00DC223F"/>
    <w:rsid w:val="00DD1B78"/>
    <w:rsid w:val="00DD4A7D"/>
    <w:rsid w:val="00DD7FA1"/>
    <w:rsid w:val="00DE21FC"/>
    <w:rsid w:val="00DE2AB7"/>
    <w:rsid w:val="00DF68EB"/>
    <w:rsid w:val="00E02E98"/>
    <w:rsid w:val="00E072EC"/>
    <w:rsid w:val="00E11402"/>
    <w:rsid w:val="00E12E56"/>
    <w:rsid w:val="00E25E82"/>
    <w:rsid w:val="00E268F2"/>
    <w:rsid w:val="00E32684"/>
    <w:rsid w:val="00E32ECD"/>
    <w:rsid w:val="00E361B8"/>
    <w:rsid w:val="00E417FD"/>
    <w:rsid w:val="00E50976"/>
    <w:rsid w:val="00E53601"/>
    <w:rsid w:val="00E55A53"/>
    <w:rsid w:val="00E62A91"/>
    <w:rsid w:val="00E64FA8"/>
    <w:rsid w:val="00E65AC0"/>
    <w:rsid w:val="00E82FB2"/>
    <w:rsid w:val="00E8312F"/>
    <w:rsid w:val="00E8685B"/>
    <w:rsid w:val="00E87E24"/>
    <w:rsid w:val="00E92BDF"/>
    <w:rsid w:val="00E92FEF"/>
    <w:rsid w:val="00E931BD"/>
    <w:rsid w:val="00E97FB5"/>
    <w:rsid w:val="00EB0CBD"/>
    <w:rsid w:val="00EB7BEC"/>
    <w:rsid w:val="00EC2D59"/>
    <w:rsid w:val="00EC6750"/>
    <w:rsid w:val="00EC7635"/>
    <w:rsid w:val="00ED2219"/>
    <w:rsid w:val="00ED3D6F"/>
    <w:rsid w:val="00ED66F0"/>
    <w:rsid w:val="00EE13F7"/>
    <w:rsid w:val="00EE590E"/>
    <w:rsid w:val="00EE739F"/>
    <w:rsid w:val="00F03D09"/>
    <w:rsid w:val="00F154E8"/>
    <w:rsid w:val="00F26234"/>
    <w:rsid w:val="00F317A6"/>
    <w:rsid w:val="00F3390F"/>
    <w:rsid w:val="00F34FFC"/>
    <w:rsid w:val="00F375F2"/>
    <w:rsid w:val="00F40BAC"/>
    <w:rsid w:val="00F418A8"/>
    <w:rsid w:val="00F42817"/>
    <w:rsid w:val="00F45EA1"/>
    <w:rsid w:val="00F46902"/>
    <w:rsid w:val="00F50660"/>
    <w:rsid w:val="00F50E7F"/>
    <w:rsid w:val="00F51F3D"/>
    <w:rsid w:val="00F60230"/>
    <w:rsid w:val="00F666BC"/>
    <w:rsid w:val="00F7306D"/>
    <w:rsid w:val="00F80E20"/>
    <w:rsid w:val="00F85E8D"/>
    <w:rsid w:val="00F90C7E"/>
    <w:rsid w:val="00F93742"/>
    <w:rsid w:val="00FA14D1"/>
    <w:rsid w:val="00FA2955"/>
    <w:rsid w:val="00FB0F79"/>
    <w:rsid w:val="00FB1B50"/>
    <w:rsid w:val="00FB39F0"/>
    <w:rsid w:val="00FB5BA6"/>
    <w:rsid w:val="00FB685C"/>
    <w:rsid w:val="00FC172A"/>
    <w:rsid w:val="00FC37D0"/>
    <w:rsid w:val="00FC4419"/>
    <w:rsid w:val="00FC596B"/>
    <w:rsid w:val="00FC5A73"/>
    <w:rsid w:val="00FD0B24"/>
    <w:rsid w:val="00FD0D44"/>
    <w:rsid w:val="00FD0F6E"/>
    <w:rsid w:val="00FD3309"/>
    <w:rsid w:val="00FD7E5E"/>
    <w:rsid w:val="00FE1E44"/>
    <w:rsid w:val="00FF5040"/>
    <w:rsid w:val="00FF6578"/>
    <w:rsid w:val="01A81661"/>
    <w:rsid w:val="02F7846E"/>
    <w:rsid w:val="0504A7D7"/>
    <w:rsid w:val="06BC7FF7"/>
    <w:rsid w:val="09B627D3"/>
    <w:rsid w:val="0A00B95B"/>
    <w:rsid w:val="0F3F5660"/>
    <w:rsid w:val="11F33801"/>
    <w:rsid w:val="1C0CFA6A"/>
    <w:rsid w:val="1CBCBE28"/>
    <w:rsid w:val="21377D31"/>
    <w:rsid w:val="25AC9ED5"/>
    <w:rsid w:val="29D33B01"/>
    <w:rsid w:val="2BAFBFB5"/>
    <w:rsid w:val="3742D6B7"/>
    <w:rsid w:val="3778612B"/>
    <w:rsid w:val="41FD223D"/>
    <w:rsid w:val="45C7E7BD"/>
    <w:rsid w:val="49D738E1"/>
    <w:rsid w:val="4E7737F1"/>
    <w:rsid w:val="53748698"/>
    <w:rsid w:val="54781C6D"/>
    <w:rsid w:val="55CD4FE4"/>
    <w:rsid w:val="58C5B356"/>
    <w:rsid w:val="6050AB2C"/>
    <w:rsid w:val="60696FD5"/>
    <w:rsid w:val="62CCB96A"/>
    <w:rsid w:val="636F181B"/>
    <w:rsid w:val="64B28F7B"/>
    <w:rsid w:val="69388B81"/>
    <w:rsid w:val="6964BB82"/>
    <w:rsid w:val="6B70227C"/>
    <w:rsid w:val="6CEAEA02"/>
    <w:rsid w:val="6DAF59E2"/>
    <w:rsid w:val="70D43344"/>
    <w:rsid w:val="71716333"/>
    <w:rsid w:val="7496E2FF"/>
    <w:rsid w:val="786811DC"/>
    <w:rsid w:val="7874F399"/>
    <w:rsid w:val="7FA0B569"/>
    <w:rsid w:val="7FC5C80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43277"/>
  <w15:chartTrackingRefBased/>
  <w15:docId w15:val="{D1B151B2-C649-4A23-B053-7EFD49EA8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63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A2955"/>
    <w:pPr>
      <w:keepNext/>
      <w:keepLines/>
      <w:spacing w:before="160" w:after="80"/>
      <w:outlineLvl w:val="1"/>
    </w:pPr>
    <w:rPr>
      <w:rFonts w:ascii="Times New Roman" w:eastAsiaTheme="majorEastAsia" w:hAnsi="Times New Roman" w:cs="Times New Roman"/>
      <w:b/>
      <w:bCs/>
      <w:sz w:val="20"/>
      <w:szCs w:val="20"/>
    </w:rPr>
  </w:style>
  <w:style w:type="paragraph" w:styleId="Heading3">
    <w:name w:val="heading 3"/>
    <w:basedOn w:val="Normal"/>
    <w:next w:val="Normal"/>
    <w:link w:val="Heading3Char"/>
    <w:uiPriority w:val="9"/>
    <w:semiHidden/>
    <w:unhideWhenUsed/>
    <w:qFormat/>
    <w:rsid w:val="000463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63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63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63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63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63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63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3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A2955"/>
    <w:rPr>
      <w:rFonts w:ascii="Times New Roman" w:eastAsiaTheme="majorEastAsia" w:hAnsi="Times New Roman" w:cs="Times New Roman"/>
      <w:b/>
      <w:bCs/>
      <w:sz w:val="20"/>
      <w:szCs w:val="20"/>
    </w:rPr>
  </w:style>
  <w:style w:type="character" w:customStyle="1" w:styleId="Heading3Char">
    <w:name w:val="Heading 3 Char"/>
    <w:basedOn w:val="DefaultParagraphFont"/>
    <w:link w:val="Heading3"/>
    <w:uiPriority w:val="9"/>
    <w:semiHidden/>
    <w:rsid w:val="000463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63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63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63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63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63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634B"/>
    <w:rPr>
      <w:rFonts w:eastAsiaTheme="majorEastAsia" w:cstheme="majorBidi"/>
      <w:color w:val="272727" w:themeColor="text1" w:themeTint="D8"/>
    </w:rPr>
  </w:style>
  <w:style w:type="paragraph" w:styleId="Title">
    <w:name w:val="Title"/>
    <w:basedOn w:val="Normal"/>
    <w:next w:val="Normal"/>
    <w:link w:val="TitleChar"/>
    <w:uiPriority w:val="10"/>
    <w:qFormat/>
    <w:rsid w:val="00CF099A"/>
    <w:pPr>
      <w:spacing w:after="80" w:line="240" w:lineRule="auto"/>
      <w:contextualSpacing/>
      <w:jc w:val="center"/>
    </w:pPr>
    <w:rPr>
      <w:rFonts w:ascii="Times New Roman" w:eastAsiaTheme="majorEastAsia" w:hAnsi="Times New Roman" w:cs="Times New Roman"/>
      <w:b/>
      <w:bCs/>
      <w:spacing w:val="-10"/>
      <w:kern w:val="28"/>
      <w:sz w:val="32"/>
      <w:szCs w:val="32"/>
    </w:rPr>
  </w:style>
  <w:style w:type="character" w:customStyle="1" w:styleId="TitleChar">
    <w:name w:val="Title Char"/>
    <w:basedOn w:val="DefaultParagraphFont"/>
    <w:link w:val="Title"/>
    <w:uiPriority w:val="10"/>
    <w:rsid w:val="00CF099A"/>
    <w:rPr>
      <w:rFonts w:ascii="Times New Roman" w:eastAsiaTheme="majorEastAsia" w:hAnsi="Times New Roman" w:cs="Times New Roman"/>
      <w:b/>
      <w:bCs/>
      <w:spacing w:val="-10"/>
      <w:kern w:val="28"/>
      <w:sz w:val="32"/>
      <w:szCs w:val="32"/>
    </w:rPr>
  </w:style>
  <w:style w:type="paragraph" w:styleId="Subtitle">
    <w:name w:val="Subtitle"/>
    <w:basedOn w:val="Normal"/>
    <w:next w:val="Normal"/>
    <w:link w:val="SubtitleChar"/>
    <w:uiPriority w:val="11"/>
    <w:qFormat/>
    <w:rsid w:val="000463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63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634B"/>
    <w:pPr>
      <w:spacing w:before="160"/>
      <w:jc w:val="center"/>
    </w:pPr>
    <w:rPr>
      <w:i/>
      <w:iCs/>
      <w:color w:val="404040" w:themeColor="text1" w:themeTint="BF"/>
    </w:rPr>
  </w:style>
  <w:style w:type="character" w:customStyle="1" w:styleId="QuoteChar">
    <w:name w:val="Quote Char"/>
    <w:basedOn w:val="DefaultParagraphFont"/>
    <w:link w:val="Quote"/>
    <w:uiPriority w:val="29"/>
    <w:rsid w:val="0004634B"/>
    <w:rPr>
      <w:i/>
      <w:iCs/>
      <w:color w:val="404040" w:themeColor="text1" w:themeTint="BF"/>
    </w:rPr>
  </w:style>
  <w:style w:type="paragraph" w:styleId="ListParagraph">
    <w:name w:val="List Paragraph"/>
    <w:basedOn w:val="Normal"/>
    <w:uiPriority w:val="34"/>
    <w:qFormat/>
    <w:rsid w:val="0004634B"/>
    <w:pPr>
      <w:ind w:left="720"/>
      <w:contextualSpacing/>
    </w:pPr>
  </w:style>
  <w:style w:type="character" w:styleId="IntenseEmphasis">
    <w:name w:val="Intense Emphasis"/>
    <w:basedOn w:val="DefaultParagraphFont"/>
    <w:uiPriority w:val="21"/>
    <w:qFormat/>
    <w:rsid w:val="0004634B"/>
    <w:rPr>
      <w:i/>
      <w:iCs/>
      <w:color w:val="0F4761" w:themeColor="accent1" w:themeShade="BF"/>
    </w:rPr>
  </w:style>
  <w:style w:type="paragraph" w:styleId="IntenseQuote">
    <w:name w:val="Intense Quote"/>
    <w:basedOn w:val="Normal"/>
    <w:next w:val="Normal"/>
    <w:link w:val="IntenseQuoteChar"/>
    <w:uiPriority w:val="30"/>
    <w:qFormat/>
    <w:rsid w:val="000463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634B"/>
    <w:rPr>
      <w:i/>
      <w:iCs/>
      <w:color w:val="0F4761" w:themeColor="accent1" w:themeShade="BF"/>
    </w:rPr>
  </w:style>
  <w:style w:type="character" w:styleId="IntenseReference">
    <w:name w:val="Intense Reference"/>
    <w:basedOn w:val="DefaultParagraphFont"/>
    <w:uiPriority w:val="32"/>
    <w:qFormat/>
    <w:rsid w:val="0004634B"/>
    <w:rPr>
      <w:b/>
      <w:bCs/>
      <w:smallCaps/>
      <w:color w:val="0F4761" w:themeColor="accent1" w:themeShade="BF"/>
      <w:spacing w:val="5"/>
    </w:rPr>
  </w:style>
  <w:style w:type="paragraph" w:styleId="Header">
    <w:name w:val="header"/>
    <w:basedOn w:val="Normal"/>
    <w:link w:val="HeaderChar"/>
    <w:uiPriority w:val="99"/>
    <w:unhideWhenUsed/>
    <w:rsid w:val="0004634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4634B"/>
  </w:style>
  <w:style w:type="paragraph" w:styleId="Footer">
    <w:name w:val="footer"/>
    <w:basedOn w:val="Normal"/>
    <w:link w:val="FooterChar"/>
    <w:uiPriority w:val="99"/>
    <w:unhideWhenUsed/>
    <w:rsid w:val="0004634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4634B"/>
  </w:style>
  <w:style w:type="character" w:styleId="Hyperlink">
    <w:name w:val="Hyperlink"/>
    <w:basedOn w:val="DefaultParagraphFont"/>
    <w:uiPriority w:val="99"/>
    <w:unhideWhenUsed/>
    <w:rsid w:val="00B84677"/>
    <w:rPr>
      <w:color w:val="467886" w:themeColor="hyperlink"/>
      <w:u w:val="single"/>
    </w:rPr>
  </w:style>
  <w:style w:type="character" w:styleId="UnresolvedMention">
    <w:name w:val="Unresolved Mention"/>
    <w:basedOn w:val="DefaultParagraphFont"/>
    <w:uiPriority w:val="99"/>
    <w:semiHidden/>
    <w:unhideWhenUsed/>
    <w:rsid w:val="00B84677"/>
    <w:rPr>
      <w:color w:val="605E5C"/>
      <w:shd w:val="clear" w:color="auto" w:fill="E1DFDD"/>
    </w:rPr>
  </w:style>
  <w:style w:type="character" w:styleId="CommentReference">
    <w:name w:val="annotation reference"/>
    <w:basedOn w:val="DefaultParagraphFont"/>
    <w:uiPriority w:val="99"/>
    <w:semiHidden/>
    <w:unhideWhenUsed/>
    <w:rsid w:val="00417770"/>
    <w:rPr>
      <w:sz w:val="16"/>
      <w:szCs w:val="16"/>
    </w:rPr>
  </w:style>
  <w:style w:type="paragraph" w:styleId="CommentText">
    <w:name w:val="annotation text"/>
    <w:basedOn w:val="Normal"/>
    <w:link w:val="CommentTextChar"/>
    <w:uiPriority w:val="99"/>
    <w:unhideWhenUsed/>
    <w:rsid w:val="00417770"/>
    <w:pPr>
      <w:spacing w:line="240" w:lineRule="auto"/>
    </w:pPr>
    <w:rPr>
      <w:sz w:val="20"/>
      <w:szCs w:val="20"/>
    </w:rPr>
  </w:style>
  <w:style w:type="character" w:customStyle="1" w:styleId="CommentTextChar">
    <w:name w:val="Comment Text Char"/>
    <w:basedOn w:val="DefaultParagraphFont"/>
    <w:link w:val="CommentText"/>
    <w:uiPriority w:val="99"/>
    <w:rsid w:val="00417770"/>
    <w:rPr>
      <w:sz w:val="20"/>
      <w:szCs w:val="20"/>
    </w:rPr>
  </w:style>
  <w:style w:type="paragraph" w:styleId="CommentSubject">
    <w:name w:val="annotation subject"/>
    <w:basedOn w:val="CommentText"/>
    <w:next w:val="CommentText"/>
    <w:link w:val="CommentSubjectChar"/>
    <w:uiPriority w:val="99"/>
    <w:semiHidden/>
    <w:unhideWhenUsed/>
    <w:rsid w:val="00417770"/>
    <w:rPr>
      <w:b/>
      <w:bCs/>
    </w:rPr>
  </w:style>
  <w:style w:type="character" w:customStyle="1" w:styleId="CommentSubjectChar">
    <w:name w:val="Comment Subject Char"/>
    <w:basedOn w:val="CommentTextChar"/>
    <w:link w:val="CommentSubject"/>
    <w:uiPriority w:val="99"/>
    <w:semiHidden/>
    <w:rsid w:val="00417770"/>
    <w:rPr>
      <w:b/>
      <w:bCs/>
      <w:sz w:val="20"/>
      <w:szCs w:val="20"/>
    </w:rPr>
  </w:style>
  <w:style w:type="paragraph" w:styleId="FootnoteText">
    <w:name w:val="footnote text"/>
    <w:basedOn w:val="Normal"/>
    <w:link w:val="FootnoteTextChar"/>
    <w:uiPriority w:val="99"/>
    <w:semiHidden/>
    <w:unhideWhenUsed/>
    <w:rsid w:val="001746F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46FC"/>
    <w:rPr>
      <w:sz w:val="20"/>
      <w:szCs w:val="20"/>
    </w:rPr>
  </w:style>
  <w:style w:type="character" w:styleId="FootnoteReference">
    <w:name w:val="footnote reference"/>
    <w:basedOn w:val="DefaultParagraphFont"/>
    <w:uiPriority w:val="99"/>
    <w:semiHidden/>
    <w:unhideWhenUsed/>
    <w:rsid w:val="001746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even@validity.ng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mdac.org/sites/mdac.org/files/Article_33_EN.pdf" TargetMode="External"/><Relationship Id="rId2" Type="http://schemas.openxmlformats.org/officeDocument/2006/relationships/hyperlink" Target="https://globalrightscompliance.org/towards-inclusive-justice-addressing-persons-with-disabilities-in-the-convention-on-crimes-against-humanity/" TargetMode="External"/><Relationship Id="rId1" Type="http://schemas.openxmlformats.org/officeDocument/2006/relationships/hyperlink" Target="https://www.ohchr.org/en/documents/tools-and-resources/harmful-practices-gender-based-violence-against-women-and-girls-ceda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Doctype>
    <Contributor xmlns="d42e65b2-cf21-49c1-b27d-d23f90380c0e">Validity Foundation</Contributor>
    <Status xmlns="d42e65b2-cf21-49c1-b27d-d23f90380c0e">Ready to publish</Status>
    <AItagger xmlns="d42e65b2-cf21-49c1-b27d-d23f90380c0e">false</AItagger>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f2bbb2cd1956c89e8a32d07424e1771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2ca1e3ffcc76ead7c5f865d9ff82804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5D6ABA-7D5B-4B60-8A9E-B1A5CD3E9A0B}">
  <ds:schemaRefs>
    <ds:schemaRef ds:uri="http://schemas.microsoft.com/office/2006/metadata/properties"/>
    <ds:schemaRef ds:uri="http://schemas.microsoft.com/office/infopath/2007/PartnerControls"/>
    <ds:schemaRef ds:uri="985ec44e-1bab-4c0b-9df0-6ba128686fc9"/>
    <ds:schemaRef ds:uri="c43d6523-f909-4250-bbe1-6bcdc0c7194c"/>
    <ds:schemaRef ds:uri="11a6fe0c-d8de-4390-afb3-d9c7c54181f0"/>
  </ds:schemaRefs>
</ds:datastoreItem>
</file>

<file path=customXml/itemProps2.xml><?xml version="1.0" encoding="utf-8"?>
<ds:datastoreItem xmlns:ds="http://schemas.openxmlformats.org/officeDocument/2006/customXml" ds:itemID="{94E2A77F-C1B8-4A4E-BA77-D1E7167F33C6}">
  <ds:schemaRefs>
    <ds:schemaRef ds:uri="http://schemas.openxmlformats.org/officeDocument/2006/bibliography"/>
  </ds:schemaRefs>
</ds:datastoreItem>
</file>

<file path=customXml/itemProps3.xml><?xml version="1.0" encoding="utf-8"?>
<ds:datastoreItem xmlns:ds="http://schemas.openxmlformats.org/officeDocument/2006/customXml" ds:itemID="{5BC72819-8553-4307-8C0A-B3CB789C5CE0}">
  <ds:schemaRefs>
    <ds:schemaRef ds:uri="http://schemas.microsoft.com/sharepoint/v3/contenttype/forms"/>
  </ds:schemaRefs>
</ds:datastoreItem>
</file>

<file path=customXml/itemProps4.xml><?xml version="1.0" encoding="utf-8"?>
<ds:datastoreItem xmlns:ds="http://schemas.openxmlformats.org/officeDocument/2006/customXml" ds:itemID="{E99805C4-F547-452B-A84C-B310529A6110}"/>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5939</Words>
  <Characters>39974</Characters>
  <Application>Microsoft Office Word</Application>
  <DocSecurity>4</DocSecurity>
  <Lines>506</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45868</CharactersWithSpaces>
  <SharedDoc>false</SharedDoc>
  <HLinks>
    <vt:vector size="24" baseType="variant">
      <vt:variant>
        <vt:i4>4718693</vt:i4>
      </vt:variant>
      <vt:variant>
        <vt:i4>0</vt:i4>
      </vt:variant>
      <vt:variant>
        <vt:i4>0</vt:i4>
      </vt:variant>
      <vt:variant>
        <vt:i4>5</vt:i4>
      </vt:variant>
      <vt:variant>
        <vt:lpwstr>mailto:steven@validity.ngo</vt:lpwstr>
      </vt:variant>
      <vt:variant>
        <vt:lpwstr/>
      </vt:variant>
      <vt:variant>
        <vt:i4>131083</vt:i4>
      </vt:variant>
      <vt:variant>
        <vt:i4>6</vt:i4>
      </vt:variant>
      <vt:variant>
        <vt:i4>0</vt:i4>
      </vt:variant>
      <vt:variant>
        <vt:i4>5</vt:i4>
      </vt:variant>
      <vt:variant>
        <vt:lpwstr>https://mdac.org/sites/mdac.org/files/Article_33_EN.pdf</vt:lpwstr>
      </vt:variant>
      <vt:variant>
        <vt:lpwstr/>
      </vt:variant>
      <vt:variant>
        <vt:i4>6815850</vt:i4>
      </vt:variant>
      <vt:variant>
        <vt:i4>3</vt:i4>
      </vt:variant>
      <vt:variant>
        <vt:i4>0</vt:i4>
      </vt:variant>
      <vt:variant>
        <vt:i4>5</vt:i4>
      </vt:variant>
      <vt:variant>
        <vt:lpwstr>https://globalrightscompliance.org/towards-inclusive-justice-addressing-persons-with-disabilities-in-the-convention-on-crimes-against-humanity/</vt:lpwstr>
      </vt:variant>
      <vt:variant>
        <vt:lpwstr/>
      </vt:variant>
      <vt:variant>
        <vt:i4>5570639</vt:i4>
      </vt:variant>
      <vt:variant>
        <vt:i4>0</vt:i4>
      </vt:variant>
      <vt:variant>
        <vt:i4>0</vt:i4>
      </vt:variant>
      <vt:variant>
        <vt:i4>5</vt:i4>
      </vt:variant>
      <vt:variant>
        <vt:lpwstr>https://www.ohchr.org/en/documents/tools-and-resources/harmful-practices-gender-based-violence-against-women-and-girls-cedaw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Allen</dc:creator>
  <cp:keywords/>
  <dc:description/>
  <cp:lastModifiedBy>Jorge Araya</cp:lastModifiedBy>
  <cp:revision>2</cp:revision>
  <dcterms:created xsi:type="dcterms:W3CDTF">2026-08-05T14:30:00Z</dcterms:created>
  <dcterms:modified xsi:type="dcterms:W3CDTF">2026-08-05T14:30:00Z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