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34FD" w14:textId="77777777" w:rsidR="00243C6C" w:rsidRDefault="00243C6C">
      <w:pPr>
        <w:rPr>
          <w:b/>
        </w:rPr>
      </w:pPr>
    </w:p>
    <w:p w14:paraId="7EBFA5E9" w14:textId="194CD7A7" w:rsidR="00243C6C" w:rsidRDefault="00243C6C">
      <w:pPr>
        <w:rPr>
          <w:b/>
        </w:rPr>
      </w:pPr>
      <w:r>
        <w:rPr>
          <w:b/>
          <w:sz w:val="24"/>
        </w:rPr>
        <w:t>Organization: Environmental Health Association of Quebec (ASEQ-EHAQ) and Environmental Health Association of Canada (EHAC-ASEC)</w:t>
      </w:r>
    </w:p>
    <w:p w14:paraId="3597D9AC" w14:textId="6E81A5B9" w:rsidR="00552266" w:rsidRPr="00243C6C" w:rsidRDefault="009E66AF">
      <w:pPr>
        <w:rPr>
          <w:rFonts w:ascii="Arial" w:hAnsi="Arial"/>
          <w:b/>
          <w:sz w:val="28"/>
        </w:rPr>
      </w:pPr>
      <w:r w:rsidRPr="00243C6C">
        <w:rPr>
          <w:rFonts w:ascii="Arial" w:hAnsi="Arial"/>
          <w:b/>
          <w:sz w:val="28"/>
        </w:rPr>
        <w:t>Contribution to the Zero Draft Guidelines on Disability-Based Violence</w:t>
      </w:r>
    </w:p>
    <w:p w14:paraId="1D8667D7" w14:textId="77777777" w:rsidR="00552266" w:rsidRDefault="009E66AF">
      <w:r>
        <w:t>Draft Guidelines (English)</w:t>
      </w:r>
      <w:r>
        <w:br/>
        <w:t>Country: Canada</w:t>
      </w:r>
      <w:r>
        <w:br/>
        <w:t>Contact: office@aseq-ehaq.ca</w:t>
      </w:r>
    </w:p>
    <w:p w14:paraId="484A5A1A" w14:textId="77777777" w:rsidR="00552266" w:rsidRDefault="009E66AF">
      <w:pPr>
        <w:pStyle w:val="Heading2"/>
      </w:pPr>
      <w:r>
        <w:t>Introduction</w:t>
      </w:r>
    </w:p>
    <w:p w14:paraId="676F7DB8" w14:textId="77777777" w:rsidR="00552266" w:rsidRDefault="009E66AF">
      <w:r>
        <w:t>ASEQ-EHAQ and EHAC-ASEC welcome the Committee's initiative to develop Guidelines on Disability-Based Violence. We respectfully submit that persons living with Multiple Chemical Sensitivity (MCS), particularly women and girls, experience disability-based violence through systemic discrimination, inaccessible environments, denial of reasonable accommodation, medical dismissal, retaliation, social stigma and exclusion. Our recommendations are informed by the Accessible Air in the Built Environment research program and qualitative research examining retaliation and discrimination.</w:t>
      </w:r>
    </w:p>
    <w:p w14:paraId="3B36F9B9" w14:textId="77777777" w:rsidR="00552266" w:rsidRDefault="009E66AF">
      <w:pPr>
        <w:pStyle w:val="Heading2"/>
      </w:pPr>
      <w:r>
        <w:t>Comment / Proposal to Paragraph 17</w:t>
      </w:r>
    </w:p>
    <w:p w14:paraId="47170E0A" w14:textId="77777777" w:rsidR="00552266" w:rsidRDefault="009E66AF">
      <w:r>
        <w:t>Explicitly recognize persons living with environmentally triggered disabilities, including MCS, among groups experiencing disability-based violence.</w:t>
      </w:r>
    </w:p>
    <w:p w14:paraId="5A827BAF" w14:textId="77777777" w:rsidR="00552266" w:rsidRDefault="009E66AF">
      <w:pPr>
        <w:pStyle w:val="Heading2"/>
      </w:pPr>
      <w:r>
        <w:t>Comment / Proposal to Paragraph 20</w:t>
      </w:r>
    </w:p>
    <w:p w14:paraId="5ACFD18C" w14:textId="77777777" w:rsidR="00552266" w:rsidRDefault="009E66AF">
      <w:r>
        <w:t>Recognize persistent disbelief, ridicule, media misrepresentation and retaliation following accommodation requests as disability-based violence affecting invisible disabilities.</w:t>
      </w:r>
    </w:p>
    <w:p w14:paraId="71A6D40E" w14:textId="77777777" w:rsidR="00552266" w:rsidRDefault="009E66AF">
      <w:pPr>
        <w:pStyle w:val="Heading2"/>
      </w:pPr>
      <w:r>
        <w:t>Comment / Proposal to Paragraph 21</w:t>
      </w:r>
    </w:p>
    <w:p w14:paraId="28220204" w14:textId="77777777" w:rsidR="00552266" w:rsidRDefault="009E66AF">
      <w:r>
        <w:t>Recognize that inadequate medical education regarding MCS contributes to delayed diagnosis, dismissal, inappropriate psychiatric referral and institutional violence.</w:t>
      </w:r>
    </w:p>
    <w:p w14:paraId="3BB420B4" w14:textId="77777777" w:rsidR="00552266" w:rsidRDefault="009E66AF">
      <w:pPr>
        <w:pStyle w:val="Heading2"/>
      </w:pPr>
      <w:r>
        <w:t>Comment / Proposal to Paragraph 31</w:t>
      </w:r>
    </w:p>
    <w:p w14:paraId="08577DA6" w14:textId="77777777" w:rsidR="00552266" w:rsidRDefault="009E66AF">
      <w:r>
        <w:t>Recognize that inaccessible police, hospitals and shelters may prevent women with MCS from seeking protection.</w:t>
      </w:r>
    </w:p>
    <w:p w14:paraId="1F7BFE22" w14:textId="77777777" w:rsidR="00552266" w:rsidRDefault="009E66AF">
      <w:pPr>
        <w:pStyle w:val="Heading2"/>
      </w:pPr>
      <w:r>
        <w:t>Comment / Proposal to Paragraph 43</w:t>
      </w:r>
    </w:p>
    <w:p w14:paraId="72D113FF" w14:textId="77777777" w:rsidR="00552266" w:rsidRDefault="009E66AF">
      <w:r>
        <w:t>Recognize that inaccessible emergency shelters may leave women with MCS with no safe alternative to remaining in abusive situations.</w:t>
      </w:r>
    </w:p>
    <w:p w14:paraId="59F91FF0" w14:textId="77777777" w:rsidR="00552266" w:rsidRDefault="009E66AF">
      <w:pPr>
        <w:pStyle w:val="Heading2"/>
      </w:pPr>
      <w:r>
        <w:lastRenderedPageBreak/>
        <w:t>Comment / Proposal to Paragraph 46</w:t>
      </w:r>
    </w:p>
    <w:p w14:paraId="454B0F3B" w14:textId="77777777" w:rsidR="00552266" w:rsidRDefault="009E66AF">
      <w:r>
        <w:t>Expand psychological violence to include gaslighting, institutional disbelief and retaliation after requesting accommodation.</w:t>
      </w:r>
    </w:p>
    <w:p w14:paraId="6B942A7D" w14:textId="77777777" w:rsidR="00552266" w:rsidRDefault="009E66AF">
      <w:pPr>
        <w:pStyle w:val="Heading2"/>
      </w:pPr>
      <w:r>
        <w:t>Comment / Proposal to Paragraph 67</w:t>
      </w:r>
    </w:p>
    <w:p w14:paraId="2E2EF85E" w14:textId="77777777" w:rsidR="00552266" w:rsidRDefault="009E66AF">
      <w:r>
        <w:t>Recognize environmentally inaccessible workplaces and accommodation-related retaliation as contributors to economic violence.</w:t>
      </w:r>
    </w:p>
    <w:p w14:paraId="5AFB0AD5" w14:textId="77777777" w:rsidR="00552266" w:rsidRDefault="009E66AF">
      <w:pPr>
        <w:pStyle w:val="Heading2"/>
      </w:pPr>
      <w:r>
        <w:t>Comment / Proposal to Paragraph 75</w:t>
      </w:r>
    </w:p>
    <w:p w14:paraId="6BDB81AA" w14:textId="77777777" w:rsidR="00552266" w:rsidRDefault="009E66AF">
      <w:r>
        <w:t>Recommend disability awareness training for police and justice personnel that includes MCS.</w:t>
      </w:r>
    </w:p>
    <w:p w14:paraId="5F0A535D" w14:textId="77777777" w:rsidR="00552266" w:rsidRDefault="009E66AF">
      <w:pPr>
        <w:pStyle w:val="Heading2"/>
      </w:pPr>
      <w:r>
        <w:t>Comment / Proposal to Paragraph 77</w:t>
      </w:r>
    </w:p>
    <w:p w14:paraId="2A2CF353" w14:textId="77777777" w:rsidR="00552266" w:rsidRDefault="009E66AF">
      <w:r>
        <w:t>Recognize accessible air as part of healthcare accessibility, including source control, lowest-emission products, fragrance-free policies and indoor air quality management.</w:t>
      </w:r>
    </w:p>
    <w:p w14:paraId="197F7725" w14:textId="77777777" w:rsidR="00552266" w:rsidRDefault="009E66AF">
      <w:pPr>
        <w:pStyle w:val="Heading2"/>
      </w:pPr>
      <w:r>
        <w:t>Comment / Proposal to Paragraph 85</w:t>
      </w:r>
    </w:p>
    <w:p w14:paraId="4A0A7E90" w14:textId="77777777" w:rsidR="00552266" w:rsidRDefault="009E66AF">
      <w:r>
        <w:t>Recognize the need for environmentally accessible housing and healthcare as protective measures.</w:t>
      </w:r>
    </w:p>
    <w:p w14:paraId="0FA63607" w14:textId="77777777" w:rsidR="00552266" w:rsidRDefault="009E66AF">
      <w:pPr>
        <w:pStyle w:val="Heading2"/>
      </w:pPr>
      <w:r>
        <w:t>Comment / Proposal to Paragraph 87</w:t>
      </w:r>
    </w:p>
    <w:p w14:paraId="76736A9B" w14:textId="77777777" w:rsidR="00552266" w:rsidRDefault="009E66AF">
      <w:r>
        <w:t>Include diagnostic overshadowing and disbelief experienced by persons with MCS.</w:t>
      </w:r>
    </w:p>
    <w:p w14:paraId="44CDA1C3" w14:textId="77777777" w:rsidR="00552266" w:rsidRDefault="009E66AF">
      <w:pPr>
        <w:pStyle w:val="Heading2"/>
      </w:pPr>
      <w:r>
        <w:t>Comment / Proposal to Paragraph 91</w:t>
      </w:r>
    </w:p>
    <w:p w14:paraId="1FC38D95" w14:textId="77777777" w:rsidR="00552266" w:rsidRDefault="009E66AF">
      <w:r>
        <w:t>Recognize stigmatizing media portrayals and online harassment as disability-based violence.</w:t>
      </w:r>
    </w:p>
    <w:p w14:paraId="2C1B5B81" w14:textId="77777777" w:rsidR="00552266" w:rsidRDefault="009E66AF">
      <w:pPr>
        <w:pStyle w:val="Heading2"/>
      </w:pPr>
      <w:r>
        <w:t>Comment / Proposal to Paragraph 107</w:t>
      </w:r>
    </w:p>
    <w:p w14:paraId="30923D8E" w14:textId="77777777" w:rsidR="00552266" w:rsidRDefault="009E66AF">
      <w:r>
        <w:t>Recognize environmental accessibility, including accessible air, as essential to preventing disability-based violence.</w:t>
      </w:r>
    </w:p>
    <w:p w14:paraId="75503451" w14:textId="77777777" w:rsidR="00552266" w:rsidRDefault="009E66AF">
      <w:pPr>
        <w:pStyle w:val="Heading2"/>
      </w:pPr>
      <w:r>
        <w:t>Comment / Proposal to Paragraph 114</w:t>
      </w:r>
    </w:p>
    <w:p w14:paraId="20F40F6C" w14:textId="77777777" w:rsidR="00552266" w:rsidRDefault="009E66AF">
      <w:r>
        <w:t>Expand remedies to include environmentally accessible healthcare, housing, shelters, workplaces and education.</w:t>
      </w:r>
    </w:p>
    <w:p w14:paraId="4E006FC9" w14:textId="77777777" w:rsidR="00552266" w:rsidRDefault="009E66AF">
      <w:pPr>
        <w:pStyle w:val="Heading2"/>
      </w:pPr>
      <w:r>
        <w:t>Suggested References</w:t>
      </w:r>
    </w:p>
    <w:p w14:paraId="01CD4BCA" w14:textId="77777777" w:rsidR="00552266" w:rsidRDefault="009E66AF">
      <w:pPr>
        <w:pStyle w:val="ListBullet"/>
      </w:pPr>
      <w:r>
        <w:t>CRPD Committee Concluding Observations on Canada (2025)</w:t>
      </w:r>
    </w:p>
    <w:p w14:paraId="3BE128B9" w14:textId="77777777" w:rsidR="00552266" w:rsidRDefault="009E66AF">
      <w:pPr>
        <w:pStyle w:val="ListBullet"/>
      </w:pPr>
      <w:r>
        <w:t>Canadian Human Rights Commission – Environmental Sensitivities and Scent-Free Policies</w:t>
      </w:r>
    </w:p>
    <w:p w14:paraId="47E41EB8" w14:textId="77777777" w:rsidR="00552266" w:rsidRDefault="009E66AF">
      <w:pPr>
        <w:pStyle w:val="ListBullet"/>
      </w:pPr>
      <w:r>
        <w:t>American Medical Association. Fragrance Regulation (2025)</w:t>
      </w:r>
    </w:p>
    <w:p w14:paraId="157B5DB3" w14:textId="5A50CDFE" w:rsidR="00552266" w:rsidRDefault="009E66AF">
      <w:pPr>
        <w:pStyle w:val="ListBullet"/>
      </w:pPr>
      <w:r>
        <w:t>Canadian Medical Association policy endorsement (202</w:t>
      </w:r>
      <w:r w:rsidR="00243C6C">
        <w:t>6</w:t>
      </w:r>
      <w:r>
        <w:t>)</w:t>
      </w:r>
    </w:p>
    <w:p w14:paraId="38C6623C" w14:textId="77777777" w:rsidR="00552266" w:rsidRDefault="009E66AF">
      <w:pPr>
        <w:pStyle w:val="ListBullet"/>
      </w:pPr>
      <w:r>
        <w:lastRenderedPageBreak/>
        <w:t>Statistics Canada, Canadian Community Health Survey (2015–2016; 2020)</w:t>
      </w:r>
    </w:p>
    <w:p w14:paraId="2DB37935" w14:textId="77777777" w:rsidR="00552266" w:rsidRDefault="009E66AF">
      <w:pPr>
        <w:pStyle w:val="ListBullet"/>
      </w:pPr>
      <w:r>
        <w:t>ASEQ-EHAQ – Accessible Air in the Built Environment research program</w:t>
      </w:r>
    </w:p>
    <w:sectPr w:rsidR="00552266" w:rsidSect="00034616">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3EBBD" w14:textId="77777777" w:rsidR="004C4EBB" w:rsidRDefault="004C4EBB" w:rsidP="00243C6C">
      <w:pPr>
        <w:spacing w:after="0" w:line="240" w:lineRule="auto"/>
      </w:pPr>
      <w:r>
        <w:separator/>
      </w:r>
    </w:p>
  </w:endnote>
  <w:endnote w:type="continuationSeparator" w:id="0">
    <w:p w14:paraId="3525FB9C" w14:textId="77777777" w:rsidR="004C4EBB" w:rsidRDefault="004C4EBB" w:rsidP="0024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433DD" w14:textId="77777777" w:rsidR="004C4EBB" w:rsidRDefault="004C4EBB" w:rsidP="00243C6C">
      <w:pPr>
        <w:spacing w:after="0" w:line="240" w:lineRule="auto"/>
      </w:pPr>
      <w:r>
        <w:separator/>
      </w:r>
    </w:p>
  </w:footnote>
  <w:footnote w:type="continuationSeparator" w:id="0">
    <w:p w14:paraId="3A612F0F" w14:textId="77777777" w:rsidR="004C4EBB" w:rsidRDefault="004C4EBB" w:rsidP="0024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0474" w14:textId="6EB2A259" w:rsidR="00243C6C" w:rsidRDefault="00243C6C">
    <w:pPr>
      <w:pStyle w:val="Header"/>
    </w:pPr>
    <w:r w:rsidRPr="00D83E12">
      <w:rPr>
        <w:rFonts w:ascii="Calibri" w:eastAsia="Calibri" w:hAnsi="Calibri" w:cs="Times New Roman"/>
        <w:noProof/>
        <w:kern w:val="2"/>
        <w:sz w:val="24"/>
        <w:szCs w:val="24"/>
        <w:lang w:val="en-CA"/>
        <w14:ligatures w14:val="standardContextual"/>
      </w:rPr>
      <w:drawing>
        <wp:anchor distT="0" distB="0" distL="114300" distR="114300" simplePos="0" relativeHeight="251663360" behindDoc="0" locked="0" layoutInCell="1" allowOverlap="1" wp14:anchorId="0EFA9A01" wp14:editId="28D3E31E">
          <wp:simplePos x="0" y="0"/>
          <wp:positionH relativeFrom="column">
            <wp:posOffset>914400</wp:posOffset>
          </wp:positionH>
          <wp:positionV relativeFrom="paragraph">
            <wp:posOffset>-177800</wp:posOffset>
          </wp:positionV>
          <wp:extent cx="752475" cy="554355"/>
          <wp:effectExtent l="0" t="0" r="9525" b="0"/>
          <wp:wrapSquare wrapText="bothSides"/>
          <wp:docPr id="516761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554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3E12">
      <w:rPr>
        <w:rFonts w:ascii="Calibri" w:eastAsia="Calibri" w:hAnsi="Calibri" w:cs="Times New Roman"/>
        <w:noProof/>
        <w:kern w:val="2"/>
        <w:sz w:val="24"/>
        <w:szCs w:val="24"/>
        <w:lang w:val="en-CA"/>
        <w14:ligatures w14:val="standardContextual"/>
      </w:rPr>
      <w:drawing>
        <wp:anchor distT="0" distB="0" distL="114300" distR="114300" simplePos="0" relativeHeight="251657216" behindDoc="0" locked="0" layoutInCell="1" allowOverlap="1" wp14:anchorId="5D817ABA" wp14:editId="6439E641">
          <wp:simplePos x="0" y="0"/>
          <wp:positionH relativeFrom="column">
            <wp:posOffset>0</wp:posOffset>
          </wp:positionH>
          <wp:positionV relativeFrom="paragraph">
            <wp:posOffset>-228600</wp:posOffset>
          </wp:positionV>
          <wp:extent cx="685800" cy="677545"/>
          <wp:effectExtent l="0" t="0" r="0" b="8255"/>
          <wp:wrapSquare wrapText="bothSides"/>
          <wp:docPr id="27220211" name="Picture 2722021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with colorful leav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26702" t="27225" r="27748" b="27748"/>
                  <a:stretch/>
                </pic:blipFill>
                <pic:spPr bwMode="auto">
                  <a:xfrm>
                    <a:off x="0" y="0"/>
                    <a:ext cx="685800" cy="677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8F15BF" w14:textId="7C1BB33E" w:rsidR="00243C6C" w:rsidRDefault="00243C6C">
    <w:pPr>
      <w:pStyle w:val="Header"/>
    </w:pPr>
  </w:p>
  <w:p w14:paraId="65FAB47B" w14:textId="20504531" w:rsidR="00243C6C" w:rsidRDefault="00243C6C">
    <w:pPr>
      <w:pStyle w:val="Header"/>
    </w:pPr>
  </w:p>
  <w:p w14:paraId="648BA0FC" w14:textId="77777777" w:rsidR="00243C6C" w:rsidRDefault="00243C6C" w:rsidP="00243C6C">
    <w:pPr>
      <w:tabs>
        <w:tab w:val="center" w:pos="4680"/>
        <w:tab w:val="right" w:pos="9360"/>
      </w:tabs>
      <w:spacing w:after="0" w:line="240" w:lineRule="auto"/>
      <w:rPr>
        <w:rFonts w:ascii="Arial" w:hAnsi="Arial"/>
        <w:sz w:val="16"/>
      </w:rPr>
    </w:pPr>
  </w:p>
  <w:p w14:paraId="6722C9E9" w14:textId="77777777" w:rsidR="00243C6C" w:rsidRPr="00243C6C" w:rsidRDefault="00243C6C" w:rsidP="00243C6C">
    <w:pPr>
      <w:tabs>
        <w:tab w:val="center" w:pos="4680"/>
        <w:tab w:val="right" w:pos="9360"/>
      </w:tabs>
      <w:spacing w:after="0" w:line="240" w:lineRule="auto"/>
      <w:rPr>
        <w:rFonts w:ascii="Arial" w:hAnsi="Arial"/>
        <w:sz w:val="15"/>
        <w:szCs w:val="15"/>
      </w:rPr>
    </w:pPr>
  </w:p>
  <w:p w14:paraId="17095A84" w14:textId="34969114" w:rsidR="00243C6C" w:rsidRPr="00243C6C" w:rsidRDefault="00243C6C" w:rsidP="00243C6C">
    <w:pPr>
      <w:tabs>
        <w:tab w:val="center" w:pos="4680"/>
        <w:tab w:val="right" w:pos="9360"/>
      </w:tabs>
      <w:spacing w:after="0" w:line="240" w:lineRule="auto"/>
      <w:rPr>
        <w:rFonts w:ascii="Arial" w:hAnsi="Arial"/>
        <w:sz w:val="15"/>
        <w:szCs w:val="15"/>
      </w:rPr>
    </w:pPr>
    <w:r w:rsidRPr="00243C6C">
      <w:rPr>
        <w:rFonts w:ascii="Arial" w:hAnsi="Arial"/>
        <w:sz w:val="15"/>
        <w:szCs w:val="15"/>
      </w:rPr>
      <w:t>Environmental Health Association of Quebec (ASEQ-EHAQ) | Environmental Health Association of Canada (EHAC-ASEC)</w:t>
    </w:r>
  </w:p>
  <w:p w14:paraId="6D939402" w14:textId="77777777" w:rsidR="00243C6C" w:rsidRDefault="00243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5952756">
    <w:abstractNumId w:val="8"/>
  </w:num>
  <w:num w:numId="2" w16cid:durableId="1621690567">
    <w:abstractNumId w:val="6"/>
  </w:num>
  <w:num w:numId="3" w16cid:durableId="1195535125">
    <w:abstractNumId w:val="5"/>
  </w:num>
  <w:num w:numId="4" w16cid:durableId="1859193737">
    <w:abstractNumId w:val="4"/>
  </w:num>
  <w:num w:numId="5" w16cid:durableId="269631442">
    <w:abstractNumId w:val="7"/>
  </w:num>
  <w:num w:numId="6" w16cid:durableId="466581457">
    <w:abstractNumId w:val="3"/>
  </w:num>
  <w:num w:numId="7" w16cid:durableId="1192762533">
    <w:abstractNumId w:val="2"/>
  </w:num>
  <w:num w:numId="8" w16cid:durableId="175310496">
    <w:abstractNumId w:val="1"/>
  </w:num>
  <w:num w:numId="9" w16cid:durableId="1757938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E04"/>
    <w:rsid w:val="002321A4"/>
    <w:rsid w:val="00243C6C"/>
    <w:rsid w:val="0029639D"/>
    <w:rsid w:val="00326F90"/>
    <w:rsid w:val="004C4EBB"/>
    <w:rsid w:val="00552266"/>
    <w:rsid w:val="005A69C5"/>
    <w:rsid w:val="006102CA"/>
    <w:rsid w:val="006D7E54"/>
    <w:rsid w:val="009306DD"/>
    <w:rsid w:val="009E66AF"/>
    <w:rsid w:val="00AA1D8D"/>
    <w:rsid w:val="00B47730"/>
    <w:rsid w:val="00BD52C3"/>
    <w:rsid w:val="00CB0664"/>
    <w:rsid w:val="00D237C4"/>
    <w:rsid w:val="00FA0A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E1A20B"/>
  <w14:defaultImageDpi w14:val="300"/>
  <w15:docId w15:val="{F9861C85-D295-4123-AF26-21BCD6CE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Environmental Health Association of Quebec (ASEQ-EHAQ) and Environmental Health Association of Canada (EHAC-ASEC)</Contributor>
    <Status xmlns="d42e65b2-cf21-49c1-b27d-d23f90380c0e">Ready to publish</Status>
    <AItagger xmlns="d42e65b2-cf21-49c1-b27d-d23f90380c0e">false</AIta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2CE65-6591-4045-B5DA-2E3FEEA18693}">
  <ds:schemaRefs>
    <ds:schemaRef ds:uri="http://schemas.microsoft.com/office/2006/metadata/properties"/>
    <ds:schemaRef ds:uri="http://schemas.microsoft.com/office/infopath/2007/PartnerControls"/>
    <ds:schemaRef ds:uri="985ec44e-1bab-4c0b-9df0-6ba128686fc9"/>
    <ds:schemaRef ds:uri="11a6fe0c-d8de-4390-afb3-d9c7c54181f0"/>
    <ds:schemaRef ds:uri="c43d6523-f909-4250-bbe1-6bcdc0c7194c"/>
  </ds:schemaRefs>
</ds:datastoreItem>
</file>

<file path=customXml/itemProps2.xml><?xml version="1.0" encoding="utf-8"?>
<ds:datastoreItem xmlns:ds="http://schemas.openxmlformats.org/officeDocument/2006/customXml" ds:itemID="{EC608C88-8B2C-46F9-B9C1-A2F447F35132}">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EDABD18-0B64-4C55-92E1-1D27E57C9F7D}"/>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428</Words>
  <Characters>3106</Characters>
  <Application>Microsoft Office Word</Application>
  <DocSecurity>0</DocSecurity>
  <Lines>65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Jorge Araya</cp:lastModifiedBy>
  <cp:revision>4</cp:revision>
  <dcterms:created xsi:type="dcterms:W3CDTF">2026-06-30T06:31:00Z</dcterms:created>
  <dcterms:modified xsi:type="dcterms:W3CDTF">2026-08-04T14:11:00Z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