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BB98FE" w14:textId="422FEA69" w:rsidR="003510CA" w:rsidRPr="00E811FE" w:rsidRDefault="003510CA" w:rsidP="003510CA">
      <w:pPr>
        <w:pStyle w:val="NoSpacing"/>
        <w:jc w:val="center"/>
        <w:rPr>
          <w:rFonts w:ascii="Garamond" w:hAnsi="Garamond"/>
          <w:i/>
          <w:iCs/>
          <w:sz w:val="20"/>
          <w:szCs w:val="20"/>
        </w:rPr>
      </w:pPr>
      <w:r w:rsidRPr="00E811FE">
        <w:rPr>
          <w:rFonts w:ascii="Garamond" w:hAnsi="Garamond"/>
          <w:i/>
          <w:iCs/>
          <w:sz w:val="20"/>
          <w:szCs w:val="20"/>
        </w:rPr>
        <w:t>Response to the</w:t>
      </w:r>
      <w:r w:rsidRPr="00E811FE">
        <w:rPr>
          <w:rFonts w:ascii="Garamond" w:hAnsi="Garamond"/>
          <w:i/>
          <w:iCs/>
          <w:sz w:val="20"/>
          <w:szCs w:val="20"/>
        </w:rPr>
        <w:t xml:space="preserve"> Independent Expert on the enjoyment of all human rights by older persons, Office of the United Nations High Commissioner for Human Rights, for the 63rd session of the United Nations Human Rights Council report on “Autonomy, participation and human dignity of older persons with cognitive impairment”</w:t>
      </w:r>
    </w:p>
    <w:p w14:paraId="235C62EF" w14:textId="77777777" w:rsidR="003510CA" w:rsidRDefault="003510CA" w:rsidP="00916397">
      <w:pPr>
        <w:pStyle w:val="NoSpacing"/>
        <w:rPr>
          <w:rFonts w:ascii="Garamond" w:hAnsi="Garamond"/>
          <w:sz w:val="20"/>
          <w:szCs w:val="20"/>
        </w:rPr>
      </w:pPr>
    </w:p>
    <w:p w14:paraId="66D61684" w14:textId="36E8FDC6" w:rsidR="00E359AC" w:rsidRPr="00E359AC" w:rsidRDefault="00E359AC" w:rsidP="00916397">
      <w:pPr>
        <w:pStyle w:val="NoSpacing"/>
        <w:rPr>
          <w:rFonts w:ascii="Garamond" w:hAnsi="Garamond"/>
          <w:sz w:val="20"/>
          <w:szCs w:val="20"/>
        </w:rPr>
      </w:pPr>
      <w:r w:rsidRPr="00E359AC">
        <w:rPr>
          <w:rFonts w:ascii="Garamond" w:hAnsi="Garamond"/>
          <w:sz w:val="20"/>
          <w:szCs w:val="20"/>
        </w:rPr>
        <w:t xml:space="preserve">Dear Mr. Pirtošek,  </w:t>
      </w:r>
    </w:p>
    <w:p w14:paraId="097DF421" w14:textId="77777777" w:rsidR="00E359AC" w:rsidRPr="00E359AC" w:rsidRDefault="00E359AC" w:rsidP="00916397">
      <w:pPr>
        <w:pStyle w:val="NoSpacing"/>
        <w:rPr>
          <w:rFonts w:ascii="Garamond" w:hAnsi="Garamond"/>
          <w:sz w:val="20"/>
          <w:szCs w:val="20"/>
        </w:rPr>
      </w:pPr>
    </w:p>
    <w:p w14:paraId="47C8F9B7" w14:textId="3C45112B" w:rsidR="003E2B75" w:rsidRPr="00E359AC" w:rsidRDefault="00E359AC" w:rsidP="00E359AC">
      <w:pPr>
        <w:pStyle w:val="NoSpacing"/>
        <w:ind w:firstLine="720"/>
        <w:rPr>
          <w:rFonts w:ascii="Garamond" w:hAnsi="Garamond"/>
          <w:sz w:val="20"/>
          <w:szCs w:val="20"/>
        </w:rPr>
      </w:pPr>
      <w:r w:rsidRPr="00E359AC">
        <w:rPr>
          <w:rFonts w:ascii="Garamond" w:hAnsi="Garamond"/>
          <w:sz w:val="20"/>
          <w:szCs w:val="20"/>
        </w:rPr>
        <w:t>Thank you</w:t>
      </w:r>
      <w:r w:rsidRPr="00E359AC">
        <w:rPr>
          <w:rFonts w:ascii="Garamond" w:hAnsi="Garamond"/>
          <w:sz w:val="20"/>
          <w:szCs w:val="20"/>
        </w:rPr>
        <w:t xml:space="preserve"> for the opportunity to </w:t>
      </w:r>
      <w:r w:rsidR="00E811FE">
        <w:rPr>
          <w:rFonts w:ascii="Garamond" w:hAnsi="Garamond"/>
          <w:sz w:val="20"/>
          <w:szCs w:val="20"/>
        </w:rPr>
        <w:t>provide</w:t>
      </w:r>
      <w:r w:rsidRPr="00E359AC">
        <w:rPr>
          <w:rFonts w:ascii="Garamond" w:hAnsi="Garamond"/>
          <w:sz w:val="20"/>
          <w:szCs w:val="20"/>
        </w:rPr>
        <w:t xml:space="preserve"> input to the Independent Expert on the enjoyment of all human rights by older persons, under the mandate of the Office of the United Nations High Commissioner for Human Rights, for the forthcoming report to the 63rd session of the United Nations Human Rights Council on “Autonomy, participation and human dignity of older persons with cognitive impairment.”</w:t>
      </w:r>
      <w:r w:rsidRPr="00E359AC">
        <w:rPr>
          <w:rFonts w:ascii="Garamond" w:hAnsi="Garamond"/>
          <w:sz w:val="20"/>
          <w:szCs w:val="20"/>
        </w:rPr>
        <w:t xml:space="preserve">  </w:t>
      </w:r>
      <w:r w:rsidR="003E2B75" w:rsidRPr="00E359AC">
        <w:rPr>
          <w:rFonts w:ascii="Garamond" w:hAnsi="Garamond"/>
          <w:sz w:val="20"/>
          <w:szCs w:val="20"/>
        </w:rPr>
        <w:t xml:space="preserve">I write from the perspective of a neurologist and </w:t>
      </w:r>
      <w:r w:rsidR="003E2B75" w:rsidRPr="00E359AC">
        <w:rPr>
          <w:rFonts w:ascii="Garamond" w:hAnsi="Garamond"/>
          <w:sz w:val="20"/>
          <w:szCs w:val="20"/>
        </w:rPr>
        <w:t xml:space="preserve">researcher </w:t>
      </w:r>
      <w:r w:rsidR="003E2B75" w:rsidRPr="00E359AC">
        <w:rPr>
          <w:rFonts w:ascii="Garamond" w:hAnsi="Garamond"/>
          <w:sz w:val="20"/>
          <w:szCs w:val="20"/>
        </w:rPr>
        <w:t xml:space="preserve">whose work has focused on disorders of consciousness, </w:t>
      </w:r>
      <w:r w:rsidR="003E2B75" w:rsidRPr="00E359AC">
        <w:rPr>
          <w:rFonts w:ascii="Garamond" w:hAnsi="Garamond"/>
          <w:sz w:val="20"/>
          <w:szCs w:val="20"/>
        </w:rPr>
        <w:t xml:space="preserve">clinical neurotechnologies, </w:t>
      </w:r>
      <w:r w:rsidR="003E2B75" w:rsidRPr="00E359AC">
        <w:rPr>
          <w:rFonts w:ascii="Garamond" w:hAnsi="Garamond"/>
          <w:sz w:val="20"/>
          <w:szCs w:val="20"/>
        </w:rPr>
        <w:t>consciousness, neuroprognostication, and the ethics of research and care for persons whose ability to communicate, deliberate, or express preferences may be absent, limited, fluctuating, or difficult to interpret.</w:t>
      </w:r>
      <w:r w:rsidR="00B17F6B" w:rsidRPr="00E359AC">
        <w:rPr>
          <w:rFonts w:ascii="Garamond" w:hAnsi="Garamond"/>
          <w:sz w:val="20"/>
          <w:szCs w:val="20"/>
        </w:rPr>
        <w:t xml:space="preserve"> </w:t>
      </w:r>
      <w:r w:rsidRPr="00E359AC">
        <w:rPr>
          <w:rFonts w:ascii="Garamond" w:hAnsi="Garamond"/>
          <w:sz w:val="20"/>
          <w:szCs w:val="20"/>
        </w:rPr>
        <w:t xml:space="preserve"> </w:t>
      </w:r>
      <w:r w:rsidR="003E2B75" w:rsidRPr="00E359AC">
        <w:rPr>
          <w:rFonts w:ascii="Garamond" w:hAnsi="Garamond"/>
          <w:sz w:val="20"/>
          <w:szCs w:val="20"/>
        </w:rPr>
        <w:t xml:space="preserve">Although disorders of consciousness and age-related cognitive impairment are clinically distinct, they raise overlapping human rights concerns. In both contexts, the person may be treated as less than fully present because their mode of communication no longer conforms to ordinary expectations. Their preferences may be </w:t>
      </w:r>
      <w:r w:rsidR="003E2B75" w:rsidRPr="00E359AC">
        <w:rPr>
          <w:rFonts w:ascii="Garamond" w:hAnsi="Garamond"/>
          <w:sz w:val="20"/>
          <w:szCs w:val="20"/>
        </w:rPr>
        <w:t>overlooked</w:t>
      </w:r>
      <w:r w:rsidR="003E2B75" w:rsidRPr="00E359AC">
        <w:rPr>
          <w:rFonts w:ascii="Garamond" w:hAnsi="Garamond"/>
          <w:sz w:val="20"/>
          <w:szCs w:val="20"/>
        </w:rPr>
        <w:t xml:space="preserve"> because they are difficult to elicit. </w:t>
      </w:r>
      <w:r w:rsidRPr="00E359AC">
        <w:rPr>
          <w:rFonts w:ascii="Garamond" w:hAnsi="Garamond"/>
          <w:sz w:val="20"/>
          <w:szCs w:val="20"/>
        </w:rPr>
        <w:t xml:space="preserve"> </w:t>
      </w:r>
      <w:r w:rsidR="003E2B75" w:rsidRPr="00E359AC">
        <w:rPr>
          <w:rFonts w:ascii="Garamond" w:hAnsi="Garamond"/>
          <w:sz w:val="20"/>
          <w:szCs w:val="20"/>
        </w:rPr>
        <w:t xml:space="preserve">Their dignity may be undermined </w:t>
      </w:r>
      <w:r w:rsidR="003E2B75" w:rsidRPr="00E359AC">
        <w:rPr>
          <w:rFonts w:ascii="Garamond" w:hAnsi="Garamond"/>
          <w:sz w:val="20"/>
          <w:szCs w:val="20"/>
        </w:rPr>
        <w:t>if</w:t>
      </w:r>
      <w:r w:rsidR="003E2B75" w:rsidRPr="00E359AC">
        <w:rPr>
          <w:rFonts w:ascii="Garamond" w:hAnsi="Garamond"/>
          <w:sz w:val="20"/>
          <w:szCs w:val="20"/>
        </w:rPr>
        <w:t xml:space="preserve"> presumed incapable of meaningful participation. </w:t>
      </w:r>
    </w:p>
    <w:p w14:paraId="554F5C3E" w14:textId="77777777" w:rsidR="00916397" w:rsidRPr="00E359AC" w:rsidRDefault="00916397" w:rsidP="00916397">
      <w:pPr>
        <w:pStyle w:val="NoSpacing"/>
        <w:rPr>
          <w:rFonts w:ascii="Garamond" w:hAnsi="Garamond"/>
          <w:sz w:val="20"/>
          <w:szCs w:val="20"/>
        </w:rPr>
      </w:pPr>
    </w:p>
    <w:p w14:paraId="53415400" w14:textId="77777777" w:rsidR="00B17F6B" w:rsidRPr="00E359AC" w:rsidRDefault="003E2B75" w:rsidP="00B17F6B">
      <w:pPr>
        <w:pStyle w:val="NoSpacing"/>
        <w:rPr>
          <w:rFonts w:ascii="Garamond" w:hAnsi="Garamond"/>
          <w:sz w:val="20"/>
          <w:szCs w:val="20"/>
        </w:rPr>
      </w:pPr>
      <w:r w:rsidRPr="00E359AC">
        <w:rPr>
          <w:rFonts w:ascii="Garamond" w:hAnsi="Garamond"/>
          <w:sz w:val="20"/>
          <w:szCs w:val="20"/>
        </w:rPr>
        <w:t>R</w:t>
      </w:r>
      <w:r w:rsidRPr="00E359AC">
        <w:rPr>
          <w:rFonts w:ascii="Garamond" w:hAnsi="Garamond"/>
          <w:sz w:val="20"/>
          <w:szCs w:val="20"/>
        </w:rPr>
        <w:t xml:space="preserve">ecent work through the Curing Coma Campaign Ethics Working Group developed the </w:t>
      </w:r>
      <w:r w:rsidRPr="00E359AC">
        <w:rPr>
          <w:rStyle w:val="s1"/>
          <w:rFonts w:ascii="Garamond" w:hAnsi="Garamond"/>
          <w:sz w:val="20"/>
          <w:szCs w:val="20"/>
        </w:rPr>
        <w:t>Common Consent Elements for Research Involving Persons with Disorders of Consciousness</w:t>
      </w:r>
      <w:r w:rsidRPr="00E359AC">
        <w:rPr>
          <w:rFonts w:ascii="Garamond" w:hAnsi="Garamond"/>
          <w:sz w:val="20"/>
          <w:szCs w:val="20"/>
        </w:rPr>
        <w:t xml:space="preserve">, or </w:t>
      </w:r>
      <w:r w:rsidRPr="00E359AC">
        <w:rPr>
          <w:rStyle w:val="s1"/>
          <w:rFonts w:ascii="Garamond" w:hAnsi="Garamond"/>
          <w:sz w:val="20"/>
          <w:szCs w:val="20"/>
        </w:rPr>
        <w:t>CCE-DoC</w:t>
      </w:r>
      <w:r w:rsidRPr="00E359AC">
        <w:rPr>
          <w:rFonts w:ascii="Garamond" w:hAnsi="Garamond"/>
          <w:sz w:val="20"/>
          <w:szCs w:val="20"/>
        </w:rPr>
        <w:t xml:space="preserve">, as a modular framework for research consent when decisional capacity is absent, limited, or fluctuating. While CCE-DoC was designed for research involving persons with disorders of consciousness, several of its underlying principles are transferable to older persons with cognitive impairment. These </w:t>
      </w:r>
      <w:proofErr w:type="gramStart"/>
      <w:r w:rsidRPr="00E359AC">
        <w:rPr>
          <w:rFonts w:ascii="Garamond" w:hAnsi="Garamond"/>
          <w:sz w:val="20"/>
          <w:szCs w:val="20"/>
        </w:rPr>
        <w:t>include:</w:t>
      </w:r>
      <w:proofErr w:type="gramEnd"/>
      <w:r w:rsidRPr="00E359AC">
        <w:rPr>
          <w:rFonts w:ascii="Garamond" w:hAnsi="Garamond"/>
          <w:sz w:val="20"/>
          <w:szCs w:val="20"/>
        </w:rPr>
        <w:t xml:space="preserve"> explicit acknowledgment of impaired or fluctuating capacity; recognition of </w:t>
      </w:r>
      <w:r w:rsidRPr="00E359AC">
        <w:rPr>
          <w:rFonts w:ascii="Garamond" w:hAnsi="Garamond"/>
          <w:sz w:val="20"/>
          <w:szCs w:val="20"/>
        </w:rPr>
        <w:t xml:space="preserve">liminal or </w:t>
      </w:r>
      <w:r w:rsidRPr="00E359AC">
        <w:rPr>
          <w:rFonts w:ascii="Garamond" w:hAnsi="Garamond"/>
          <w:sz w:val="20"/>
          <w:szCs w:val="20"/>
        </w:rPr>
        <w:t>partial capacities; iterative reassessment over time; supported and accessible communication; attention to assent, dissent, distress, and withdrawal; careful governance of sensitive brain and health data; transparent return of information; support for family or surrogate decision-makers; and, in higher-risk contexts, the possible role of an independent advocate.</w:t>
      </w:r>
      <w:r w:rsidR="00B17F6B" w:rsidRPr="00E359AC">
        <w:rPr>
          <w:rFonts w:ascii="Garamond" w:hAnsi="Garamond"/>
          <w:sz w:val="20"/>
          <w:szCs w:val="20"/>
        </w:rPr>
        <w:t xml:space="preserve"> </w:t>
      </w:r>
    </w:p>
    <w:p w14:paraId="1D17AA60" w14:textId="77777777" w:rsidR="00B17F6B" w:rsidRPr="00E359AC" w:rsidRDefault="00B17F6B" w:rsidP="00B17F6B">
      <w:pPr>
        <w:pStyle w:val="NoSpacing"/>
        <w:rPr>
          <w:rFonts w:ascii="Garamond" w:hAnsi="Garamond"/>
          <w:sz w:val="20"/>
          <w:szCs w:val="20"/>
        </w:rPr>
      </w:pPr>
    </w:p>
    <w:p w14:paraId="7E46E138" w14:textId="7209ECE3" w:rsidR="003E2B75" w:rsidRPr="00E359AC" w:rsidRDefault="003E2B75" w:rsidP="00B17F6B">
      <w:pPr>
        <w:pStyle w:val="NoSpacing"/>
        <w:rPr>
          <w:rFonts w:ascii="Garamond" w:hAnsi="Garamond"/>
          <w:sz w:val="20"/>
          <w:szCs w:val="20"/>
        </w:rPr>
      </w:pPr>
      <w:r w:rsidRPr="00E359AC">
        <w:rPr>
          <w:rFonts w:ascii="Garamond" w:hAnsi="Garamond"/>
          <w:sz w:val="20"/>
          <w:szCs w:val="20"/>
        </w:rPr>
        <w:t>A</w:t>
      </w:r>
      <w:r w:rsidRPr="00E359AC">
        <w:rPr>
          <w:rFonts w:ascii="Garamond" w:hAnsi="Garamond"/>
          <w:sz w:val="20"/>
          <w:szCs w:val="20"/>
        </w:rPr>
        <w:t xml:space="preserve"> central lesson of CCE-DoC is that autonomy should not be treated as a binary property that is either fully present or absent. Instead, autonomy may persist in supported, relational, partial, fluctuating, and context-dependent forms. This lesson is directly relevant to older persons with cognitive impairment.</w:t>
      </w:r>
      <w:r w:rsidR="00B17F6B" w:rsidRPr="00E359AC">
        <w:rPr>
          <w:rFonts w:ascii="Garamond" w:hAnsi="Garamond"/>
          <w:sz w:val="20"/>
          <w:szCs w:val="20"/>
        </w:rPr>
        <w:t xml:space="preserve"> </w:t>
      </w:r>
      <w:r w:rsidRPr="00E359AC">
        <w:rPr>
          <w:rFonts w:ascii="Garamond" w:hAnsi="Garamond"/>
          <w:sz w:val="20"/>
          <w:szCs w:val="20"/>
        </w:rPr>
        <w:t>Many e</w:t>
      </w:r>
      <w:r w:rsidRPr="00E359AC">
        <w:rPr>
          <w:rFonts w:ascii="Garamond" w:hAnsi="Garamond"/>
          <w:sz w:val="20"/>
          <w:szCs w:val="20"/>
        </w:rPr>
        <w:t>nvironments frequently privilege the person who can answer quickly, summarize information accurately, and express a stable preference in conventional language. When a</w:t>
      </w:r>
      <w:r w:rsidRPr="00E359AC">
        <w:rPr>
          <w:rFonts w:ascii="Garamond" w:hAnsi="Garamond"/>
          <w:sz w:val="20"/>
          <w:szCs w:val="20"/>
        </w:rPr>
        <w:t xml:space="preserve"> </w:t>
      </w:r>
      <w:r w:rsidRPr="00E359AC">
        <w:rPr>
          <w:rFonts w:ascii="Garamond" w:hAnsi="Garamond"/>
          <w:sz w:val="20"/>
          <w:szCs w:val="20"/>
        </w:rPr>
        <w:t xml:space="preserve">person cannot do so, others may begin to answer for them, sometimes with good intentions but with the cumulative effect of </w:t>
      </w:r>
      <w:r w:rsidRPr="00E359AC">
        <w:rPr>
          <w:rFonts w:ascii="Garamond" w:hAnsi="Garamond"/>
          <w:sz w:val="20"/>
          <w:szCs w:val="20"/>
        </w:rPr>
        <w:t>removing</w:t>
      </w:r>
      <w:r w:rsidRPr="00E359AC">
        <w:rPr>
          <w:rFonts w:ascii="Garamond" w:hAnsi="Garamond"/>
          <w:sz w:val="20"/>
          <w:szCs w:val="20"/>
        </w:rPr>
        <w:t xml:space="preserve"> the person from decisions that concern their life.</w:t>
      </w:r>
      <w:r w:rsidRPr="00E359AC">
        <w:rPr>
          <w:rFonts w:ascii="Garamond" w:hAnsi="Garamond"/>
          <w:sz w:val="20"/>
          <w:szCs w:val="20"/>
        </w:rPr>
        <w:t xml:space="preserve"> </w:t>
      </w:r>
      <w:r w:rsidRPr="00E359AC">
        <w:rPr>
          <w:rFonts w:ascii="Garamond" w:hAnsi="Garamond"/>
          <w:sz w:val="20"/>
          <w:szCs w:val="20"/>
        </w:rPr>
        <w:t>Even where formal rights remain intact, the person’s practical status as a participant may be diminished.</w:t>
      </w:r>
      <w:r w:rsidR="00B17F6B" w:rsidRPr="00E359AC">
        <w:rPr>
          <w:rFonts w:ascii="Garamond" w:hAnsi="Garamond"/>
          <w:sz w:val="20"/>
          <w:szCs w:val="20"/>
        </w:rPr>
        <w:t xml:space="preserve"> </w:t>
      </w:r>
      <w:r w:rsidRPr="00E359AC">
        <w:rPr>
          <w:rFonts w:ascii="Garamond" w:hAnsi="Garamond"/>
          <w:sz w:val="20"/>
          <w:szCs w:val="20"/>
        </w:rPr>
        <w:t xml:space="preserve">A transferable lesson from CCE-DoC is that any process involving a person with impaired cognition should begin with explicit recognition of the person’s </w:t>
      </w:r>
      <w:r w:rsidRPr="00E359AC">
        <w:rPr>
          <w:rFonts w:ascii="Garamond" w:hAnsi="Garamond"/>
          <w:sz w:val="20"/>
          <w:szCs w:val="20"/>
        </w:rPr>
        <w:t>enduring</w:t>
      </w:r>
      <w:r w:rsidRPr="00E359AC">
        <w:rPr>
          <w:rFonts w:ascii="Garamond" w:hAnsi="Garamond"/>
          <w:sz w:val="20"/>
          <w:szCs w:val="20"/>
        </w:rPr>
        <w:t xml:space="preserve"> moral status. In research involving persons with disorders of consciousness, we </w:t>
      </w:r>
      <w:r w:rsidR="00B17F6B" w:rsidRPr="00E359AC">
        <w:rPr>
          <w:rFonts w:ascii="Garamond" w:hAnsi="Garamond"/>
          <w:sz w:val="20"/>
          <w:szCs w:val="20"/>
        </w:rPr>
        <w:t>examined</w:t>
      </w:r>
      <w:r w:rsidRPr="00E359AC">
        <w:rPr>
          <w:rFonts w:ascii="Garamond" w:hAnsi="Garamond"/>
          <w:sz w:val="20"/>
          <w:szCs w:val="20"/>
        </w:rPr>
        <w:t xml:space="preserve"> </w:t>
      </w:r>
      <w:r w:rsidR="00B17F6B" w:rsidRPr="00E359AC">
        <w:rPr>
          <w:rFonts w:ascii="Garamond" w:hAnsi="Garamond"/>
          <w:sz w:val="20"/>
          <w:szCs w:val="20"/>
        </w:rPr>
        <w:t>how</w:t>
      </w:r>
      <w:r w:rsidRPr="00E359AC">
        <w:rPr>
          <w:rFonts w:ascii="Garamond" w:hAnsi="Garamond"/>
          <w:sz w:val="20"/>
          <w:szCs w:val="20"/>
        </w:rPr>
        <w:t xml:space="preserve"> consent processes </w:t>
      </w:r>
      <w:r w:rsidR="00B17F6B" w:rsidRPr="00E359AC">
        <w:rPr>
          <w:rFonts w:ascii="Garamond" w:hAnsi="Garamond"/>
          <w:sz w:val="20"/>
          <w:szCs w:val="20"/>
        </w:rPr>
        <w:t>c</w:t>
      </w:r>
      <w:r w:rsidRPr="00E359AC">
        <w:rPr>
          <w:rFonts w:ascii="Garamond" w:hAnsi="Garamond"/>
          <w:sz w:val="20"/>
          <w:szCs w:val="20"/>
        </w:rPr>
        <w:t xml:space="preserve">ould explicitly acknowledge the condition, explain </w:t>
      </w:r>
      <w:r w:rsidRPr="00E359AC">
        <w:rPr>
          <w:rFonts w:ascii="Garamond" w:hAnsi="Garamond"/>
          <w:sz w:val="20"/>
          <w:szCs w:val="20"/>
        </w:rPr>
        <w:t xml:space="preserve">if and </w:t>
      </w:r>
      <w:r w:rsidRPr="00E359AC">
        <w:rPr>
          <w:rFonts w:ascii="Garamond" w:hAnsi="Garamond"/>
          <w:sz w:val="20"/>
          <w:szCs w:val="20"/>
        </w:rPr>
        <w:t xml:space="preserve">why surrogate decision-making is being used, and recognize the possibility that the person may retain subjective experience or covert capacities despite limited behavioral expression. </w:t>
      </w:r>
    </w:p>
    <w:p w14:paraId="5FE2A223" w14:textId="77777777" w:rsidR="00916397" w:rsidRPr="00E359AC" w:rsidRDefault="00916397" w:rsidP="00916397">
      <w:pPr>
        <w:pStyle w:val="NoSpacing"/>
        <w:rPr>
          <w:rFonts w:ascii="Garamond" w:hAnsi="Garamond"/>
          <w:sz w:val="20"/>
          <w:szCs w:val="20"/>
        </w:rPr>
      </w:pPr>
    </w:p>
    <w:p w14:paraId="752444D1" w14:textId="438FDDD6" w:rsidR="003E2B75" w:rsidRPr="00E359AC" w:rsidRDefault="003E2B75" w:rsidP="00B17F6B">
      <w:pPr>
        <w:pStyle w:val="NoSpacing"/>
        <w:rPr>
          <w:rFonts w:ascii="Garamond" w:hAnsi="Garamond"/>
          <w:sz w:val="20"/>
          <w:szCs w:val="20"/>
        </w:rPr>
      </w:pPr>
      <w:r w:rsidRPr="00E359AC">
        <w:rPr>
          <w:rFonts w:ascii="Garamond" w:hAnsi="Garamond"/>
          <w:sz w:val="20"/>
          <w:szCs w:val="20"/>
        </w:rPr>
        <w:t>A second transferable lesson is the importance of recognizing partial, liminal, and fluctuating capacities. In CCE-DoC, we emphasized that some persons who cannot provide full informed consent may nevertheless show reliable signs of awareness, preference, assent, distress, or dissent. These signs may include eye movements, facial expression, changes in attention, withdrawal, agitation, purposeful movement, or other behaviors that require careful interpretation. The</w:t>
      </w:r>
      <w:r w:rsidRPr="00E359AC">
        <w:rPr>
          <w:rFonts w:ascii="Garamond" w:hAnsi="Garamond"/>
          <w:sz w:val="20"/>
          <w:szCs w:val="20"/>
        </w:rPr>
        <w:t xml:space="preserve">se are important openings to integrate </w:t>
      </w:r>
      <w:r w:rsidRPr="00E359AC">
        <w:rPr>
          <w:rFonts w:ascii="Garamond" w:hAnsi="Garamond"/>
          <w:sz w:val="20"/>
          <w:szCs w:val="20"/>
        </w:rPr>
        <w:t>practices that detect</w:t>
      </w:r>
      <w:r w:rsidRPr="00E359AC">
        <w:rPr>
          <w:rFonts w:ascii="Garamond" w:hAnsi="Garamond"/>
          <w:sz w:val="20"/>
          <w:szCs w:val="20"/>
        </w:rPr>
        <w:t xml:space="preserve"> </w:t>
      </w:r>
      <w:r w:rsidRPr="00E359AC">
        <w:rPr>
          <w:rFonts w:ascii="Garamond" w:hAnsi="Garamond"/>
          <w:sz w:val="20"/>
          <w:szCs w:val="20"/>
        </w:rPr>
        <w:t>and respect them.</w:t>
      </w:r>
      <w:r w:rsidR="00B17F6B" w:rsidRPr="00E359AC">
        <w:rPr>
          <w:rFonts w:ascii="Garamond" w:hAnsi="Garamond"/>
          <w:sz w:val="20"/>
          <w:szCs w:val="20"/>
        </w:rPr>
        <w:t xml:space="preserve"> </w:t>
      </w:r>
      <w:r w:rsidRPr="00E359AC">
        <w:rPr>
          <w:rFonts w:ascii="Garamond" w:hAnsi="Garamond"/>
          <w:sz w:val="20"/>
          <w:szCs w:val="20"/>
        </w:rPr>
        <w:t>P</w:t>
      </w:r>
      <w:r w:rsidRPr="00E359AC">
        <w:rPr>
          <w:rFonts w:ascii="Garamond" w:hAnsi="Garamond"/>
          <w:sz w:val="20"/>
          <w:szCs w:val="20"/>
        </w:rPr>
        <w:t xml:space="preserve">ersons with cognitive impairment similarly may retain meaningful capacities even when they cannot satisfy a formal threshold for independent decision-making. </w:t>
      </w:r>
      <w:r w:rsidRPr="00E359AC">
        <w:rPr>
          <w:rFonts w:ascii="Garamond" w:hAnsi="Garamond"/>
          <w:sz w:val="20"/>
          <w:szCs w:val="20"/>
        </w:rPr>
        <w:t>For example, a</w:t>
      </w:r>
      <w:r w:rsidRPr="00E359AC">
        <w:rPr>
          <w:rFonts w:ascii="Garamond" w:hAnsi="Garamond"/>
          <w:sz w:val="20"/>
          <w:szCs w:val="20"/>
        </w:rPr>
        <w:t xml:space="preserve"> person may be unable to understand complex </w:t>
      </w:r>
      <w:r w:rsidR="00B17F6B" w:rsidRPr="00E359AC">
        <w:rPr>
          <w:rFonts w:ascii="Garamond" w:hAnsi="Garamond"/>
          <w:sz w:val="20"/>
          <w:szCs w:val="20"/>
        </w:rPr>
        <w:t xml:space="preserve">real estate </w:t>
      </w:r>
      <w:r w:rsidRPr="00E359AC">
        <w:rPr>
          <w:rFonts w:ascii="Garamond" w:hAnsi="Garamond"/>
          <w:sz w:val="20"/>
          <w:szCs w:val="20"/>
        </w:rPr>
        <w:t>transaction</w:t>
      </w:r>
      <w:r w:rsidRPr="00E359AC">
        <w:rPr>
          <w:rFonts w:ascii="Garamond" w:hAnsi="Garamond"/>
          <w:sz w:val="20"/>
          <w:szCs w:val="20"/>
        </w:rPr>
        <w:t>s</w:t>
      </w:r>
      <w:r w:rsidRPr="00E359AC">
        <w:rPr>
          <w:rFonts w:ascii="Garamond" w:hAnsi="Garamond"/>
          <w:sz w:val="20"/>
          <w:szCs w:val="20"/>
        </w:rPr>
        <w:t xml:space="preserve"> but still express where they feel safe living. </w:t>
      </w:r>
      <w:r w:rsidRPr="00E359AC">
        <w:rPr>
          <w:rFonts w:ascii="Garamond" w:hAnsi="Garamond"/>
          <w:sz w:val="20"/>
          <w:szCs w:val="20"/>
        </w:rPr>
        <w:t>One</w:t>
      </w:r>
      <w:r w:rsidRPr="00E359AC">
        <w:rPr>
          <w:rFonts w:ascii="Garamond" w:hAnsi="Garamond"/>
          <w:sz w:val="20"/>
          <w:szCs w:val="20"/>
        </w:rPr>
        <w:t xml:space="preserve"> may forget details of a medical conversation but consistently show trust</w:t>
      </w:r>
      <w:r w:rsidR="00B17F6B" w:rsidRPr="00E359AC">
        <w:rPr>
          <w:rFonts w:ascii="Garamond" w:hAnsi="Garamond"/>
          <w:sz w:val="20"/>
          <w:szCs w:val="20"/>
        </w:rPr>
        <w:t xml:space="preserve"> or comfort</w:t>
      </w:r>
      <w:r w:rsidRPr="00E359AC">
        <w:rPr>
          <w:rFonts w:ascii="Garamond" w:hAnsi="Garamond"/>
          <w:sz w:val="20"/>
          <w:szCs w:val="20"/>
        </w:rPr>
        <w:t xml:space="preserve"> in relation to certain caregivers. A person may be unable to name a diagnosis but still express pain, loneliness, pleasure, </w:t>
      </w:r>
      <w:r w:rsidRPr="00E359AC">
        <w:rPr>
          <w:rFonts w:ascii="Garamond" w:hAnsi="Garamond"/>
          <w:sz w:val="20"/>
          <w:szCs w:val="20"/>
        </w:rPr>
        <w:t>spiritual</w:t>
      </w:r>
      <w:r w:rsidRPr="00E359AC">
        <w:rPr>
          <w:rFonts w:ascii="Garamond" w:hAnsi="Garamond"/>
          <w:sz w:val="20"/>
          <w:szCs w:val="20"/>
        </w:rPr>
        <w:t xml:space="preserve"> attachment, or resistance to a proposed intervention. Human rights practice </w:t>
      </w:r>
      <w:r w:rsidRPr="00E359AC">
        <w:rPr>
          <w:rFonts w:ascii="Garamond" w:hAnsi="Garamond"/>
          <w:sz w:val="20"/>
          <w:szCs w:val="20"/>
        </w:rPr>
        <w:t>must</w:t>
      </w:r>
      <w:r w:rsidRPr="00E359AC">
        <w:rPr>
          <w:rFonts w:ascii="Garamond" w:hAnsi="Garamond"/>
          <w:sz w:val="20"/>
          <w:szCs w:val="20"/>
        </w:rPr>
        <w:t xml:space="preserve"> be attentive to </w:t>
      </w:r>
      <w:r w:rsidRPr="00E359AC">
        <w:rPr>
          <w:rFonts w:ascii="Garamond" w:hAnsi="Garamond"/>
          <w:sz w:val="20"/>
          <w:szCs w:val="20"/>
        </w:rPr>
        <w:t xml:space="preserve">cognitive </w:t>
      </w:r>
      <w:r w:rsidRPr="00E359AC">
        <w:rPr>
          <w:rFonts w:ascii="Garamond" w:hAnsi="Garamond"/>
          <w:sz w:val="20"/>
          <w:szCs w:val="20"/>
        </w:rPr>
        <w:t xml:space="preserve">capacities </w:t>
      </w:r>
      <w:r w:rsidRPr="00E359AC">
        <w:rPr>
          <w:rFonts w:ascii="Garamond" w:hAnsi="Garamond"/>
          <w:sz w:val="20"/>
          <w:szCs w:val="20"/>
        </w:rPr>
        <w:t xml:space="preserve">as differentially dissociable </w:t>
      </w:r>
      <w:r w:rsidRPr="00E359AC">
        <w:rPr>
          <w:rFonts w:ascii="Garamond" w:hAnsi="Garamond"/>
          <w:sz w:val="20"/>
          <w:szCs w:val="20"/>
        </w:rPr>
        <w:t>rather than treating incapacity in one domain as incompetence.</w:t>
      </w:r>
    </w:p>
    <w:p w14:paraId="44D27163" w14:textId="77777777" w:rsidR="00916397" w:rsidRPr="00E359AC" w:rsidRDefault="00916397" w:rsidP="00916397">
      <w:pPr>
        <w:pStyle w:val="NoSpacing"/>
        <w:rPr>
          <w:rFonts w:ascii="Garamond" w:hAnsi="Garamond"/>
          <w:sz w:val="20"/>
          <w:szCs w:val="20"/>
        </w:rPr>
      </w:pPr>
    </w:p>
    <w:p w14:paraId="080836F1" w14:textId="6989B3B1" w:rsidR="003E2B75" w:rsidRPr="00E359AC" w:rsidRDefault="003E2B75" w:rsidP="00916397">
      <w:pPr>
        <w:pStyle w:val="NoSpacing"/>
        <w:rPr>
          <w:rFonts w:ascii="Garamond" w:hAnsi="Garamond"/>
          <w:sz w:val="20"/>
          <w:szCs w:val="20"/>
        </w:rPr>
      </w:pPr>
      <w:r w:rsidRPr="00E359AC">
        <w:rPr>
          <w:rFonts w:ascii="Garamond" w:hAnsi="Garamond"/>
          <w:sz w:val="20"/>
          <w:szCs w:val="20"/>
        </w:rPr>
        <w:t xml:space="preserve">CCE-DoC </w:t>
      </w:r>
      <w:r w:rsidR="00E359AC" w:rsidRPr="00E359AC">
        <w:rPr>
          <w:rFonts w:ascii="Garamond" w:hAnsi="Garamond"/>
          <w:sz w:val="20"/>
          <w:szCs w:val="20"/>
        </w:rPr>
        <w:t>suggests</w:t>
      </w:r>
      <w:r w:rsidRPr="00E359AC">
        <w:rPr>
          <w:rFonts w:ascii="Garamond" w:hAnsi="Garamond"/>
          <w:sz w:val="20"/>
          <w:szCs w:val="20"/>
        </w:rPr>
        <w:t xml:space="preserve"> iterative capacity assessment and dynamic consent because consciousness and decisional ability can fluctuate or improve over time. This principle is also essential in older persons with cognitive impairment. Capacity may vary by time of day, fatigue, delirium, medication effects, pain, sensory impairment, emotional state, environment, and the </w:t>
      </w:r>
      <w:r w:rsidRPr="00E359AC">
        <w:rPr>
          <w:rFonts w:ascii="Garamond" w:hAnsi="Garamond"/>
          <w:sz w:val="20"/>
          <w:szCs w:val="20"/>
        </w:rPr>
        <w:t>contextual complexity</w:t>
      </w:r>
      <w:r w:rsidRPr="00E359AC">
        <w:rPr>
          <w:rFonts w:ascii="Garamond" w:hAnsi="Garamond"/>
          <w:sz w:val="20"/>
          <w:szCs w:val="20"/>
        </w:rPr>
        <w:t>.</w:t>
      </w:r>
      <w:r w:rsidR="00B17F6B" w:rsidRPr="00E359AC">
        <w:rPr>
          <w:rFonts w:ascii="Garamond" w:hAnsi="Garamond"/>
          <w:sz w:val="20"/>
          <w:szCs w:val="20"/>
        </w:rPr>
        <w:t xml:space="preserve"> </w:t>
      </w:r>
      <w:r w:rsidRPr="00E359AC">
        <w:rPr>
          <w:rFonts w:ascii="Garamond" w:hAnsi="Garamond"/>
          <w:sz w:val="20"/>
          <w:szCs w:val="20"/>
        </w:rPr>
        <w:t>E</w:t>
      </w:r>
      <w:r w:rsidRPr="00E359AC">
        <w:rPr>
          <w:rFonts w:ascii="Garamond" w:hAnsi="Garamond"/>
          <w:sz w:val="20"/>
          <w:szCs w:val="20"/>
        </w:rPr>
        <w:t>merging models of supported decision-making</w:t>
      </w:r>
      <w:r w:rsidRPr="00E359AC">
        <w:rPr>
          <w:rFonts w:ascii="Garamond" w:hAnsi="Garamond"/>
          <w:sz w:val="20"/>
          <w:szCs w:val="20"/>
        </w:rPr>
        <w:t xml:space="preserve"> can capture these important variables and safeguard against inadvertent exclusion.</w:t>
      </w:r>
    </w:p>
    <w:p w14:paraId="5220362D" w14:textId="77777777" w:rsidR="00B17F6B" w:rsidRPr="00E359AC" w:rsidRDefault="00B17F6B" w:rsidP="00916397">
      <w:pPr>
        <w:pStyle w:val="NoSpacing"/>
        <w:rPr>
          <w:rFonts w:ascii="Garamond" w:hAnsi="Garamond"/>
          <w:sz w:val="20"/>
          <w:szCs w:val="20"/>
        </w:rPr>
      </w:pPr>
    </w:p>
    <w:p w14:paraId="626B195C" w14:textId="61F2473A" w:rsidR="003E2B75" w:rsidRPr="00E359AC" w:rsidRDefault="003E2B75" w:rsidP="00B17F6B">
      <w:pPr>
        <w:pStyle w:val="NoSpacing"/>
        <w:rPr>
          <w:rFonts w:ascii="Garamond" w:hAnsi="Garamond"/>
          <w:sz w:val="20"/>
          <w:szCs w:val="20"/>
        </w:rPr>
      </w:pPr>
      <w:r w:rsidRPr="00E359AC">
        <w:rPr>
          <w:rFonts w:ascii="Garamond" w:hAnsi="Garamond"/>
          <w:sz w:val="20"/>
          <w:szCs w:val="20"/>
        </w:rPr>
        <w:t xml:space="preserve">A </w:t>
      </w:r>
      <w:r w:rsidR="00B17F6B" w:rsidRPr="00E359AC">
        <w:rPr>
          <w:rFonts w:ascii="Garamond" w:hAnsi="Garamond"/>
          <w:sz w:val="20"/>
          <w:szCs w:val="20"/>
        </w:rPr>
        <w:t>fourth</w:t>
      </w:r>
      <w:r w:rsidRPr="00E359AC">
        <w:rPr>
          <w:rFonts w:ascii="Garamond" w:hAnsi="Garamond"/>
          <w:sz w:val="20"/>
          <w:szCs w:val="20"/>
        </w:rPr>
        <w:t xml:space="preserve"> lesson concerns</w:t>
      </w:r>
      <w:r w:rsidR="00B17F6B" w:rsidRPr="00E359AC">
        <w:rPr>
          <w:rFonts w:ascii="Garamond" w:hAnsi="Garamond"/>
          <w:sz w:val="20"/>
          <w:szCs w:val="20"/>
        </w:rPr>
        <w:t xml:space="preserve"> expressions of</w:t>
      </w:r>
      <w:r w:rsidRPr="00E359AC">
        <w:rPr>
          <w:rFonts w:ascii="Garamond" w:hAnsi="Garamond"/>
          <w:sz w:val="20"/>
          <w:szCs w:val="20"/>
        </w:rPr>
        <w:t xml:space="preserve"> dissent</w:t>
      </w:r>
      <w:r w:rsidR="00B17F6B" w:rsidRPr="00E359AC">
        <w:rPr>
          <w:rFonts w:ascii="Garamond" w:hAnsi="Garamond"/>
          <w:sz w:val="20"/>
          <w:szCs w:val="20"/>
        </w:rPr>
        <w:t xml:space="preserve">. </w:t>
      </w:r>
      <w:r w:rsidRPr="00E359AC">
        <w:rPr>
          <w:rFonts w:ascii="Garamond" w:hAnsi="Garamond"/>
          <w:sz w:val="20"/>
          <w:szCs w:val="20"/>
        </w:rPr>
        <w:t xml:space="preserve">In research involving persons with disorders of consciousness, we argued that participants should not need to demonstrate full decisional capacity </w:t>
      </w:r>
      <w:proofErr w:type="gramStart"/>
      <w:r w:rsidRPr="00E359AC">
        <w:rPr>
          <w:rFonts w:ascii="Garamond" w:hAnsi="Garamond"/>
          <w:sz w:val="20"/>
          <w:szCs w:val="20"/>
        </w:rPr>
        <w:t>in order for</w:t>
      </w:r>
      <w:proofErr w:type="gramEnd"/>
      <w:r w:rsidRPr="00E359AC">
        <w:rPr>
          <w:rFonts w:ascii="Garamond" w:hAnsi="Garamond"/>
          <w:sz w:val="20"/>
          <w:szCs w:val="20"/>
        </w:rPr>
        <w:t xml:space="preserve"> signs of distress, resistance, or dissent to matter. If a participant grimaces, withdraws, resists, or otherwise appears distressed during procedures, those behaviors should trigger ethical reflection even if they do not constitute a fully articulated </w:t>
      </w:r>
      <w:r w:rsidR="00B17F6B" w:rsidRPr="00E359AC">
        <w:rPr>
          <w:rFonts w:ascii="Garamond" w:hAnsi="Garamond"/>
          <w:sz w:val="20"/>
          <w:szCs w:val="20"/>
        </w:rPr>
        <w:t>refusal</w:t>
      </w:r>
      <w:r w:rsidRPr="00E359AC">
        <w:rPr>
          <w:rFonts w:ascii="Garamond" w:hAnsi="Garamond"/>
          <w:sz w:val="20"/>
          <w:szCs w:val="20"/>
        </w:rPr>
        <w:t>.</w:t>
      </w:r>
      <w:r w:rsidR="00B17F6B" w:rsidRPr="00E359AC">
        <w:rPr>
          <w:rFonts w:ascii="Garamond" w:hAnsi="Garamond"/>
          <w:sz w:val="20"/>
          <w:szCs w:val="20"/>
        </w:rPr>
        <w:t xml:space="preserve"> </w:t>
      </w:r>
      <w:r w:rsidRPr="00E359AC">
        <w:rPr>
          <w:rFonts w:ascii="Garamond" w:hAnsi="Garamond"/>
          <w:sz w:val="20"/>
          <w:szCs w:val="20"/>
        </w:rPr>
        <w:t xml:space="preserve">The same principle </w:t>
      </w:r>
      <w:r w:rsidRPr="00E359AC">
        <w:rPr>
          <w:rFonts w:ascii="Garamond" w:hAnsi="Garamond"/>
          <w:sz w:val="20"/>
          <w:szCs w:val="20"/>
        </w:rPr>
        <w:t>might</w:t>
      </w:r>
      <w:r w:rsidRPr="00E359AC">
        <w:rPr>
          <w:rFonts w:ascii="Garamond" w:hAnsi="Garamond"/>
          <w:sz w:val="20"/>
          <w:szCs w:val="20"/>
        </w:rPr>
        <w:t xml:space="preserve"> apply in the care of older persons with cognitive impairment. Resistance may be a form of communication. It may indicate pain, fear, shame, trauma, sensory overload, lack of understanding, cultural discomfort, or a preference that has not been elicited. Care systems </w:t>
      </w:r>
      <w:r w:rsidRPr="00E359AC">
        <w:rPr>
          <w:rFonts w:ascii="Garamond" w:hAnsi="Garamond"/>
          <w:sz w:val="20"/>
          <w:szCs w:val="20"/>
        </w:rPr>
        <w:t>might</w:t>
      </w:r>
      <w:r w:rsidRPr="00E359AC">
        <w:rPr>
          <w:rFonts w:ascii="Garamond" w:hAnsi="Garamond"/>
          <w:sz w:val="20"/>
          <w:szCs w:val="20"/>
        </w:rPr>
        <w:t xml:space="preserve"> train staff to interpret such behaviors as possible expressions of will</w:t>
      </w:r>
      <w:r w:rsidRPr="00E359AC">
        <w:rPr>
          <w:rFonts w:ascii="Garamond" w:hAnsi="Garamond"/>
          <w:sz w:val="20"/>
          <w:szCs w:val="20"/>
        </w:rPr>
        <w:t>.</w:t>
      </w:r>
    </w:p>
    <w:p w14:paraId="3D196E4C" w14:textId="77777777" w:rsidR="00916397" w:rsidRPr="00E359AC" w:rsidRDefault="00916397" w:rsidP="00916397">
      <w:pPr>
        <w:pStyle w:val="NoSpacing"/>
        <w:rPr>
          <w:rFonts w:ascii="Garamond" w:hAnsi="Garamond"/>
          <w:sz w:val="20"/>
          <w:szCs w:val="20"/>
        </w:rPr>
      </w:pPr>
    </w:p>
    <w:p w14:paraId="6ADA21F6" w14:textId="46FAA208" w:rsidR="003E2B75" w:rsidRPr="00E359AC" w:rsidRDefault="003E2B75" w:rsidP="00916397">
      <w:pPr>
        <w:pStyle w:val="NoSpacing"/>
        <w:rPr>
          <w:rFonts w:ascii="Garamond" w:hAnsi="Garamond"/>
          <w:sz w:val="20"/>
          <w:szCs w:val="20"/>
        </w:rPr>
      </w:pPr>
      <w:r w:rsidRPr="00E359AC">
        <w:rPr>
          <w:rFonts w:ascii="Garamond" w:hAnsi="Garamond"/>
          <w:sz w:val="20"/>
          <w:szCs w:val="20"/>
        </w:rPr>
        <w:t xml:space="preserve">A fifth lesson concerns the role of surrogates and relational decision-making. In CCE-DoC, we emphasized that surrogates </w:t>
      </w:r>
      <w:r w:rsidR="00B17F6B" w:rsidRPr="00E359AC">
        <w:rPr>
          <w:rFonts w:ascii="Garamond" w:hAnsi="Garamond"/>
          <w:sz w:val="20"/>
          <w:szCs w:val="20"/>
        </w:rPr>
        <w:t>could</w:t>
      </w:r>
      <w:r w:rsidRPr="00E359AC">
        <w:rPr>
          <w:rFonts w:ascii="Garamond" w:hAnsi="Garamond"/>
          <w:sz w:val="20"/>
          <w:szCs w:val="20"/>
        </w:rPr>
        <w:t xml:space="preserve"> be supported in using substituted judgment and best-interest reasoning, while recognizing that surrogates are often under extraordinary </w:t>
      </w:r>
      <w:r w:rsidR="00916397" w:rsidRPr="00E359AC">
        <w:rPr>
          <w:rFonts w:ascii="Garamond" w:hAnsi="Garamond"/>
          <w:sz w:val="20"/>
          <w:szCs w:val="20"/>
        </w:rPr>
        <w:t>psychosocial</w:t>
      </w:r>
      <w:r w:rsidRPr="00E359AC">
        <w:rPr>
          <w:rFonts w:ascii="Garamond" w:hAnsi="Garamond"/>
          <w:sz w:val="20"/>
          <w:szCs w:val="20"/>
        </w:rPr>
        <w:t xml:space="preserve"> strain. In older persons with cognitive impairment, family members and trusted persons can be essential interpreters of values, habits, communication styles, and long-standing preferences. Their involvement can support autonomy</w:t>
      </w:r>
      <w:r w:rsidR="00916397" w:rsidRPr="00E359AC">
        <w:rPr>
          <w:rFonts w:ascii="Garamond" w:hAnsi="Garamond"/>
          <w:sz w:val="20"/>
          <w:szCs w:val="20"/>
        </w:rPr>
        <w:t xml:space="preserve">. </w:t>
      </w:r>
      <w:r w:rsidRPr="00E359AC">
        <w:rPr>
          <w:rFonts w:ascii="Garamond" w:hAnsi="Garamond"/>
          <w:sz w:val="20"/>
          <w:szCs w:val="20"/>
        </w:rPr>
        <w:t>In high-risk situations, a</w:t>
      </w:r>
      <w:r w:rsidR="00B17F6B" w:rsidRPr="00E359AC">
        <w:rPr>
          <w:rFonts w:ascii="Garamond" w:hAnsi="Garamond"/>
          <w:sz w:val="20"/>
          <w:szCs w:val="20"/>
        </w:rPr>
        <w:t xml:space="preserve">n </w:t>
      </w:r>
      <w:r w:rsidRPr="00E359AC">
        <w:rPr>
          <w:rFonts w:ascii="Garamond" w:hAnsi="Garamond"/>
          <w:sz w:val="20"/>
          <w:szCs w:val="20"/>
        </w:rPr>
        <w:t>independent advocate may help ensure that the person’s interests and voice are not eclipsed.</w:t>
      </w:r>
    </w:p>
    <w:p w14:paraId="5CC8B8B7" w14:textId="77777777" w:rsidR="00916397" w:rsidRPr="00E359AC" w:rsidRDefault="00916397" w:rsidP="00916397">
      <w:pPr>
        <w:pStyle w:val="NoSpacing"/>
        <w:rPr>
          <w:rFonts w:ascii="Garamond" w:hAnsi="Garamond"/>
          <w:sz w:val="20"/>
          <w:szCs w:val="20"/>
        </w:rPr>
      </w:pPr>
    </w:p>
    <w:p w14:paraId="4D55C42A" w14:textId="70F6975B" w:rsidR="003E2B75" w:rsidRPr="00E359AC" w:rsidRDefault="003E2B75" w:rsidP="00916397">
      <w:pPr>
        <w:pStyle w:val="NoSpacing"/>
        <w:rPr>
          <w:rFonts w:ascii="Garamond" w:hAnsi="Garamond"/>
          <w:sz w:val="20"/>
          <w:szCs w:val="20"/>
        </w:rPr>
      </w:pPr>
      <w:r w:rsidRPr="00E359AC">
        <w:rPr>
          <w:rFonts w:ascii="Garamond" w:hAnsi="Garamond"/>
          <w:sz w:val="20"/>
          <w:szCs w:val="20"/>
        </w:rPr>
        <w:t xml:space="preserve">A sixth lesson concerns communication and accessibility. CCE-DoC </w:t>
      </w:r>
      <w:r w:rsidR="00B17F6B" w:rsidRPr="00E359AC">
        <w:rPr>
          <w:rFonts w:ascii="Garamond" w:hAnsi="Garamond"/>
          <w:sz w:val="20"/>
          <w:szCs w:val="20"/>
        </w:rPr>
        <w:t>explores how</w:t>
      </w:r>
      <w:r w:rsidRPr="00E359AC">
        <w:rPr>
          <w:rFonts w:ascii="Garamond" w:hAnsi="Garamond"/>
          <w:sz w:val="20"/>
          <w:szCs w:val="20"/>
        </w:rPr>
        <w:t xml:space="preserve"> plain-language explanations, visual or multimedia supports, repeated opportunities for discussion, and attention to the stress experienced by surrogates</w:t>
      </w:r>
      <w:r w:rsidR="00B17F6B" w:rsidRPr="00E359AC">
        <w:rPr>
          <w:rFonts w:ascii="Garamond" w:hAnsi="Garamond"/>
          <w:sz w:val="20"/>
          <w:szCs w:val="20"/>
        </w:rPr>
        <w:t xml:space="preserve"> could enhance consent processes</w:t>
      </w:r>
      <w:r w:rsidRPr="00E359AC">
        <w:rPr>
          <w:rFonts w:ascii="Garamond" w:hAnsi="Garamond"/>
          <w:sz w:val="20"/>
          <w:szCs w:val="20"/>
        </w:rPr>
        <w:t xml:space="preserve">. For older persons with cognitive impairment, communication support </w:t>
      </w:r>
      <w:r w:rsidR="00916397" w:rsidRPr="00E359AC">
        <w:rPr>
          <w:rFonts w:ascii="Garamond" w:hAnsi="Garamond"/>
          <w:sz w:val="20"/>
          <w:szCs w:val="20"/>
        </w:rPr>
        <w:t>could</w:t>
      </w:r>
      <w:r w:rsidRPr="00E359AC">
        <w:rPr>
          <w:rFonts w:ascii="Garamond" w:hAnsi="Garamond"/>
          <w:sz w:val="20"/>
          <w:szCs w:val="20"/>
        </w:rPr>
        <w:t xml:space="preserve"> be treated as a rights-enabling practice. This includes hearing and vision optimization, quiet environments, adequate time, use of familiar language and objects, culturally appropriate interpretation, memory aids, written summaries, pictures, gesture, music, </w:t>
      </w:r>
      <w:r w:rsidR="00B17F6B" w:rsidRPr="00E359AC">
        <w:rPr>
          <w:rFonts w:ascii="Garamond" w:hAnsi="Garamond"/>
          <w:sz w:val="20"/>
          <w:szCs w:val="20"/>
        </w:rPr>
        <w:t>and attention to</w:t>
      </w:r>
      <w:r w:rsidRPr="00E359AC">
        <w:rPr>
          <w:rFonts w:ascii="Garamond" w:hAnsi="Garamond"/>
          <w:sz w:val="20"/>
          <w:szCs w:val="20"/>
        </w:rPr>
        <w:t xml:space="preserve"> trusted relationships.</w:t>
      </w:r>
    </w:p>
    <w:p w14:paraId="479FBE28" w14:textId="77777777" w:rsidR="00916397" w:rsidRPr="00E359AC" w:rsidRDefault="00916397" w:rsidP="00916397">
      <w:pPr>
        <w:pStyle w:val="NoSpacing"/>
        <w:rPr>
          <w:rFonts w:ascii="Garamond" w:hAnsi="Garamond"/>
          <w:sz w:val="20"/>
          <w:szCs w:val="20"/>
        </w:rPr>
      </w:pPr>
    </w:p>
    <w:p w14:paraId="0FD0E3D4" w14:textId="7446D55F" w:rsidR="003E2B75" w:rsidRPr="00E359AC" w:rsidRDefault="003E2B75" w:rsidP="00916397">
      <w:pPr>
        <w:pStyle w:val="NoSpacing"/>
        <w:rPr>
          <w:rFonts w:ascii="Garamond" w:hAnsi="Garamond"/>
          <w:sz w:val="20"/>
          <w:szCs w:val="20"/>
        </w:rPr>
      </w:pPr>
      <w:r w:rsidRPr="00E359AC">
        <w:rPr>
          <w:rFonts w:ascii="Garamond" w:hAnsi="Garamond"/>
          <w:sz w:val="20"/>
          <w:szCs w:val="20"/>
        </w:rPr>
        <w:t>A seventh lesson concerns sensitive information and data. CCE-DoC highlights that</w:t>
      </w:r>
      <w:r w:rsidR="00B17F6B" w:rsidRPr="00E359AC">
        <w:rPr>
          <w:rFonts w:ascii="Garamond" w:hAnsi="Garamond"/>
          <w:sz w:val="20"/>
          <w:szCs w:val="20"/>
        </w:rPr>
        <w:t xml:space="preserve"> some forms of</w:t>
      </w:r>
      <w:r w:rsidRPr="00E359AC">
        <w:rPr>
          <w:rFonts w:ascii="Garamond" w:hAnsi="Garamond"/>
          <w:sz w:val="20"/>
          <w:szCs w:val="20"/>
        </w:rPr>
        <w:t xml:space="preserve"> brain data may be </w:t>
      </w:r>
      <w:r w:rsidR="00B17F6B" w:rsidRPr="00E359AC">
        <w:rPr>
          <w:rFonts w:ascii="Garamond" w:hAnsi="Garamond"/>
          <w:sz w:val="20"/>
          <w:szCs w:val="20"/>
        </w:rPr>
        <w:t>more sensitive than ordinary forms of health information. As</w:t>
      </w:r>
      <w:r w:rsidRPr="00E359AC">
        <w:rPr>
          <w:rFonts w:ascii="Garamond" w:hAnsi="Garamond"/>
          <w:sz w:val="20"/>
          <w:szCs w:val="20"/>
        </w:rPr>
        <w:t xml:space="preserve"> </w:t>
      </w:r>
      <w:r w:rsidR="00B17F6B" w:rsidRPr="00E359AC">
        <w:rPr>
          <w:rFonts w:ascii="Garamond" w:hAnsi="Garamond"/>
          <w:sz w:val="20"/>
          <w:szCs w:val="20"/>
        </w:rPr>
        <w:t>o</w:t>
      </w:r>
      <w:r w:rsidRPr="00E359AC">
        <w:rPr>
          <w:rFonts w:ascii="Garamond" w:hAnsi="Garamond"/>
          <w:sz w:val="20"/>
          <w:szCs w:val="20"/>
        </w:rPr>
        <w:t xml:space="preserve">lder persons with cognitive impairment are also increasingly subject to digital monitoring, wearable devices, and </w:t>
      </w:r>
      <w:r w:rsidR="00916397" w:rsidRPr="00E359AC">
        <w:rPr>
          <w:rFonts w:ascii="Garamond" w:hAnsi="Garamond"/>
          <w:sz w:val="20"/>
          <w:szCs w:val="20"/>
        </w:rPr>
        <w:t>neurological biomarker</w:t>
      </w:r>
      <w:r w:rsidRPr="00E359AC">
        <w:rPr>
          <w:rFonts w:ascii="Garamond" w:hAnsi="Garamond"/>
          <w:sz w:val="20"/>
          <w:szCs w:val="20"/>
        </w:rPr>
        <w:t>-mediated assessment</w:t>
      </w:r>
      <w:r w:rsidR="00B17F6B" w:rsidRPr="00E359AC">
        <w:rPr>
          <w:rFonts w:ascii="Garamond" w:hAnsi="Garamond"/>
          <w:sz w:val="20"/>
          <w:szCs w:val="20"/>
        </w:rPr>
        <w:t>, p</w:t>
      </w:r>
      <w:r w:rsidRPr="00E359AC">
        <w:rPr>
          <w:rFonts w:ascii="Garamond" w:hAnsi="Garamond"/>
          <w:sz w:val="20"/>
          <w:szCs w:val="20"/>
        </w:rPr>
        <w:t xml:space="preserve">olicies </w:t>
      </w:r>
      <w:r w:rsidR="00916397" w:rsidRPr="00E359AC">
        <w:rPr>
          <w:rFonts w:ascii="Garamond" w:hAnsi="Garamond"/>
          <w:sz w:val="20"/>
          <w:szCs w:val="20"/>
        </w:rPr>
        <w:t>might consider</w:t>
      </w:r>
      <w:r w:rsidRPr="00E359AC">
        <w:rPr>
          <w:rFonts w:ascii="Garamond" w:hAnsi="Garamond"/>
          <w:sz w:val="20"/>
          <w:szCs w:val="20"/>
        </w:rPr>
        <w:t xml:space="preserve"> </w:t>
      </w:r>
      <w:r w:rsidR="00B17F6B" w:rsidRPr="00E359AC">
        <w:rPr>
          <w:rFonts w:ascii="Garamond" w:hAnsi="Garamond"/>
          <w:sz w:val="20"/>
          <w:szCs w:val="20"/>
        </w:rPr>
        <w:t xml:space="preserve">norms around </w:t>
      </w:r>
      <w:r w:rsidRPr="00E359AC">
        <w:rPr>
          <w:rFonts w:ascii="Garamond" w:hAnsi="Garamond"/>
          <w:sz w:val="20"/>
          <w:szCs w:val="20"/>
        </w:rPr>
        <w:t xml:space="preserve">what data </w:t>
      </w:r>
      <w:r w:rsidR="00E359AC" w:rsidRPr="00E359AC">
        <w:rPr>
          <w:rFonts w:ascii="Garamond" w:hAnsi="Garamond"/>
          <w:sz w:val="20"/>
          <w:szCs w:val="20"/>
        </w:rPr>
        <w:t>may be</w:t>
      </w:r>
      <w:r w:rsidRPr="00E359AC">
        <w:rPr>
          <w:rFonts w:ascii="Garamond" w:hAnsi="Garamond"/>
          <w:sz w:val="20"/>
          <w:szCs w:val="20"/>
        </w:rPr>
        <w:t xml:space="preserve"> collected, who can access them, how they are used, and how the person’s preferences will be </w:t>
      </w:r>
      <w:r w:rsidR="00916397" w:rsidRPr="00E359AC">
        <w:rPr>
          <w:rFonts w:ascii="Garamond" w:hAnsi="Garamond"/>
          <w:sz w:val="20"/>
          <w:szCs w:val="20"/>
        </w:rPr>
        <w:t>preserved</w:t>
      </w:r>
      <w:r w:rsidRPr="00E359AC">
        <w:rPr>
          <w:rFonts w:ascii="Garamond" w:hAnsi="Garamond"/>
          <w:sz w:val="20"/>
          <w:szCs w:val="20"/>
        </w:rPr>
        <w:t xml:space="preserve">. </w:t>
      </w:r>
    </w:p>
    <w:p w14:paraId="28C46A8F" w14:textId="77777777" w:rsidR="00916397" w:rsidRPr="00E359AC" w:rsidRDefault="00916397" w:rsidP="00916397">
      <w:pPr>
        <w:pStyle w:val="NoSpacing"/>
        <w:rPr>
          <w:rFonts w:ascii="Garamond" w:hAnsi="Garamond"/>
          <w:sz w:val="20"/>
          <w:szCs w:val="20"/>
        </w:rPr>
      </w:pPr>
    </w:p>
    <w:p w14:paraId="5BC0F290" w14:textId="64E29C7F" w:rsidR="003E2B75" w:rsidRPr="00E359AC" w:rsidRDefault="00E359AC" w:rsidP="00916397">
      <w:pPr>
        <w:pStyle w:val="NoSpacing"/>
        <w:rPr>
          <w:rFonts w:ascii="Garamond" w:hAnsi="Garamond"/>
          <w:sz w:val="20"/>
          <w:szCs w:val="20"/>
        </w:rPr>
      </w:pPr>
      <w:r w:rsidRPr="00E359AC">
        <w:rPr>
          <w:rFonts w:ascii="Garamond" w:hAnsi="Garamond"/>
          <w:sz w:val="20"/>
          <w:szCs w:val="20"/>
        </w:rPr>
        <w:t>At least six</w:t>
      </w:r>
      <w:r w:rsidR="003E2B75" w:rsidRPr="00E359AC">
        <w:rPr>
          <w:rFonts w:ascii="Garamond" w:hAnsi="Garamond"/>
          <w:sz w:val="20"/>
          <w:szCs w:val="20"/>
        </w:rPr>
        <w:t xml:space="preserve"> practical </w:t>
      </w:r>
      <w:r w:rsidRPr="00E359AC">
        <w:rPr>
          <w:rFonts w:ascii="Garamond" w:hAnsi="Garamond"/>
          <w:sz w:val="20"/>
          <w:szCs w:val="20"/>
        </w:rPr>
        <w:t>recommendations</w:t>
      </w:r>
      <w:r w:rsidR="003E2B75" w:rsidRPr="00E359AC">
        <w:rPr>
          <w:rFonts w:ascii="Garamond" w:hAnsi="Garamond"/>
          <w:sz w:val="20"/>
          <w:szCs w:val="20"/>
        </w:rPr>
        <w:t xml:space="preserve"> follow from these transferable lessons.</w:t>
      </w:r>
    </w:p>
    <w:p w14:paraId="252C9861" w14:textId="77777777" w:rsidR="00916397" w:rsidRPr="00E359AC" w:rsidRDefault="00916397" w:rsidP="00916397">
      <w:pPr>
        <w:pStyle w:val="NoSpacing"/>
        <w:rPr>
          <w:rFonts w:ascii="Garamond" w:hAnsi="Garamond"/>
          <w:sz w:val="20"/>
          <w:szCs w:val="20"/>
        </w:rPr>
      </w:pPr>
    </w:p>
    <w:p w14:paraId="14266125" w14:textId="7D554F5F" w:rsidR="003E2B75" w:rsidRPr="00E359AC" w:rsidRDefault="00916397" w:rsidP="00916397">
      <w:pPr>
        <w:pStyle w:val="NoSpacing"/>
        <w:ind w:left="720"/>
        <w:rPr>
          <w:rFonts w:ascii="Garamond" w:hAnsi="Garamond"/>
          <w:sz w:val="20"/>
          <w:szCs w:val="20"/>
        </w:rPr>
      </w:pPr>
      <w:r w:rsidRPr="00E359AC">
        <w:rPr>
          <w:rFonts w:ascii="Garamond" w:hAnsi="Garamond"/>
          <w:sz w:val="20"/>
          <w:szCs w:val="20"/>
        </w:rPr>
        <w:t>1:</w:t>
      </w:r>
      <w:r w:rsidR="003E2B75" w:rsidRPr="00E359AC">
        <w:rPr>
          <w:rFonts w:ascii="Garamond" w:hAnsi="Garamond"/>
          <w:sz w:val="20"/>
          <w:szCs w:val="20"/>
        </w:rPr>
        <w:t xml:space="preserve"> laws and policies </w:t>
      </w:r>
      <w:r w:rsidRPr="00E359AC">
        <w:rPr>
          <w:rFonts w:ascii="Garamond" w:hAnsi="Garamond"/>
          <w:sz w:val="20"/>
          <w:szCs w:val="20"/>
        </w:rPr>
        <w:t>should</w:t>
      </w:r>
      <w:r w:rsidR="003E2B75" w:rsidRPr="00E359AC">
        <w:rPr>
          <w:rFonts w:ascii="Garamond" w:hAnsi="Garamond"/>
          <w:sz w:val="20"/>
          <w:szCs w:val="20"/>
        </w:rPr>
        <w:t xml:space="preserve"> embed supported decision-making as a default orientation. </w:t>
      </w:r>
    </w:p>
    <w:p w14:paraId="1F699253" w14:textId="5D383163" w:rsidR="003E2B75" w:rsidRPr="00E359AC" w:rsidRDefault="00916397" w:rsidP="00916397">
      <w:pPr>
        <w:pStyle w:val="NoSpacing"/>
        <w:ind w:left="720"/>
        <w:rPr>
          <w:rFonts w:ascii="Garamond" w:hAnsi="Garamond"/>
          <w:sz w:val="20"/>
          <w:szCs w:val="20"/>
        </w:rPr>
      </w:pPr>
      <w:r w:rsidRPr="00E359AC">
        <w:rPr>
          <w:rFonts w:ascii="Garamond" w:hAnsi="Garamond"/>
          <w:sz w:val="20"/>
          <w:szCs w:val="20"/>
        </w:rPr>
        <w:t>2:</w:t>
      </w:r>
      <w:r w:rsidR="003E2B75" w:rsidRPr="00E359AC">
        <w:rPr>
          <w:rFonts w:ascii="Garamond" w:hAnsi="Garamond"/>
          <w:sz w:val="20"/>
          <w:szCs w:val="20"/>
        </w:rPr>
        <w:t xml:space="preserve"> capacity assessments </w:t>
      </w:r>
      <w:r w:rsidR="00E359AC" w:rsidRPr="00E359AC">
        <w:rPr>
          <w:rFonts w:ascii="Garamond" w:hAnsi="Garamond"/>
          <w:sz w:val="20"/>
          <w:szCs w:val="20"/>
        </w:rPr>
        <w:t>should</w:t>
      </w:r>
      <w:r w:rsidR="003E2B75" w:rsidRPr="00E359AC">
        <w:rPr>
          <w:rFonts w:ascii="Garamond" w:hAnsi="Garamond"/>
          <w:sz w:val="20"/>
          <w:szCs w:val="20"/>
        </w:rPr>
        <w:t xml:space="preserve"> be decision-specific, time-sensitive, and support-sensitive. </w:t>
      </w:r>
    </w:p>
    <w:p w14:paraId="301F3160" w14:textId="6F6C80DD" w:rsidR="003E2B75" w:rsidRPr="00E359AC" w:rsidRDefault="00916397" w:rsidP="00916397">
      <w:pPr>
        <w:pStyle w:val="NoSpacing"/>
        <w:ind w:left="720"/>
        <w:rPr>
          <w:rFonts w:ascii="Garamond" w:hAnsi="Garamond"/>
          <w:sz w:val="20"/>
          <w:szCs w:val="20"/>
        </w:rPr>
      </w:pPr>
      <w:r w:rsidRPr="00E359AC">
        <w:rPr>
          <w:rFonts w:ascii="Garamond" w:hAnsi="Garamond"/>
          <w:sz w:val="20"/>
          <w:szCs w:val="20"/>
        </w:rPr>
        <w:t>3:</w:t>
      </w:r>
      <w:r w:rsidR="003E2B75" w:rsidRPr="00E359AC">
        <w:rPr>
          <w:rFonts w:ascii="Garamond" w:hAnsi="Garamond"/>
          <w:sz w:val="20"/>
          <w:szCs w:val="20"/>
        </w:rPr>
        <w:t xml:space="preserve"> care settings </w:t>
      </w:r>
      <w:r w:rsidRPr="00E359AC">
        <w:rPr>
          <w:rFonts w:ascii="Garamond" w:hAnsi="Garamond"/>
          <w:sz w:val="20"/>
          <w:szCs w:val="20"/>
        </w:rPr>
        <w:t>should maximize</w:t>
      </w:r>
      <w:r w:rsidR="003E2B75" w:rsidRPr="00E359AC">
        <w:rPr>
          <w:rFonts w:ascii="Garamond" w:hAnsi="Garamond"/>
          <w:sz w:val="20"/>
          <w:szCs w:val="20"/>
        </w:rPr>
        <w:t xml:space="preserve"> </w:t>
      </w:r>
      <w:r w:rsidRPr="00E359AC">
        <w:rPr>
          <w:rFonts w:ascii="Garamond" w:hAnsi="Garamond"/>
          <w:sz w:val="20"/>
          <w:szCs w:val="20"/>
        </w:rPr>
        <w:t xml:space="preserve">opportunities to support </w:t>
      </w:r>
      <w:r w:rsidR="003E2B75" w:rsidRPr="00E359AC">
        <w:rPr>
          <w:rFonts w:ascii="Garamond" w:hAnsi="Garamond"/>
          <w:sz w:val="20"/>
          <w:szCs w:val="20"/>
        </w:rPr>
        <w:t>autonomy</w:t>
      </w:r>
      <w:r w:rsidRPr="00E359AC">
        <w:rPr>
          <w:rFonts w:ascii="Garamond" w:hAnsi="Garamond"/>
          <w:sz w:val="20"/>
          <w:szCs w:val="20"/>
        </w:rPr>
        <w:t xml:space="preserve"> across decisional contexts</w:t>
      </w:r>
      <w:r w:rsidR="003E2B75" w:rsidRPr="00E359AC">
        <w:rPr>
          <w:rFonts w:ascii="Garamond" w:hAnsi="Garamond"/>
          <w:sz w:val="20"/>
          <w:szCs w:val="20"/>
        </w:rPr>
        <w:t xml:space="preserve">. </w:t>
      </w:r>
    </w:p>
    <w:p w14:paraId="5CDEEBD1" w14:textId="7C413A20" w:rsidR="003E2B75" w:rsidRPr="00E359AC" w:rsidRDefault="00916397" w:rsidP="00916397">
      <w:pPr>
        <w:pStyle w:val="NoSpacing"/>
        <w:ind w:left="720"/>
        <w:rPr>
          <w:rFonts w:ascii="Garamond" w:hAnsi="Garamond"/>
          <w:sz w:val="20"/>
          <w:szCs w:val="20"/>
        </w:rPr>
      </w:pPr>
      <w:r w:rsidRPr="00E359AC">
        <w:rPr>
          <w:rFonts w:ascii="Garamond" w:hAnsi="Garamond"/>
          <w:sz w:val="20"/>
          <w:szCs w:val="20"/>
        </w:rPr>
        <w:t>4:</w:t>
      </w:r>
      <w:r w:rsidR="003E2B75" w:rsidRPr="00E359AC">
        <w:rPr>
          <w:rFonts w:ascii="Garamond" w:hAnsi="Garamond"/>
          <w:sz w:val="20"/>
          <w:szCs w:val="20"/>
        </w:rPr>
        <w:t xml:space="preserve"> professionals </w:t>
      </w:r>
      <w:r w:rsidRPr="00E359AC">
        <w:rPr>
          <w:rFonts w:ascii="Garamond" w:hAnsi="Garamond"/>
          <w:sz w:val="20"/>
          <w:szCs w:val="20"/>
        </w:rPr>
        <w:t>must</w:t>
      </w:r>
      <w:r w:rsidR="003E2B75" w:rsidRPr="00E359AC">
        <w:rPr>
          <w:rFonts w:ascii="Garamond" w:hAnsi="Garamond"/>
          <w:sz w:val="20"/>
          <w:szCs w:val="20"/>
        </w:rPr>
        <w:t xml:space="preserve"> be trained to recognize non-verbal </w:t>
      </w:r>
      <w:r w:rsidR="00E359AC" w:rsidRPr="00E359AC">
        <w:rPr>
          <w:rFonts w:ascii="Garamond" w:hAnsi="Garamond"/>
          <w:sz w:val="20"/>
          <w:szCs w:val="20"/>
        </w:rPr>
        <w:t>or</w:t>
      </w:r>
      <w:r w:rsidR="003E2B75" w:rsidRPr="00E359AC">
        <w:rPr>
          <w:rFonts w:ascii="Garamond" w:hAnsi="Garamond"/>
          <w:sz w:val="20"/>
          <w:szCs w:val="20"/>
        </w:rPr>
        <w:t xml:space="preserve"> fluctuating expressions of preference</w:t>
      </w:r>
      <w:r w:rsidRPr="00E359AC">
        <w:rPr>
          <w:rFonts w:ascii="Garamond" w:hAnsi="Garamond"/>
          <w:sz w:val="20"/>
          <w:szCs w:val="20"/>
        </w:rPr>
        <w:t xml:space="preserve"> or values.</w:t>
      </w:r>
    </w:p>
    <w:p w14:paraId="6F0991E1" w14:textId="494C63E2" w:rsidR="003E2B75" w:rsidRPr="00E359AC" w:rsidRDefault="00916397" w:rsidP="00916397">
      <w:pPr>
        <w:pStyle w:val="NoSpacing"/>
        <w:ind w:left="720"/>
        <w:rPr>
          <w:rFonts w:ascii="Garamond" w:hAnsi="Garamond"/>
          <w:sz w:val="20"/>
          <w:szCs w:val="20"/>
        </w:rPr>
      </w:pPr>
      <w:r w:rsidRPr="00E359AC">
        <w:rPr>
          <w:rFonts w:ascii="Garamond" w:hAnsi="Garamond"/>
          <w:sz w:val="20"/>
          <w:szCs w:val="20"/>
        </w:rPr>
        <w:t>5:</w:t>
      </w:r>
      <w:r w:rsidR="003E2B75" w:rsidRPr="00E359AC">
        <w:rPr>
          <w:rFonts w:ascii="Garamond" w:hAnsi="Garamond"/>
          <w:sz w:val="20"/>
          <w:szCs w:val="20"/>
        </w:rPr>
        <w:t xml:space="preserve"> independent advocacy </w:t>
      </w:r>
      <w:r w:rsidRPr="00E359AC">
        <w:rPr>
          <w:rFonts w:ascii="Garamond" w:hAnsi="Garamond"/>
          <w:sz w:val="20"/>
          <w:szCs w:val="20"/>
        </w:rPr>
        <w:t>should</w:t>
      </w:r>
      <w:r w:rsidR="003E2B75" w:rsidRPr="00E359AC">
        <w:rPr>
          <w:rFonts w:ascii="Garamond" w:hAnsi="Garamond"/>
          <w:sz w:val="20"/>
          <w:szCs w:val="20"/>
        </w:rPr>
        <w:t xml:space="preserve"> be available in higher-risk situations</w:t>
      </w:r>
      <w:r w:rsidRPr="00E359AC">
        <w:rPr>
          <w:rFonts w:ascii="Garamond" w:hAnsi="Garamond"/>
          <w:sz w:val="20"/>
          <w:szCs w:val="20"/>
        </w:rPr>
        <w:t>.</w:t>
      </w:r>
    </w:p>
    <w:p w14:paraId="58228074" w14:textId="4D8B7B6F" w:rsidR="003E2B75" w:rsidRPr="00E359AC" w:rsidRDefault="00916397" w:rsidP="00916397">
      <w:pPr>
        <w:pStyle w:val="NoSpacing"/>
        <w:ind w:left="720"/>
        <w:rPr>
          <w:rFonts w:ascii="Garamond" w:hAnsi="Garamond"/>
          <w:sz w:val="20"/>
          <w:szCs w:val="20"/>
        </w:rPr>
      </w:pPr>
      <w:r w:rsidRPr="00E359AC">
        <w:rPr>
          <w:rFonts w:ascii="Garamond" w:hAnsi="Garamond"/>
          <w:sz w:val="20"/>
          <w:szCs w:val="20"/>
        </w:rPr>
        <w:t>6:</w:t>
      </w:r>
      <w:r w:rsidR="003E2B75" w:rsidRPr="00E359AC">
        <w:rPr>
          <w:rFonts w:ascii="Garamond" w:hAnsi="Garamond"/>
          <w:sz w:val="20"/>
          <w:szCs w:val="20"/>
        </w:rPr>
        <w:t xml:space="preserve"> public policy </w:t>
      </w:r>
      <w:r w:rsidRPr="00E359AC">
        <w:rPr>
          <w:rFonts w:ascii="Garamond" w:hAnsi="Garamond"/>
          <w:sz w:val="20"/>
          <w:szCs w:val="20"/>
        </w:rPr>
        <w:t>must</w:t>
      </w:r>
      <w:r w:rsidR="003E2B75" w:rsidRPr="00E359AC">
        <w:rPr>
          <w:rFonts w:ascii="Garamond" w:hAnsi="Garamond"/>
          <w:sz w:val="20"/>
          <w:szCs w:val="20"/>
        </w:rPr>
        <w:t xml:space="preserve"> challenge the stigma that equates cognitive impairment with absence of personhood</w:t>
      </w:r>
      <w:r w:rsidRPr="00E359AC">
        <w:rPr>
          <w:rFonts w:ascii="Garamond" w:hAnsi="Garamond"/>
          <w:sz w:val="20"/>
          <w:szCs w:val="20"/>
        </w:rPr>
        <w:t xml:space="preserve"> or consciousness</w:t>
      </w:r>
      <w:r w:rsidR="003E2B75" w:rsidRPr="00E359AC">
        <w:rPr>
          <w:rFonts w:ascii="Garamond" w:hAnsi="Garamond"/>
          <w:sz w:val="20"/>
          <w:szCs w:val="20"/>
        </w:rPr>
        <w:t xml:space="preserve">. </w:t>
      </w:r>
    </w:p>
    <w:p w14:paraId="587C8276" w14:textId="77777777" w:rsidR="00916397" w:rsidRPr="00E359AC" w:rsidRDefault="00916397" w:rsidP="00916397">
      <w:pPr>
        <w:pStyle w:val="NoSpacing"/>
        <w:rPr>
          <w:rFonts w:ascii="Garamond" w:hAnsi="Garamond"/>
          <w:sz w:val="20"/>
          <w:szCs w:val="20"/>
        </w:rPr>
      </w:pPr>
    </w:p>
    <w:p w14:paraId="1C69CAA9" w14:textId="63D2A5A8" w:rsidR="003E2B75" w:rsidRPr="00E359AC" w:rsidRDefault="003E2B75" w:rsidP="00916397">
      <w:pPr>
        <w:pStyle w:val="NoSpacing"/>
        <w:rPr>
          <w:rFonts w:ascii="Garamond" w:hAnsi="Garamond"/>
          <w:sz w:val="20"/>
          <w:szCs w:val="20"/>
        </w:rPr>
      </w:pPr>
      <w:r w:rsidRPr="00E359AC">
        <w:rPr>
          <w:rFonts w:ascii="Garamond" w:hAnsi="Garamond"/>
          <w:sz w:val="20"/>
          <w:szCs w:val="20"/>
        </w:rPr>
        <w:t>Dignity is preserved when systems continue to look for the person, listen for the person, and organize care around the presumption that there remains someone there to whom our practices are answerable.</w:t>
      </w:r>
    </w:p>
    <w:p w14:paraId="0C9C410E" w14:textId="77777777" w:rsidR="00E811FE" w:rsidRPr="00E359AC" w:rsidRDefault="00E811FE" w:rsidP="00916397">
      <w:pPr>
        <w:pStyle w:val="NoSpacing"/>
        <w:rPr>
          <w:rFonts w:ascii="Garamond" w:hAnsi="Garamond"/>
          <w:sz w:val="20"/>
          <w:szCs w:val="20"/>
        </w:rPr>
      </w:pPr>
    </w:p>
    <w:p w14:paraId="4FA89081" w14:textId="63A7329C" w:rsidR="00E359AC" w:rsidRDefault="00E359AC" w:rsidP="00916397">
      <w:pPr>
        <w:pStyle w:val="NoSpacing"/>
        <w:rPr>
          <w:rFonts w:ascii="Garamond" w:hAnsi="Garamond"/>
          <w:sz w:val="20"/>
          <w:szCs w:val="20"/>
        </w:rPr>
      </w:pPr>
      <w:r w:rsidRPr="00E359AC">
        <w:rPr>
          <w:rFonts w:ascii="Garamond" w:hAnsi="Garamond"/>
          <w:sz w:val="20"/>
          <w:szCs w:val="20"/>
        </w:rPr>
        <w:t>Sincerely,</w:t>
      </w:r>
    </w:p>
    <w:p w14:paraId="68E77470" w14:textId="77777777" w:rsidR="007A3430" w:rsidRPr="00E359AC" w:rsidRDefault="007A3430" w:rsidP="00916397">
      <w:pPr>
        <w:pStyle w:val="NoSpacing"/>
        <w:rPr>
          <w:rFonts w:ascii="Garamond" w:hAnsi="Garamond"/>
          <w:sz w:val="20"/>
          <w:szCs w:val="20"/>
        </w:rPr>
      </w:pPr>
    </w:p>
    <w:p w14:paraId="73871147" w14:textId="6A09441A" w:rsidR="007A3430" w:rsidRPr="00E359AC" w:rsidRDefault="00E359AC" w:rsidP="00EF564F">
      <w:pPr>
        <w:pStyle w:val="NoSpacing"/>
        <w:rPr>
          <w:rFonts w:ascii="Garamond" w:hAnsi="Garamond"/>
          <w:sz w:val="20"/>
          <w:szCs w:val="20"/>
        </w:rPr>
      </w:pPr>
      <w:r w:rsidRPr="00E359AC">
        <w:rPr>
          <w:rFonts w:ascii="Garamond" w:hAnsi="Garamond"/>
          <w:sz w:val="20"/>
          <w:szCs w:val="20"/>
        </w:rPr>
        <w:t xml:space="preserve">Michael </w:t>
      </w:r>
      <w:r w:rsidR="0091288A">
        <w:rPr>
          <w:rFonts w:ascii="Garamond" w:hAnsi="Garamond"/>
          <w:sz w:val="20"/>
          <w:szCs w:val="20"/>
        </w:rPr>
        <w:t xml:space="preserve">J. </w:t>
      </w:r>
      <w:r w:rsidRPr="00E359AC">
        <w:rPr>
          <w:rFonts w:ascii="Garamond" w:hAnsi="Garamond"/>
          <w:sz w:val="20"/>
          <w:szCs w:val="20"/>
        </w:rPr>
        <w:t>Young, MD</w:t>
      </w:r>
      <w:r w:rsidR="0091288A">
        <w:rPr>
          <w:rFonts w:ascii="Garamond" w:hAnsi="Garamond"/>
          <w:sz w:val="20"/>
          <w:szCs w:val="20"/>
        </w:rPr>
        <w:t>, MPhil</w:t>
      </w:r>
    </w:p>
    <w:p w14:paraId="3437E0F8" w14:textId="77777777" w:rsidR="00E359AC" w:rsidRPr="00E359AC" w:rsidRDefault="00E359AC" w:rsidP="00916397">
      <w:pPr>
        <w:pStyle w:val="NoSpacing"/>
        <w:rPr>
          <w:rFonts w:ascii="Garamond" w:hAnsi="Garamond"/>
          <w:b/>
          <w:bCs/>
          <w:sz w:val="20"/>
          <w:szCs w:val="20"/>
        </w:rPr>
      </w:pPr>
    </w:p>
    <w:p w14:paraId="039ED020" w14:textId="65BB30DC" w:rsidR="00E359AC" w:rsidRDefault="00E359AC" w:rsidP="00E811FE">
      <w:pPr>
        <w:rPr>
          <w:rFonts w:ascii="Garamond" w:hAnsi="Garamond"/>
          <w:b/>
          <w:bCs/>
          <w:sz w:val="20"/>
          <w:szCs w:val="20"/>
        </w:rPr>
      </w:pPr>
    </w:p>
    <w:p w14:paraId="2BE7145F" w14:textId="77777777" w:rsidR="00E811FE" w:rsidRDefault="00E811FE" w:rsidP="00E811FE">
      <w:pPr>
        <w:rPr>
          <w:rFonts w:ascii="Garamond" w:hAnsi="Garamond"/>
          <w:b/>
          <w:bCs/>
          <w:sz w:val="20"/>
          <w:szCs w:val="20"/>
        </w:rPr>
      </w:pPr>
    </w:p>
    <w:p w14:paraId="77EC3A6A" w14:textId="77777777" w:rsidR="00E811FE" w:rsidRDefault="00E811FE" w:rsidP="00E811FE">
      <w:pPr>
        <w:rPr>
          <w:rFonts w:ascii="Garamond" w:hAnsi="Garamond"/>
          <w:b/>
          <w:bCs/>
          <w:sz w:val="20"/>
          <w:szCs w:val="20"/>
        </w:rPr>
      </w:pPr>
    </w:p>
    <w:p w14:paraId="13C2B8C3" w14:textId="77777777" w:rsidR="00E811FE" w:rsidRDefault="00E811FE" w:rsidP="00E811FE">
      <w:pPr>
        <w:rPr>
          <w:rFonts w:ascii="Garamond" w:hAnsi="Garamond"/>
          <w:b/>
          <w:bCs/>
          <w:sz w:val="20"/>
          <w:szCs w:val="20"/>
        </w:rPr>
      </w:pPr>
    </w:p>
    <w:p w14:paraId="437D21E9" w14:textId="77777777" w:rsidR="00E811FE" w:rsidRDefault="00E811FE" w:rsidP="00E811FE">
      <w:pPr>
        <w:rPr>
          <w:rFonts w:ascii="Garamond" w:hAnsi="Garamond"/>
          <w:b/>
          <w:bCs/>
          <w:sz w:val="20"/>
          <w:szCs w:val="20"/>
        </w:rPr>
      </w:pPr>
    </w:p>
    <w:p w14:paraId="12B446A0" w14:textId="77777777" w:rsidR="00E811FE" w:rsidRPr="00E359AC" w:rsidRDefault="00E811FE" w:rsidP="00E811FE">
      <w:pPr>
        <w:rPr>
          <w:rFonts w:ascii="Garamond" w:hAnsi="Garamond"/>
          <w:b/>
          <w:bCs/>
          <w:sz w:val="20"/>
          <w:szCs w:val="20"/>
        </w:rPr>
      </w:pPr>
    </w:p>
    <w:p w14:paraId="219080C6" w14:textId="185272F5" w:rsidR="003E2B75" w:rsidRPr="00E359AC" w:rsidRDefault="00E359AC" w:rsidP="00916397">
      <w:pPr>
        <w:pStyle w:val="NoSpacing"/>
        <w:rPr>
          <w:rFonts w:ascii="Garamond" w:hAnsi="Garamond"/>
          <w:b/>
          <w:bCs/>
          <w:sz w:val="20"/>
          <w:szCs w:val="20"/>
        </w:rPr>
      </w:pPr>
      <w:r w:rsidRPr="00E359AC">
        <w:rPr>
          <w:rFonts w:ascii="Garamond" w:hAnsi="Garamond"/>
          <w:b/>
          <w:bCs/>
          <w:sz w:val="20"/>
          <w:szCs w:val="20"/>
        </w:rPr>
        <w:lastRenderedPageBreak/>
        <w:t>References and s</w:t>
      </w:r>
      <w:r w:rsidR="003E2B75" w:rsidRPr="00E359AC">
        <w:rPr>
          <w:rFonts w:ascii="Garamond" w:hAnsi="Garamond"/>
          <w:b/>
          <w:bCs/>
          <w:sz w:val="20"/>
          <w:szCs w:val="20"/>
        </w:rPr>
        <w:t>ource</w:t>
      </w:r>
      <w:r w:rsidR="00E811FE">
        <w:rPr>
          <w:rFonts w:ascii="Garamond" w:hAnsi="Garamond"/>
          <w:b/>
          <w:bCs/>
          <w:sz w:val="20"/>
          <w:szCs w:val="20"/>
        </w:rPr>
        <w:t>s</w:t>
      </w:r>
      <w:r w:rsidR="003E2B75" w:rsidRPr="00E359AC">
        <w:rPr>
          <w:rFonts w:ascii="Garamond" w:hAnsi="Garamond"/>
          <w:b/>
          <w:bCs/>
          <w:sz w:val="20"/>
          <w:szCs w:val="20"/>
        </w:rPr>
        <w:t xml:space="preserve"> informing this submission</w:t>
      </w:r>
    </w:p>
    <w:p w14:paraId="6389F023" w14:textId="77777777" w:rsidR="00916397" w:rsidRPr="00E359AC" w:rsidRDefault="00916397" w:rsidP="00916397">
      <w:pPr>
        <w:pStyle w:val="NoSpacing"/>
        <w:rPr>
          <w:rFonts w:ascii="Garamond" w:hAnsi="Garamond"/>
          <w:sz w:val="20"/>
          <w:szCs w:val="20"/>
        </w:rPr>
      </w:pPr>
    </w:p>
    <w:p w14:paraId="3433CE51" w14:textId="49C234C7" w:rsidR="00B17F6B" w:rsidRPr="00E359AC" w:rsidRDefault="003E2B75" w:rsidP="00B17F6B">
      <w:pPr>
        <w:pStyle w:val="NoSpacing"/>
        <w:rPr>
          <w:rFonts w:ascii="Garamond" w:hAnsi="Garamond"/>
          <w:sz w:val="20"/>
          <w:szCs w:val="20"/>
        </w:rPr>
      </w:pPr>
      <w:r w:rsidRPr="00E359AC">
        <w:rPr>
          <w:rFonts w:ascii="Garamond" w:hAnsi="Garamond"/>
          <w:sz w:val="20"/>
          <w:szCs w:val="20"/>
        </w:rPr>
        <w:t xml:space="preserve">Young MJ, </w:t>
      </w:r>
      <w:proofErr w:type="spellStart"/>
      <w:r w:rsidRPr="00E359AC">
        <w:rPr>
          <w:rFonts w:ascii="Garamond" w:hAnsi="Garamond"/>
          <w:sz w:val="20"/>
          <w:szCs w:val="20"/>
        </w:rPr>
        <w:t>Lalgudi</w:t>
      </w:r>
      <w:proofErr w:type="spellEnd"/>
      <w:r w:rsidRPr="00E359AC">
        <w:rPr>
          <w:rFonts w:ascii="Garamond" w:hAnsi="Garamond"/>
          <w:sz w:val="20"/>
          <w:szCs w:val="20"/>
        </w:rPr>
        <w:t xml:space="preserve"> Ganesan S, </w:t>
      </w:r>
      <w:proofErr w:type="spellStart"/>
      <w:r w:rsidRPr="00E359AC">
        <w:rPr>
          <w:rFonts w:ascii="Garamond" w:hAnsi="Garamond"/>
          <w:sz w:val="20"/>
          <w:szCs w:val="20"/>
        </w:rPr>
        <w:t>Jox</w:t>
      </w:r>
      <w:proofErr w:type="spellEnd"/>
      <w:r w:rsidRPr="00E359AC">
        <w:rPr>
          <w:rFonts w:ascii="Garamond" w:hAnsi="Garamond"/>
          <w:sz w:val="20"/>
          <w:szCs w:val="20"/>
        </w:rPr>
        <w:t xml:space="preserve"> RJ, Mazzeo AT, Rubin MA, Walter JK, Lewis A, and the Curing Coma Campaign contributing members. </w:t>
      </w:r>
      <w:r w:rsidRPr="00E359AC">
        <w:rPr>
          <w:rStyle w:val="s1"/>
          <w:rFonts w:ascii="Garamond" w:hAnsi="Garamond"/>
          <w:i/>
          <w:iCs/>
          <w:sz w:val="20"/>
          <w:szCs w:val="20"/>
        </w:rPr>
        <w:t>Common Consent Elements for Research Involving Persons with Disorders of Consciousness (CCE-DoC).</w:t>
      </w:r>
      <w:r w:rsidRPr="00E359AC">
        <w:rPr>
          <w:rFonts w:ascii="Garamond" w:hAnsi="Garamond"/>
          <w:sz w:val="20"/>
          <w:szCs w:val="20"/>
        </w:rPr>
        <w:t xml:space="preserve"> Neurocritical Care. 2026. </w:t>
      </w:r>
      <w:proofErr w:type="spellStart"/>
      <w:r w:rsidRPr="00E359AC">
        <w:rPr>
          <w:rFonts w:ascii="Garamond" w:hAnsi="Garamond"/>
          <w:sz w:val="20"/>
          <w:szCs w:val="20"/>
        </w:rPr>
        <w:t>doi</w:t>
      </w:r>
      <w:proofErr w:type="spellEnd"/>
      <w:r w:rsidRPr="00E359AC">
        <w:rPr>
          <w:rFonts w:ascii="Garamond" w:hAnsi="Garamond"/>
          <w:sz w:val="20"/>
          <w:szCs w:val="20"/>
        </w:rPr>
        <w:t>: 10.1007/s12028-026-02498-z.</w:t>
      </w:r>
    </w:p>
    <w:p w14:paraId="736300C9" w14:textId="77777777" w:rsidR="00B17F6B" w:rsidRPr="00E359AC" w:rsidRDefault="00B17F6B" w:rsidP="00916397">
      <w:pPr>
        <w:pStyle w:val="NoSpacing"/>
        <w:rPr>
          <w:rFonts w:ascii="Garamond" w:hAnsi="Garamond" w:cs="Arial"/>
          <w:color w:val="222222"/>
          <w:sz w:val="20"/>
          <w:szCs w:val="20"/>
          <w:shd w:val="clear" w:color="auto" w:fill="FFFFFF"/>
        </w:rPr>
      </w:pPr>
    </w:p>
    <w:p w14:paraId="0FD9B1FF" w14:textId="1992AD6E" w:rsidR="00B17F6B" w:rsidRPr="00E359AC" w:rsidRDefault="00B17F6B" w:rsidP="00916397">
      <w:pPr>
        <w:pStyle w:val="NoSpacing"/>
        <w:rPr>
          <w:rFonts w:ascii="Garamond" w:hAnsi="Garamond" w:cs="Arial"/>
          <w:color w:val="222222"/>
          <w:sz w:val="20"/>
          <w:szCs w:val="20"/>
          <w:shd w:val="clear" w:color="auto" w:fill="FFFFFF"/>
        </w:rPr>
      </w:pPr>
      <w:r w:rsidRPr="00E359AC">
        <w:rPr>
          <w:rFonts w:ascii="Garamond" w:hAnsi="Garamond" w:cs="Arial"/>
          <w:color w:val="222222"/>
          <w:sz w:val="20"/>
          <w:szCs w:val="20"/>
          <w:shd w:val="clear" w:color="auto" w:fill="FFFFFF"/>
        </w:rPr>
        <w:t>Lewis, Ariane, et al. "Informed consent practices in research involving persons with disorders of consciousness."</w:t>
      </w:r>
      <w:r w:rsidRPr="00E359AC">
        <w:rPr>
          <w:rStyle w:val="apple-converted-space"/>
          <w:rFonts w:ascii="Garamond" w:hAnsi="Garamond" w:cs="Arial"/>
          <w:color w:val="222222"/>
          <w:sz w:val="20"/>
          <w:szCs w:val="20"/>
          <w:shd w:val="clear" w:color="auto" w:fill="FFFFFF"/>
        </w:rPr>
        <w:t> </w:t>
      </w:r>
      <w:r w:rsidRPr="00E359AC">
        <w:rPr>
          <w:rFonts w:ascii="Garamond" w:hAnsi="Garamond" w:cs="Arial"/>
          <w:i/>
          <w:iCs/>
          <w:color w:val="222222"/>
          <w:sz w:val="20"/>
          <w:szCs w:val="20"/>
        </w:rPr>
        <w:t>Neurocritical Care</w:t>
      </w:r>
      <w:r w:rsidRPr="00E359AC">
        <w:rPr>
          <w:rStyle w:val="apple-converted-space"/>
          <w:rFonts w:ascii="Garamond" w:hAnsi="Garamond" w:cs="Arial"/>
          <w:color w:val="222222"/>
          <w:sz w:val="20"/>
          <w:szCs w:val="20"/>
          <w:shd w:val="clear" w:color="auto" w:fill="FFFFFF"/>
        </w:rPr>
        <w:t> </w:t>
      </w:r>
      <w:r w:rsidRPr="00E359AC">
        <w:rPr>
          <w:rFonts w:ascii="Garamond" w:hAnsi="Garamond" w:cs="Arial"/>
          <w:color w:val="222222"/>
          <w:sz w:val="20"/>
          <w:szCs w:val="20"/>
          <w:shd w:val="clear" w:color="auto" w:fill="FFFFFF"/>
        </w:rPr>
        <w:t>44.2 (2026): 473-485.</w:t>
      </w:r>
    </w:p>
    <w:p w14:paraId="3BF3FF80" w14:textId="77777777" w:rsidR="00B17F6B" w:rsidRPr="00E359AC" w:rsidRDefault="00B17F6B" w:rsidP="00916397">
      <w:pPr>
        <w:pStyle w:val="NoSpacing"/>
        <w:rPr>
          <w:rFonts w:ascii="Garamond" w:hAnsi="Garamond" w:cs="Arial"/>
          <w:color w:val="222222"/>
          <w:sz w:val="20"/>
          <w:szCs w:val="20"/>
          <w:shd w:val="clear" w:color="auto" w:fill="FFFFFF"/>
        </w:rPr>
      </w:pPr>
    </w:p>
    <w:p w14:paraId="2C58CA93" w14:textId="125457C0" w:rsidR="00B17F6B" w:rsidRPr="00E359AC" w:rsidRDefault="00B17F6B" w:rsidP="00916397">
      <w:pPr>
        <w:pStyle w:val="NoSpacing"/>
        <w:rPr>
          <w:rFonts w:ascii="Garamond" w:hAnsi="Garamond" w:cs="Arial"/>
          <w:color w:val="222222"/>
          <w:sz w:val="20"/>
          <w:szCs w:val="20"/>
          <w:shd w:val="clear" w:color="auto" w:fill="FFFFFF"/>
        </w:rPr>
      </w:pPr>
      <w:r w:rsidRPr="00E359AC">
        <w:rPr>
          <w:rFonts w:ascii="Garamond" w:hAnsi="Garamond" w:cs="Arial"/>
          <w:color w:val="222222"/>
          <w:sz w:val="20"/>
          <w:szCs w:val="20"/>
          <w:shd w:val="clear" w:color="auto" w:fill="FFFFFF"/>
        </w:rPr>
        <w:t>Young, Michael J. "Compassionate care for the unconscious and incapacitated."</w:t>
      </w:r>
      <w:r w:rsidRPr="00E359AC">
        <w:rPr>
          <w:rStyle w:val="apple-converted-space"/>
          <w:rFonts w:ascii="Garamond" w:hAnsi="Garamond" w:cs="Arial"/>
          <w:color w:val="222222"/>
          <w:sz w:val="20"/>
          <w:szCs w:val="20"/>
          <w:shd w:val="clear" w:color="auto" w:fill="FFFFFF"/>
        </w:rPr>
        <w:t> </w:t>
      </w:r>
      <w:r w:rsidRPr="00E359AC">
        <w:rPr>
          <w:rFonts w:ascii="Garamond" w:hAnsi="Garamond" w:cs="Arial"/>
          <w:i/>
          <w:iCs/>
          <w:color w:val="222222"/>
          <w:sz w:val="20"/>
          <w:szCs w:val="20"/>
        </w:rPr>
        <w:t>The American Journal of Bioethics</w:t>
      </w:r>
      <w:r w:rsidRPr="00E359AC">
        <w:rPr>
          <w:rStyle w:val="apple-converted-space"/>
          <w:rFonts w:ascii="Garamond" w:hAnsi="Garamond" w:cs="Arial"/>
          <w:color w:val="222222"/>
          <w:sz w:val="20"/>
          <w:szCs w:val="20"/>
          <w:shd w:val="clear" w:color="auto" w:fill="FFFFFF"/>
        </w:rPr>
        <w:t> </w:t>
      </w:r>
      <w:r w:rsidRPr="00E359AC">
        <w:rPr>
          <w:rFonts w:ascii="Garamond" w:hAnsi="Garamond" w:cs="Arial"/>
          <w:color w:val="222222"/>
          <w:sz w:val="20"/>
          <w:szCs w:val="20"/>
          <w:shd w:val="clear" w:color="auto" w:fill="FFFFFF"/>
        </w:rPr>
        <w:t>20.2 (2020): 55-57.</w:t>
      </w:r>
    </w:p>
    <w:p w14:paraId="2B697C08" w14:textId="77777777" w:rsidR="00B17F6B" w:rsidRPr="00E359AC" w:rsidRDefault="00B17F6B" w:rsidP="00916397">
      <w:pPr>
        <w:pStyle w:val="NoSpacing"/>
        <w:rPr>
          <w:rFonts w:ascii="Garamond" w:hAnsi="Garamond" w:cs="Arial"/>
          <w:color w:val="222222"/>
          <w:sz w:val="20"/>
          <w:szCs w:val="20"/>
          <w:shd w:val="clear" w:color="auto" w:fill="FFFFFF"/>
        </w:rPr>
      </w:pPr>
    </w:p>
    <w:p w14:paraId="7E8FB2E2" w14:textId="486BFEA2" w:rsidR="00B17F6B" w:rsidRPr="00E359AC" w:rsidRDefault="00B17F6B" w:rsidP="00916397">
      <w:pPr>
        <w:pStyle w:val="NoSpacing"/>
        <w:rPr>
          <w:rFonts w:ascii="Garamond" w:hAnsi="Garamond" w:cs="Arial"/>
          <w:color w:val="222222"/>
          <w:sz w:val="20"/>
          <w:szCs w:val="20"/>
          <w:shd w:val="clear" w:color="auto" w:fill="FFFFFF"/>
        </w:rPr>
      </w:pPr>
      <w:r w:rsidRPr="00E359AC">
        <w:rPr>
          <w:rFonts w:ascii="Garamond" w:hAnsi="Garamond" w:cs="Arial"/>
          <w:color w:val="222222"/>
          <w:sz w:val="20"/>
          <w:szCs w:val="20"/>
          <w:shd w:val="clear" w:color="auto" w:fill="FFFFFF"/>
        </w:rPr>
        <w:t xml:space="preserve">Young MJ, Bodien YG, </w:t>
      </w:r>
      <w:proofErr w:type="spellStart"/>
      <w:r w:rsidRPr="00E359AC">
        <w:rPr>
          <w:rFonts w:ascii="Garamond" w:hAnsi="Garamond" w:cs="Arial"/>
          <w:color w:val="222222"/>
          <w:sz w:val="20"/>
          <w:szCs w:val="20"/>
          <w:shd w:val="clear" w:color="auto" w:fill="FFFFFF"/>
        </w:rPr>
        <w:t>Giacino</w:t>
      </w:r>
      <w:proofErr w:type="spellEnd"/>
      <w:r w:rsidRPr="00E359AC">
        <w:rPr>
          <w:rFonts w:ascii="Garamond" w:hAnsi="Garamond" w:cs="Arial"/>
          <w:color w:val="222222"/>
          <w:sz w:val="20"/>
          <w:szCs w:val="20"/>
          <w:shd w:val="clear" w:color="auto" w:fill="FFFFFF"/>
        </w:rPr>
        <w:t xml:space="preserve"> JT, Fins JJ, Truog RD, Hochberg LR, Edlow BL. The </w:t>
      </w:r>
      <w:proofErr w:type="spellStart"/>
      <w:r w:rsidRPr="00E359AC">
        <w:rPr>
          <w:rFonts w:ascii="Garamond" w:hAnsi="Garamond" w:cs="Arial"/>
          <w:color w:val="222222"/>
          <w:sz w:val="20"/>
          <w:szCs w:val="20"/>
          <w:shd w:val="clear" w:color="auto" w:fill="FFFFFF"/>
        </w:rPr>
        <w:t>neuroethics</w:t>
      </w:r>
      <w:proofErr w:type="spellEnd"/>
      <w:r w:rsidRPr="00E359AC">
        <w:rPr>
          <w:rFonts w:ascii="Garamond" w:hAnsi="Garamond" w:cs="Arial"/>
          <w:color w:val="222222"/>
          <w:sz w:val="20"/>
          <w:szCs w:val="20"/>
          <w:shd w:val="clear" w:color="auto" w:fill="FFFFFF"/>
        </w:rPr>
        <w:t xml:space="preserve"> of disorders of consciousness: a brief history of evolving ideas. </w:t>
      </w:r>
      <w:r w:rsidRPr="00E359AC">
        <w:rPr>
          <w:rFonts w:ascii="Garamond" w:hAnsi="Garamond" w:cs="Arial"/>
          <w:i/>
          <w:iCs/>
          <w:color w:val="222222"/>
          <w:sz w:val="20"/>
          <w:szCs w:val="20"/>
          <w:shd w:val="clear" w:color="auto" w:fill="FFFFFF"/>
        </w:rPr>
        <w:t>Brain</w:t>
      </w:r>
      <w:r w:rsidRPr="00E359AC">
        <w:rPr>
          <w:rFonts w:ascii="Garamond" w:hAnsi="Garamond" w:cs="Arial"/>
          <w:color w:val="222222"/>
          <w:sz w:val="20"/>
          <w:szCs w:val="20"/>
          <w:shd w:val="clear" w:color="auto" w:fill="FFFFFF"/>
        </w:rPr>
        <w:t>. 2021 Nov 1;144(11):3291-310.</w:t>
      </w:r>
    </w:p>
    <w:p w14:paraId="3D5F712E" w14:textId="77777777" w:rsidR="00B17F6B" w:rsidRPr="00E359AC" w:rsidRDefault="00B17F6B" w:rsidP="00916397">
      <w:pPr>
        <w:pStyle w:val="NoSpacing"/>
        <w:rPr>
          <w:rFonts w:ascii="Garamond" w:hAnsi="Garamond" w:cs="Arial"/>
          <w:color w:val="222222"/>
          <w:sz w:val="20"/>
          <w:szCs w:val="20"/>
          <w:shd w:val="clear" w:color="auto" w:fill="FFFFFF"/>
        </w:rPr>
      </w:pPr>
    </w:p>
    <w:p w14:paraId="5662C06F" w14:textId="355CD606" w:rsidR="00B17F6B" w:rsidRPr="00E359AC" w:rsidRDefault="00B17F6B" w:rsidP="00916397">
      <w:pPr>
        <w:pStyle w:val="NoSpacing"/>
        <w:rPr>
          <w:rFonts w:ascii="Garamond" w:hAnsi="Garamond" w:cs="Arial"/>
          <w:color w:val="222222"/>
          <w:sz w:val="20"/>
          <w:szCs w:val="20"/>
          <w:shd w:val="clear" w:color="auto" w:fill="FFFFFF"/>
        </w:rPr>
      </w:pPr>
      <w:r w:rsidRPr="00E359AC">
        <w:rPr>
          <w:rFonts w:ascii="Garamond" w:hAnsi="Garamond" w:cs="Arial"/>
          <w:color w:val="222222"/>
          <w:sz w:val="20"/>
          <w:szCs w:val="20"/>
          <w:shd w:val="clear" w:color="auto" w:fill="FFFFFF"/>
        </w:rPr>
        <w:t xml:space="preserve">Young MJ, Peterson A. </w:t>
      </w:r>
      <w:proofErr w:type="spellStart"/>
      <w:r w:rsidRPr="00E359AC">
        <w:rPr>
          <w:rFonts w:ascii="Garamond" w:hAnsi="Garamond" w:cs="Arial"/>
          <w:color w:val="222222"/>
          <w:sz w:val="20"/>
          <w:szCs w:val="20"/>
          <w:shd w:val="clear" w:color="auto" w:fill="FFFFFF"/>
        </w:rPr>
        <w:t>Neuroethics</w:t>
      </w:r>
      <w:proofErr w:type="spellEnd"/>
      <w:r w:rsidRPr="00E359AC">
        <w:rPr>
          <w:rFonts w:ascii="Garamond" w:hAnsi="Garamond" w:cs="Arial"/>
          <w:color w:val="222222"/>
          <w:sz w:val="20"/>
          <w:szCs w:val="20"/>
          <w:shd w:val="clear" w:color="auto" w:fill="FFFFFF"/>
        </w:rPr>
        <w:t xml:space="preserve"> across the disorders of consciousness care continuum. </w:t>
      </w:r>
      <w:r w:rsidRPr="00E359AC">
        <w:rPr>
          <w:rFonts w:ascii="Garamond" w:hAnsi="Garamond" w:cs="Arial"/>
          <w:i/>
          <w:iCs/>
          <w:color w:val="222222"/>
          <w:sz w:val="20"/>
          <w:szCs w:val="20"/>
          <w:shd w:val="clear" w:color="auto" w:fill="FFFFFF"/>
        </w:rPr>
        <w:t>Seminars in neurology</w:t>
      </w:r>
      <w:r w:rsidRPr="00E359AC">
        <w:rPr>
          <w:rFonts w:ascii="Garamond" w:hAnsi="Garamond" w:cs="Arial"/>
          <w:color w:val="222222"/>
          <w:sz w:val="20"/>
          <w:szCs w:val="20"/>
          <w:shd w:val="clear" w:color="auto" w:fill="FFFFFF"/>
        </w:rPr>
        <w:t xml:space="preserve"> 2022 Jun (Vol. 42, No. 03, pp. 375-392). </w:t>
      </w:r>
    </w:p>
    <w:p w14:paraId="24A065E2" w14:textId="77777777" w:rsidR="00B17F6B" w:rsidRPr="00E359AC" w:rsidRDefault="00B17F6B" w:rsidP="00916397">
      <w:pPr>
        <w:pStyle w:val="NoSpacing"/>
        <w:rPr>
          <w:rFonts w:ascii="Garamond" w:hAnsi="Garamond" w:cs="Arial"/>
          <w:color w:val="222222"/>
          <w:sz w:val="20"/>
          <w:szCs w:val="20"/>
          <w:shd w:val="clear" w:color="auto" w:fill="FFFFFF"/>
        </w:rPr>
      </w:pPr>
    </w:p>
    <w:p w14:paraId="6E196228" w14:textId="6C2F83D0" w:rsidR="00B17F6B" w:rsidRPr="00E359AC" w:rsidRDefault="00B17F6B" w:rsidP="00916397">
      <w:pPr>
        <w:pStyle w:val="NoSpacing"/>
        <w:rPr>
          <w:rFonts w:ascii="Garamond" w:hAnsi="Garamond"/>
          <w:sz w:val="20"/>
          <w:szCs w:val="20"/>
        </w:rPr>
      </w:pPr>
      <w:r w:rsidRPr="00E359AC">
        <w:rPr>
          <w:rFonts w:ascii="Garamond" w:hAnsi="Garamond"/>
          <w:sz w:val="20"/>
          <w:szCs w:val="20"/>
        </w:rPr>
        <w:t xml:space="preserve">Cantor NL, Choi W, Young MJ. Dilemmas in Implementing Advance Directives of Patients with Advanced Dementia. </w:t>
      </w:r>
      <w:r w:rsidRPr="00E359AC">
        <w:rPr>
          <w:rFonts w:ascii="Garamond" w:hAnsi="Garamond"/>
          <w:i/>
          <w:iCs/>
          <w:sz w:val="20"/>
          <w:szCs w:val="20"/>
        </w:rPr>
        <w:t xml:space="preserve">Journal of Dementia and Alzheimer’s Disease. </w:t>
      </w:r>
      <w:r w:rsidRPr="00E359AC">
        <w:rPr>
          <w:rFonts w:ascii="Garamond" w:hAnsi="Garamond"/>
          <w:sz w:val="20"/>
          <w:szCs w:val="20"/>
        </w:rPr>
        <w:t>2025 Jul 1;2(3):22.</w:t>
      </w:r>
    </w:p>
    <w:p w14:paraId="4D8A99E3" w14:textId="77777777" w:rsidR="00651A5C" w:rsidRPr="00E359AC" w:rsidRDefault="00651A5C" w:rsidP="00916397">
      <w:pPr>
        <w:pStyle w:val="NoSpacing"/>
        <w:rPr>
          <w:rFonts w:ascii="Garamond" w:hAnsi="Garamond"/>
          <w:sz w:val="20"/>
          <w:szCs w:val="20"/>
        </w:rPr>
      </w:pPr>
    </w:p>
    <w:p w14:paraId="129436C4" w14:textId="4BC36FEB" w:rsidR="00E359AC" w:rsidRPr="00E359AC" w:rsidRDefault="00E359AC" w:rsidP="00916397">
      <w:pPr>
        <w:pStyle w:val="NoSpacing"/>
        <w:rPr>
          <w:rFonts w:ascii="Garamond" w:hAnsi="Garamond"/>
          <w:sz w:val="20"/>
          <w:szCs w:val="20"/>
        </w:rPr>
      </w:pPr>
      <w:r w:rsidRPr="00E359AC">
        <w:rPr>
          <w:rFonts w:ascii="Garamond" w:hAnsi="Garamond"/>
          <w:sz w:val="20"/>
          <w:szCs w:val="20"/>
        </w:rPr>
        <w:t xml:space="preserve">Young MJ, Simon D, Evans BJ. Safeguarding neural data. </w:t>
      </w:r>
      <w:r w:rsidRPr="00E359AC">
        <w:rPr>
          <w:rFonts w:ascii="Garamond" w:hAnsi="Garamond"/>
          <w:i/>
          <w:iCs/>
          <w:sz w:val="20"/>
          <w:szCs w:val="20"/>
        </w:rPr>
        <w:t>Neurology</w:t>
      </w:r>
      <w:r w:rsidRPr="00E359AC">
        <w:rPr>
          <w:rFonts w:ascii="Garamond" w:hAnsi="Garamond"/>
          <w:sz w:val="20"/>
          <w:szCs w:val="20"/>
        </w:rPr>
        <w:t>. 2026 May 26;106(10</w:t>
      </w:r>
      <w:proofErr w:type="gramStart"/>
      <w:r w:rsidRPr="00E359AC">
        <w:rPr>
          <w:rFonts w:ascii="Garamond" w:hAnsi="Garamond"/>
          <w:sz w:val="20"/>
          <w:szCs w:val="20"/>
        </w:rPr>
        <w:t>):e</w:t>
      </w:r>
      <w:proofErr w:type="gramEnd"/>
      <w:r w:rsidRPr="00E359AC">
        <w:rPr>
          <w:rFonts w:ascii="Garamond" w:hAnsi="Garamond"/>
          <w:sz w:val="20"/>
          <w:szCs w:val="20"/>
        </w:rPr>
        <w:t>214942.</w:t>
      </w:r>
    </w:p>
    <w:p w14:paraId="379DF8F3" w14:textId="77777777" w:rsidR="00E359AC" w:rsidRPr="00E359AC" w:rsidRDefault="00E359AC" w:rsidP="00916397">
      <w:pPr>
        <w:pStyle w:val="NoSpacing"/>
        <w:rPr>
          <w:rFonts w:ascii="Garamond" w:hAnsi="Garamond"/>
          <w:sz w:val="20"/>
          <w:szCs w:val="20"/>
        </w:rPr>
      </w:pPr>
    </w:p>
    <w:p w14:paraId="1E0C69A2" w14:textId="5DE06615" w:rsidR="00E359AC" w:rsidRPr="00E359AC" w:rsidRDefault="00E359AC" w:rsidP="00916397">
      <w:pPr>
        <w:pStyle w:val="NoSpacing"/>
        <w:rPr>
          <w:rFonts w:ascii="Garamond" w:hAnsi="Garamond"/>
          <w:sz w:val="20"/>
          <w:szCs w:val="20"/>
        </w:rPr>
      </w:pPr>
      <w:r w:rsidRPr="00E359AC">
        <w:rPr>
          <w:rFonts w:ascii="Garamond" w:hAnsi="Garamond"/>
          <w:sz w:val="20"/>
          <w:szCs w:val="20"/>
        </w:rPr>
        <w:t xml:space="preserve">Young, </w:t>
      </w:r>
      <w:r w:rsidRPr="00E359AC">
        <w:rPr>
          <w:rFonts w:ascii="Garamond" w:hAnsi="Garamond"/>
          <w:sz w:val="20"/>
          <w:szCs w:val="20"/>
        </w:rPr>
        <w:t>M</w:t>
      </w:r>
      <w:r w:rsidRPr="00E359AC">
        <w:rPr>
          <w:rFonts w:ascii="Garamond" w:hAnsi="Garamond"/>
          <w:sz w:val="20"/>
          <w:szCs w:val="20"/>
        </w:rPr>
        <w:t xml:space="preserve">J., and </w:t>
      </w:r>
      <w:r w:rsidRPr="00E359AC">
        <w:rPr>
          <w:rFonts w:ascii="Garamond" w:hAnsi="Garamond"/>
          <w:sz w:val="20"/>
          <w:szCs w:val="20"/>
        </w:rPr>
        <w:t>Bernat, JL</w:t>
      </w:r>
      <w:r w:rsidRPr="00E359AC">
        <w:rPr>
          <w:rFonts w:ascii="Garamond" w:hAnsi="Garamond"/>
          <w:sz w:val="20"/>
          <w:szCs w:val="20"/>
        </w:rPr>
        <w:t xml:space="preserve">. "Emerging subspecialties in neurology: </w:t>
      </w:r>
      <w:proofErr w:type="spellStart"/>
      <w:r w:rsidRPr="00E359AC">
        <w:rPr>
          <w:rFonts w:ascii="Garamond" w:hAnsi="Garamond"/>
          <w:sz w:val="20"/>
          <w:szCs w:val="20"/>
        </w:rPr>
        <w:t>neuroethics</w:t>
      </w:r>
      <w:proofErr w:type="spellEnd"/>
      <w:r w:rsidRPr="00E359AC">
        <w:rPr>
          <w:rFonts w:ascii="Garamond" w:hAnsi="Garamond"/>
          <w:sz w:val="20"/>
          <w:szCs w:val="20"/>
        </w:rPr>
        <w:t xml:space="preserve">: an emerging career path in neurology." </w:t>
      </w:r>
      <w:r w:rsidRPr="00E359AC">
        <w:rPr>
          <w:rFonts w:ascii="Garamond" w:hAnsi="Garamond"/>
          <w:i/>
          <w:iCs/>
          <w:sz w:val="20"/>
          <w:szCs w:val="20"/>
        </w:rPr>
        <w:t>Neurology</w:t>
      </w:r>
      <w:r w:rsidRPr="00E359AC">
        <w:rPr>
          <w:rFonts w:ascii="Garamond" w:hAnsi="Garamond"/>
          <w:sz w:val="20"/>
          <w:szCs w:val="20"/>
        </w:rPr>
        <w:t xml:space="preserve"> 98.12 (2022): 505-508.</w:t>
      </w:r>
    </w:p>
    <w:p w14:paraId="4F512C33" w14:textId="77777777" w:rsidR="00E359AC" w:rsidRPr="00E359AC" w:rsidRDefault="00E359AC" w:rsidP="00916397">
      <w:pPr>
        <w:pStyle w:val="NoSpacing"/>
        <w:rPr>
          <w:rFonts w:ascii="Garamond" w:hAnsi="Garamond"/>
          <w:sz w:val="20"/>
          <w:szCs w:val="20"/>
        </w:rPr>
      </w:pPr>
    </w:p>
    <w:p w14:paraId="0310E9FD" w14:textId="69DA5F35" w:rsidR="00E359AC" w:rsidRPr="00E359AC" w:rsidRDefault="00E359AC" w:rsidP="00916397">
      <w:pPr>
        <w:pStyle w:val="NoSpacing"/>
        <w:rPr>
          <w:rFonts w:ascii="Garamond" w:hAnsi="Garamond"/>
          <w:sz w:val="20"/>
          <w:szCs w:val="20"/>
        </w:rPr>
      </w:pPr>
      <w:r w:rsidRPr="00E359AC">
        <w:rPr>
          <w:rFonts w:ascii="Garamond" w:hAnsi="Garamond"/>
          <w:sz w:val="20"/>
          <w:szCs w:val="20"/>
        </w:rPr>
        <w:t xml:space="preserve">van </w:t>
      </w:r>
      <w:proofErr w:type="spellStart"/>
      <w:r w:rsidRPr="00E359AC">
        <w:rPr>
          <w:rFonts w:ascii="Garamond" w:hAnsi="Garamond"/>
          <w:sz w:val="20"/>
          <w:szCs w:val="20"/>
        </w:rPr>
        <w:t>Veluw</w:t>
      </w:r>
      <w:proofErr w:type="spellEnd"/>
      <w:r w:rsidRPr="00E359AC">
        <w:rPr>
          <w:rFonts w:ascii="Garamond" w:hAnsi="Garamond"/>
          <w:sz w:val="20"/>
          <w:szCs w:val="20"/>
        </w:rPr>
        <w:t xml:space="preserve"> SJ, Young MJ. Ethical considerations for the use of anti</w:t>
      </w:r>
      <w:r w:rsidRPr="00E359AC">
        <w:rPr>
          <w:rFonts w:ascii="Cambria Math" w:hAnsi="Cambria Math" w:cs="Cambria Math"/>
          <w:sz w:val="20"/>
          <w:szCs w:val="20"/>
        </w:rPr>
        <w:t>‐</w:t>
      </w:r>
      <w:r w:rsidRPr="00E359AC">
        <w:rPr>
          <w:rFonts w:ascii="Garamond" w:hAnsi="Garamond"/>
          <w:sz w:val="20"/>
          <w:szCs w:val="20"/>
        </w:rPr>
        <w:t xml:space="preserve">amyloid immunotherapy in patients with early Alzheimer's disease. </w:t>
      </w:r>
      <w:r w:rsidRPr="00E359AC">
        <w:rPr>
          <w:rFonts w:ascii="Garamond" w:hAnsi="Garamond"/>
          <w:i/>
          <w:iCs/>
          <w:sz w:val="20"/>
          <w:szCs w:val="20"/>
        </w:rPr>
        <w:t xml:space="preserve">Alzheimer's &amp; Dementia. </w:t>
      </w:r>
      <w:r w:rsidRPr="00E359AC">
        <w:rPr>
          <w:rFonts w:ascii="Garamond" w:hAnsi="Garamond"/>
          <w:sz w:val="20"/>
          <w:szCs w:val="20"/>
        </w:rPr>
        <w:t>2024 Mar 25;20(5):3664.</w:t>
      </w:r>
    </w:p>
    <w:p w14:paraId="6A1379B0" w14:textId="77777777" w:rsidR="00E359AC" w:rsidRPr="00E359AC" w:rsidRDefault="00E359AC" w:rsidP="00916397">
      <w:pPr>
        <w:pStyle w:val="NoSpacing"/>
        <w:rPr>
          <w:rFonts w:ascii="Garamond" w:hAnsi="Garamond"/>
          <w:sz w:val="20"/>
          <w:szCs w:val="20"/>
        </w:rPr>
      </w:pPr>
    </w:p>
    <w:p w14:paraId="3EC0FFED" w14:textId="11AC7833" w:rsidR="00E359AC" w:rsidRPr="00E359AC" w:rsidRDefault="00E359AC" w:rsidP="00916397">
      <w:pPr>
        <w:pStyle w:val="NoSpacing"/>
        <w:rPr>
          <w:rFonts w:ascii="Garamond" w:hAnsi="Garamond"/>
          <w:sz w:val="20"/>
          <w:szCs w:val="20"/>
        </w:rPr>
      </w:pPr>
      <w:r w:rsidRPr="00E359AC">
        <w:rPr>
          <w:rFonts w:ascii="Garamond" w:hAnsi="Garamond"/>
          <w:sz w:val="20"/>
          <w:szCs w:val="20"/>
        </w:rPr>
        <w:t xml:space="preserve">Klein E. Relational autonomy and the clinical relationship in dementia care. </w:t>
      </w:r>
      <w:r w:rsidRPr="00E359AC">
        <w:rPr>
          <w:rFonts w:ascii="Garamond" w:hAnsi="Garamond"/>
          <w:i/>
          <w:iCs/>
          <w:sz w:val="20"/>
          <w:szCs w:val="20"/>
        </w:rPr>
        <w:t>Theoretical Medicine and Bioethics</w:t>
      </w:r>
      <w:r w:rsidRPr="00E359AC">
        <w:rPr>
          <w:rFonts w:ascii="Garamond" w:hAnsi="Garamond"/>
          <w:sz w:val="20"/>
          <w:szCs w:val="20"/>
        </w:rPr>
        <w:t>. 2022 Aug 1;43(4):277-88.</w:t>
      </w:r>
    </w:p>
    <w:p w14:paraId="328BF329" w14:textId="77777777" w:rsidR="00E359AC" w:rsidRPr="00E359AC" w:rsidRDefault="00E359AC" w:rsidP="00916397">
      <w:pPr>
        <w:pStyle w:val="NoSpacing"/>
        <w:rPr>
          <w:rFonts w:ascii="Garamond" w:hAnsi="Garamond"/>
          <w:sz w:val="20"/>
          <w:szCs w:val="20"/>
        </w:rPr>
      </w:pPr>
    </w:p>
    <w:p w14:paraId="0D99C22F" w14:textId="300ABB10" w:rsidR="00E359AC" w:rsidRPr="00E359AC" w:rsidRDefault="00E359AC" w:rsidP="00916397">
      <w:pPr>
        <w:pStyle w:val="NoSpacing"/>
        <w:rPr>
          <w:rFonts w:ascii="Garamond" w:hAnsi="Garamond"/>
          <w:sz w:val="20"/>
          <w:szCs w:val="20"/>
        </w:rPr>
      </w:pPr>
      <w:r w:rsidRPr="00E359AC">
        <w:rPr>
          <w:rFonts w:ascii="Garamond" w:hAnsi="Garamond"/>
          <w:sz w:val="20"/>
          <w:szCs w:val="20"/>
        </w:rPr>
        <w:t xml:space="preserve">Choi, W.J., 2024. Ethics of care challenge to advance directives for dementia patients. </w:t>
      </w:r>
      <w:r w:rsidRPr="00E359AC">
        <w:rPr>
          <w:rFonts w:ascii="Garamond" w:hAnsi="Garamond"/>
          <w:i/>
          <w:iCs/>
          <w:sz w:val="20"/>
          <w:szCs w:val="20"/>
        </w:rPr>
        <w:t>Journal of medical ethics</w:t>
      </w:r>
      <w:r w:rsidRPr="00E359AC">
        <w:rPr>
          <w:rFonts w:ascii="Garamond" w:hAnsi="Garamond"/>
          <w:sz w:val="20"/>
          <w:szCs w:val="20"/>
        </w:rPr>
        <w:t>, 50(11), pp.774-777.</w:t>
      </w:r>
    </w:p>
    <w:sectPr w:rsidR="00E359AC" w:rsidRPr="00E359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B75"/>
    <w:rsid w:val="0001175A"/>
    <w:rsid w:val="00056B35"/>
    <w:rsid w:val="00066D0F"/>
    <w:rsid w:val="000B4852"/>
    <w:rsid w:val="000B78A8"/>
    <w:rsid w:val="000C6082"/>
    <w:rsid w:val="000E5938"/>
    <w:rsid w:val="000F2BA2"/>
    <w:rsid w:val="00116A6F"/>
    <w:rsid w:val="001324ED"/>
    <w:rsid w:val="00135362"/>
    <w:rsid w:val="00144283"/>
    <w:rsid w:val="00166433"/>
    <w:rsid w:val="001812BE"/>
    <w:rsid w:val="001965D1"/>
    <w:rsid w:val="001A746B"/>
    <w:rsid w:val="001B7421"/>
    <w:rsid w:val="001C0210"/>
    <w:rsid w:val="001E024E"/>
    <w:rsid w:val="001E0452"/>
    <w:rsid w:val="001E2739"/>
    <w:rsid w:val="001E4415"/>
    <w:rsid w:val="001E5785"/>
    <w:rsid w:val="001F1A2E"/>
    <w:rsid w:val="001F6563"/>
    <w:rsid w:val="00214E7D"/>
    <w:rsid w:val="002415B9"/>
    <w:rsid w:val="002435E8"/>
    <w:rsid w:val="00246F15"/>
    <w:rsid w:val="00260964"/>
    <w:rsid w:val="002A69FC"/>
    <w:rsid w:val="002C12A5"/>
    <w:rsid w:val="002C4E7C"/>
    <w:rsid w:val="002D5ECE"/>
    <w:rsid w:val="002E024B"/>
    <w:rsid w:val="00313079"/>
    <w:rsid w:val="003510CA"/>
    <w:rsid w:val="00361415"/>
    <w:rsid w:val="00365925"/>
    <w:rsid w:val="003765AC"/>
    <w:rsid w:val="003813D7"/>
    <w:rsid w:val="00383179"/>
    <w:rsid w:val="00393078"/>
    <w:rsid w:val="003956FE"/>
    <w:rsid w:val="003E2B75"/>
    <w:rsid w:val="003F20F3"/>
    <w:rsid w:val="003F5618"/>
    <w:rsid w:val="0040428A"/>
    <w:rsid w:val="00414F35"/>
    <w:rsid w:val="004206ED"/>
    <w:rsid w:val="00426B51"/>
    <w:rsid w:val="00435683"/>
    <w:rsid w:val="004422E0"/>
    <w:rsid w:val="00490DFF"/>
    <w:rsid w:val="0049440E"/>
    <w:rsid w:val="004A206D"/>
    <w:rsid w:val="00506BDF"/>
    <w:rsid w:val="00510B4F"/>
    <w:rsid w:val="00542D98"/>
    <w:rsid w:val="00550C7B"/>
    <w:rsid w:val="0057115A"/>
    <w:rsid w:val="00577C44"/>
    <w:rsid w:val="005856B4"/>
    <w:rsid w:val="00594A5A"/>
    <w:rsid w:val="005C087B"/>
    <w:rsid w:val="005D6F87"/>
    <w:rsid w:val="005E491E"/>
    <w:rsid w:val="005F2DD8"/>
    <w:rsid w:val="006222DD"/>
    <w:rsid w:val="00651A5C"/>
    <w:rsid w:val="00673019"/>
    <w:rsid w:val="0068380A"/>
    <w:rsid w:val="00696FDA"/>
    <w:rsid w:val="006A4322"/>
    <w:rsid w:val="006A5080"/>
    <w:rsid w:val="006B4971"/>
    <w:rsid w:val="006B4A72"/>
    <w:rsid w:val="006B74E3"/>
    <w:rsid w:val="006D440B"/>
    <w:rsid w:val="0071533B"/>
    <w:rsid w:val="00721AA5"/>
    <w:rsid w:val="00733916"/>
    <w:rsid w:val="007371B4"/>
    <w:rsid w:val="007413CD"/>
    <w:rsid w:val="007428E5"/>
    <w:rsid w:val="00744746"/>
    <w:rsid w:val="00747AC2"/>
    <w:rsid w:val="00765733"/>
    <w:rsid w:val="00766CB1"/>
    <w:rsid w:val="00781A52"/>
    <w:rsid w:val="00790082"/>
    <w:rsid w:val="0079448B"/>
    <w:rsid w:val="00796C9D"/>
    <w:rsid w:val="007A3430"/>
    <w:rsid w:val="007B0A2B"/>
    <w:rsid w:val="007D0ED9"/>
    <w:rsid w:val="00856A97"/>
    <w:rsid w:val="0088467F"/>
    <w:rsid w:val="008C3066"/>
    <w:rsid w:val="008F3BD8"/>
    <w:rsid w:val="008F6222"/>
    <w:rsid w:val="00901EED"/>
    <w:rsid w:val="00910C21"/>
    <w:rsid w:val="0091288A"/>
    <w:rsid w:val="00916397"/>
    <w:rsid w:val="00935AB1"/>
    <w:rsid w:val="00941EB5"/>
    <w:rsid w:val="00942DB9"/>
    <w:rsid w:val="009828F6"/>
    <w:rsid w:val="009B6774"/>
    <w:rsid w:val="009B6B5B"/>
    <w:rsid w:val="009C3136"/>
    <w:rsid w:val="009D28E6"/>
    <w:rsid w:val="009F764D"/>
    <w:rsid w:val="00A50DE9"/>
    <w:rsid w:val="00A61650"/>
    <w:rsid w:val="00A95644"/>
    <w:rsid w:val="00AA669F"/>
    <w:rsid w:val="00B176A5"/>
    <w:rsid w:val="00B17F6B"/>
    <w:rsid w:val="00B268D4"/>
    <w:rsid w:val="00B56FA4"/>
    <w:rsid w:val="00B61A93"/>
    <w:rsid w:val="00B71D41"/>
    <w:rsid w:val="00B81CD1"/>
    <w:rsid w:val="00B8412E"/>
    <w:rsid w:val="00B863A9"/>
    <w:rsid w:val="00C11C90"/>
    <w:rsid w:val="00C574BA"/>
    <w:rsid w:val="00CD089B"/>
    <w:rsid w:val="00D22B20"/>
    <w:rsid w:val="00D22D91"/>
    <w:rsid w:val="00D329DC"/>
    <w:rsid w:val="00D32DB3"/>
    <w:rsid w:val="00D50185"/>
    <w:rsid w:val="00D64C15"/>
    <w:rsid w:val="00D66F64"/>
    <w:rsid w:val="00D80713"/>
    <w:rsid w:val="00D87830"/>
    <w:rsid w:val="00D90476"/>
    <w:rsid w:val="00DA3363"/>
    <w:rsid w:val="00DA3B28"/>
    <w:rsid w:val="00DC7E4F"/>
    <w:rsid w:val="00E230F4"/>
    <w:rsid w:val="00E32C3E"/>
    <w:rsid w:val="00E359AC"/>
    <w:rsid w:val="00E5619C"/>
    <w:rsid w:val="00E62098"/>
    <w:rsid w:val="00E758BD"/>
    <w:rsid w:val="00E811FE"/>
    <w:rsid w:val="00E84126"/>
    <w:rsid w:val="00E873B4"/>
    <w:rsid w:val="00E94901"/>
    <w:rsid w:val="00EA54EC"/>
    <w:rsid w:val="00ED66C5"/>
    <w:rsid w:val="00ED68AD"/>
    <w:rsid w:val="00EF1FA6"/>
    <w:rsid w:val="00EF564F"/>
    <w:rsid w:val="00F02A0F"/>
    <w:rsid w:val="00F21F61"/>
    <w:rsid w:val="00F40243"/>
    <w:rsid w:val="00F43648"/>
    <w:rsid w:val="00F55888"/>
    <w:rsid w:val="00F80D94"/>
    <w:rsid w:val="00FB0335"/>
    <w:rsid w:val="00FB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0C4CE343"/>
  <w15:chartTrackingRefBased/>
  <w15:docId w15:val="{4267C160-DF6F-7242-8BBE-89567D00E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2B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2B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2B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2B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2B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2B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2B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B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B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B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2B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2B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2B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2B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2B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2B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B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B75"/>
    <w:rPr>
      <w:rFonts w:eastAsiaTheme="majorEastAsia" w:cstheme="majorBidi"/>
      <w:color w:val="272727" w:themeColor="text1" w:themeTint="D8"/>
    </w:rPr>
  </w:style>
  <w:style w:type="paragraph" w:styleId="Title">
    <w:name w:val="Title"/>
    <w:basedOn w:val="Normal"/>
    <w:next w:val="Normal"/>
    <w:link w:val="TitleChar"/>
    <w:uiPriority w:val="10"/>
    <w:qFormat/>
    <w:rsid w:val="003E2B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B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2B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B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B75"/>
    <w:pPr>
      <w:spacing w:before="160"/>
      <w:jc w:val="center"/>
    </w:pPr>
    <w:rPr>
      <w:i/>
      <w:iCs/>
      <w:color w:val="404040" w:themeColor="text1" w:themeTint="BF"/>
    </w:rPr>
  </w:style>
  <w:style w:type="character" w:customStyle="1" w:styleId="QuoteChar">
    <w:name w:val="Quote Char"/>
    <w:basedOn w:val="DefaultParagraphFont"/>
    <w:link w:val="Quote"/>
    <w:uiPriority w:val="29"/>
    <w:rsid w:val="003E2B75"/>
    <w:rPr>
      <w:i/>
      <w:iCs/>
      <w:color w:val="404040" w:themeColor="text1" w:themeTint="BF"/>
    </w:rPr>
  </w:style>
  <w:style w:type="paragraph" w:styleId="ListParagraph">
    <w:name w:val="List Paragraph"/>
    <w:basedOn w:val="Normal"/>
    <w:uiPriority w:val="34"/>
    <w:qFormat/>
    <w:rsid w:val="003E2B75"/>
    <w:pPr>
      <w:ind w:left="720"/>
      <w:contextualSpacing/>
    </w:pPr>
  </w:style>
  <w:style w:type="character" w:styleId="IntenseEmphasis">
    <w:name w:val="Intense Emphasis"/>
    <w:basedOn w:val="DefaultParagraphFont"/>
    <w:uiPriority w:val="21"/>
    <w:qFormat/>
    <w:rsid w:val="003E2B75"/>
    <w:rPr>
      <w:i/>
      <w:iCs/>
      <w:color w:val="0F4761" w:themeColor="accent1" w:themeShade="BF"/>
    </w:rPr>
  </w:style>
  <w:style w:type="paragraph" w:styleId="IntenseQuote">
    <w:name w:val="Intense Quote"/>
    <w:basedOn w:val="Normal"/>
    <w:next w:val="Normal"/>
    <w:link w:val="IntenseQuoteChar"/>
    <w:uiPriority w:val="30"/>
    <w:qFormat/>
    <w:rsid w:val="003E2B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B75"/>
    <w:rPr>
      <w:i/>
      <w:iCs/>
      <w:color w:val="0F4761" w:themeColor="accent1" w:themeShade="BF"/>
    </w:rPr>
  </w:style>
  <w:style w:type="character" w:styleId="IntenseReference">
    <w:name w:val="Intense Reference"/>
    <w:basedOn w:val="DefaultParagraphFont"/>
    <w:uiPriority w:val="32"/>
    <w:qFormat/>
    <w:rsid w:val="003E2B75"/>
    <w:rPr>
      <w:b/>
      <w:bCs/>
      <w:smallCaps/>
      <w:color w:val="0F4761" w:themeColor="accent1" w:themeShade="BF"/>
      <w:spacing w:val="5"/>
    </w:rPr>
  </w:style>
  <w:style w:type="paragraph" w:customStyle="1" w:styleId="p1">
    <w:name w:val="p1"/>
    <w:basedOn w:val="Normal"/>
    <w:rsid w:val="003E2B75"/>
    <w:pPr>
      <w:spacing w:before="100" w:beforeAutospacing="1" w:after="100" w:afterAutospacing="1" w:line="240" w:lineRule="auto"/>
    </w:pPr>
    <w:rPr>
      <w:rFonts w:ascii="Times New Roman" w:eastAsia="Times New Roman" w:hAnsi="Times New Roman" w:cs="Times New Roman"/>
      <w:kern w:val="0"/>
      <w:lang w:bidi="he-IL"/>
      <w14:ligatures w14:val="none"/>
    </w:rPr>
  </w:style>
  <w:style w:type="paragraph" w:customStyle="1" w:styleId="p2">
    <w:name w:val="p2"/>
    <w:basedOn w:val="Normal"/>
    <w:rsid w:val="003E2B75"/>
    <w:pPr>
      <w:spacing w:before="100" w:beforeAutospacing="1" w:after="100" w:afterAutospacing="1" w:line="240" w:lineRule="auto"/>
    </w:pPr>
    <w:rPr>
      <w:rFonts w:ascii="Times New Roman" w:eastAsia="Times New Roman" w:hAnsi="Times New Roman" w:cs="Times New Roman"/>
      <w:kern w:val="0"/>
      <w:lang w:bidi="he-IL"/>
      <w14:ligatures w14:val="none"/>
    </w:rPr>
  </w:style>
  <w:style w:type="character" w:customStyle="1" w:styleId="s1">
    <w:name w:val="s1"/>
    <w:basedOn w:val="DefaultParagraphFont"/>
    <w:rsid w:val="003E2B75"/>
  </w:style>
  <w:style w:type="paragraph" w:customStyle="1" w:styleId="p3">
    <w:name w:val="p3"/>
    <w:basedOn w:val="Normal"/>
    <w:rsid w:val="003E2B75"/>
    <w:pPr>
      <w:spacing w:before="100" w:beforeAutospacing="1" w:after="100" w:afterAutospacing="1" w:line="240" w:lineRule="auto"/>
    </w:pPr>
    <w:rPr>
      <w:rFonts w:ascii="Times New Roman" w:eastAsia="Times New Roman" w:hAnsi="Times New Roman" w:cs="Times New Roman"/>
      <w:kern w:val="0"/>
      <w:lang w:bidi="he-IL"/>
      <w14:ligatures w14:val="none"/>
    </w:rPr>
  </w:style>
  <w:style w:type="paragraph" w:styleId="NoSpacing">
    <w:name w:val="No Spacing"/>
    <w:uiPriority w:val="1"/>
    <w:qFormat/>
    <w:rsid w:val="00916397"/>
    <w:pPr>
      <w:spacing w:after="0" w:line="240" w:lineRule="auto"/>
    </w:pPr>
  </w:style>
  <w:style w:type="character" w:customStyle="1" w:styleId="apple-converted-space">
    <w:name w:val="apple-converted-space"/>
    <w:basedOn w:val="DefaultParagraphFont"/>
    <w:rsid w:val="00B17F6B"/>
  </w:style>
  <w:style w:type="character" w:styleId="Hyperlink">
    <w:name w:val="Hyperlink"/>
    <w:basedOn w:val="DefaultParagraphFont"/>
    <w:uiPriority w:val="99"/>
    <w:unhideWhenUsed/>
    <w:rsid w:val="007A3430"/>
    <w:rPr>
      <w:color w:val="467886" w:themeColor="hyperlink"/>
      <w:u w:val="single"/>
    </w:rPr>
  </w:style>
  <w:style w:type="character" w:styleId="UnresolvedMention">
    <w:name w:val="Unresolved Mention"/>
    <w:basedOn w:val="DefaultParagraphFont"/>
    <w:uiPriority w:val="99"/>
    <w:semiHidden/>
    <w:unhideWhenUsed/>
    <w:rsid w:val="007A34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6" ma:contentTypeDescription="Create a new document." ma:contentTypeScope="" ma:versionID="bbbe65f0025149aebc0f6e1d4fbbc27f">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545ba8cf931c61df770f27d0d12233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element ref="ns2:File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FilePreview" ma:index="31" nillable="true" ma:displayName="Preview" ma:format="Dropdown" ma:internalName="FilePrevie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Academia</Category>
    <lcf76f155ced4ddcb4097134ff3c332f xmlns="d42e65b2-cf21-49c1-b27d-d23f90380c0e">
      <Terms xmlns="http://schemas.microsoft.com/office/infopath/2007/PartnerControls"/>
    </lcf76f155ced4ddcb4097134ff3c332f>
    <Filename xmlns="d42e65b2-cf21-49c1-b27d-d23f90380c0e" xsi:nil="true"/>
    <FilePreview xmlns="d42e65b2-cf21-49c1-b27d-d23f90380c0e" xsi:nil="true"/>
    <Doctype xmlns="d42e65b2-cf21-49c1-b27d-d23f90380c0e">input</Doctype>
    <TaxCatchAll xmlns="985ec44e-1bab-4c0b-9df0-6ba128686fc9" xsi:nil="true"/>
    <Contributor xmlns="d42e65b2-cf21-49c1-b27d-d23f90380c0e">Michael J Young</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201C8622-9DA9-4C60-831A-B1544F03A617}"/>
</file>

<file path=customXml/itemProps2.xml><?xml version="1.0" encoding="utf-8"?>
<ds:datastoreItem xmlns:ds="http://schemas.openxmlformats.org/officeDocument/2006/customXml" ds:itemID="{5647861A-8062-4F89-83D3-8514E09D5D59}"/>
</file>

<file path=customXml/itemProps3.xml><?xml version="1.0" encoding="utf-8"?>
<ds:datastoreItem xmlns:ds="http://schemas.openxmlformats.org/officeDocument/2006/customXml" ds:itemID="{40F4C92B-5C72-4911-9F62-E9705482D534}"/>
</file>

<file path=docProps/app.xml><?xml version="1.0" encoding="utf-8"?>
<Properties xmlns="http://schemas.openxmlformats.org/officeDocument/2006/extended-properties" xmlns:vt="http://schemas.openxmlformats.org/officeDocument/2006/docPropsVTypes">
  <Template>Normal.dotm</Template>
  <TotalTime>38</TotalTime>
  <Pages>3</Pages>
  <Words>1632</Words>
  <Characters>9303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Michael J., MD</dc:creator>
  <cp:keywords/>
  <dc:description/>
  <cp:lastModifiedBy>Young, Michael J., MD</cp:lastModifiedBy>
  <cp:revision>5</cp:revision>
  <cp:lastPrinted>2026-07-09T14:10:00Z</cp:lastPrinted>
  <dcterms:created xsi:type="dcterms:W3CDTF">2026-07-09T13:17:00Z</dcterms:created>
  <dcterms:modified xsi:type="dcterms:W3CDTF">2026-07-09T14:14:00Z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