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C5245" w14:textId="77777777" w:rsidR="00F52A5A" w:rsidRPr="00F52A5A" w:rsidRDefault="00F52A5A" w:rsidP="008036B7">
      <w:pPr>
        <w:pStyle w:val="Title"/>
      </w:pPr>
      <w:r w:rsidRPr="00F52A5A">
        <w:t>Undetected Fatigue as a Hidden Barrier to Autonomy, Participation, and Dignity for Older Persons Living with Dementia</w:t>
      </w:r>
    </w:p>
    <w:p w14:paraId="3FAB78AE" w14:textId="77777777" w:rsidR="00A71854" w:rsidRPr="00980155" w:rsidRDefault="00A71854" w:rsidP="008036B7">
      <w:pPr>
        <w:spacing w:line="240" w:lineRule="auto"/>
      </w:pPr>
      <w:r w:rsidRPr="00980155">
        <w:rPr>
          <w:b/>
          <w:bCs/>
        </w:rPr>
        <w:t>Submission to the Independent Expert on the enjoyment of all human rights by older persons</w:t>
      </w:r>
    </w:p>
    <w:p w14:paraId="046B0067" w14:textId="1A682C80" w:rsidR="00353C3A" w:rsidRDefault="00F52A5A" w:rsidP="00CF7E82">
      <w:r w:rsidRPr="00F52A5A">
        <w:rPr>
          <w:b/>
          <w:bCs/>
        </w:rPr>
        <w:t>Submitted by:</w:t>
      </w:r>
      <w:r w:rsidRPr="00F52A5A">
        <w:t xml:space="preserve"> Dr Gary Christopher, Senior Lecturer, </w:t>
      </w:r>
      <w:r w:rsidR="002A6892" w:rsidRPr="00980155">
        <w:t xml:space="preserve">Faculty of Medicine, Health and Life Science, </w:t>
      </w:r>
      <w:r w:rsidRPr="00F52A5A">
        <w:t>Swansea University, Wales, United Kingdom</w:t>
      </w:r>
      <w:r w:rsidR="00CF7E82">
        <w:t xml:space="preserve"> </w:t>
      </w:r>
      <w:r w:rsidR="00F03ECA">
        <w:t>[</w:t>
      </w:r>
      <w:hyperlink r:id="rId8" w:history="1">
        <w:r w:rsidR="00C36F31" w:rsidRPr="00CF019C">
          <w:rPr>
            <w:rStyle w:val="Hyperlink"/>
          </w:rPr>
          <w:t>www.linkedin.com/in/drgarychristopher</w:t>
        </w:r>
      </w:hyperlink>
      <w:r w:rsidR="00F03ECA">
        <w:t>];</w:t>
      </w:r>
      <w:r w:rsidR="004E0EDB">
        <w:t xml:space="preserve"> </w:t>
      </w:r>
      <w:r w:rsidR="00C7117E">
        <w:t xml:space="preserve">Dr Marie Thomas, Reader, School of Science, Bath Spa University, England, United Kingdom. </w:t>
      </w:r>
    </w:p>
    <w:p w14:paraId="40D8D7B0" w14:textId="77777777" w:rsidR="00C54B8C" w:rsidRPr="00C54B8C" w:rsidRDefault="00C54B8C" w:rsidP="008036B7">
      <w:pPr>
        <w:spacing w:line="240" w:lineRule="auto"/>
        <w:rPr>
          <w:b/>
          <w:bCs/>
        </w:rPr>
      </w:pPr>
      <w:r w:rsidRPr="00C54B8C">
        <w:rPr>
          <w:b/>
          <w:bCs/>
        </w:rPr>
        <w:t>1. Executive Summary and Contextual Introduction</w:t>
      </w:r>
    </w:p>
    <w:p w14:paraId="59D74FAE" w14:textId="53F1D6C6" w:rsidR="00C54B8C" w:rsidRPr="00C54B8C" w:rsidRDefault="00C54B8C" w:rsidP="008036B7">
      <w:pPr>
        <w:spacing w:line="240" w:lineRule="auto"/>
      </w:pPr>
      <w:r w:rsidRPr="00C54B8C">
        <w:t xml:space="preserve">There is a pervasive, deep-seated issue in contemporary care for older persons that remains systematically overlooked precisely because it is so structurally </w:t>
      </w:r>
      <w:r w:rsidR="009A121F">
        <w:t>normalised</w:t>
      </w:r>
      <w:r w:rsidRPr="00C54B8C">
        <w:t>: older persons living with cognitive impairment are often profoundly, chronically tired. Care staff, family partners, and clinicians notice this state daily. Yet, in the vast majority of acute, institutional, and community care settings, nothing formal occurs. Fatigue is rarely systematically assessed, rigorously recorded, meaningfully accommodated, or clinically treated. It occupies a problematic category of phenomena that everyone observes</w:t>
      </w:r>
      <w:r w:rsidR="00C51AD7">
        <w:t>,</w:t>
      </w:r>
      <w:r w:rsidRPr="00C54B8C">
        <w:t xml:space="preserve"> but no one structurally owns.</w:t>
      </w:r>
    </w:p>
    <w:p w14:paraId="3418B0C3" w14:textId="3ADDD7A9" w:rsidR="00C54B8C" w:rsidRPr="00C54B8C" w:rsidRDefault="00C54B8C" w:rsidP="008036B7">
      <w:pPr>
        <w:spacing w:line="240" w:lineRule="auto"/>
      </w:pPr>
      <w:r w:rsidRPr="00C54B8C">
        <w:t>This omission is neither clinically trivial nor ethically neutral. Undetected and unaddressed fatigue functions as a powerful, invisible mechanism through which older persons with cognitive impairment lose their voice, their right to community participation, and their legal and personal autonomy. It precipitates a multi-layered harm that directly undermines the core tenets of international human rights frameworks, including the Convention on the Rights of Persons with Disabilities (CRPD)</w:t>
      </w:r>
      <w:r w:rsidR="00FA7E07">
        <w:rPr>
          <w:rStyle w:val="EndnoteReference"/>
        </w:rPr>
        <w:endnoteReference w:id="1"/>
      </w:r>
      <w:r w:rsidRPr="00C54B8C">
        <w:t>.</w:t>
      </w:r>
    </w:p>
    <w:p w14:paraId="3241E78E" w14:textId="77777777" w:rsidR="00C54B8C" w:rsidRPr="00C54B8C" w:rsidRDefault="00C54B8C" w:rsidP="008036B7">
      <w:pPr>
        <w:spacing w:line="240" w:lineRule="auto"/>
      </w:pPr>
      <w:r w:rsidRPr="00C54B8C">
        <w:t>Crucially, the fatigue experienced by this population is rarely due to neurodegeneration alone; it is overwhelmingly compounded by comorbid chronic conditions. However, when fatigue presents in an individual with cognitive impairment, it is routinely misread as an inevitable progression of dementia. A person too exhausted to speak or process information is treated as someone who has nothing to say or who lacks the intrinsic capacity to decide. Furthermore, the standard institutional default for managing a tired older person—enforced rest and paternalistic "doing-for"—actively accelerates biological decline and muscle atrophy, effectively engineering the very frailty it purports to manage.</w:t>
      </w:r>
    </w:p>
    <w:p w14:paraId="255D0DB3" w14:textId="77777777" w:rsidR="00C54B8C" w:rsidRPr="00C54B8C" w:rsidRDefault="00C54B8C" w:rsidP="008036B7">
      <w:pPr>
        <w:spacing w:line="240" w:lineRule="auto"/>
      </w:pPr>
      <w:r w:rsidRPr="00C54B8C">
        <w:t>This submission deconstructs these mechanisms, differentiates essential concepts like pacing and physical rehabilitation, and outlines a rights-based framework for integrating energy management into the global architecture of accessibility.</w:t>
      </w:r>
    </w:p>
    <w:p w14:paraId="7DE36111" w14:textId="77777777" w:rsidR="00C54B8C" w:rsidRPr="00C54B8C" w:rsidRDefault="00C54B8C" w:rsidP="008036B7">
      <w:pPr>
        <w:spacing w:line="240" w:lineRule="auto"/>
        <w:rPr>
          <w:b/>
          <w:bCs/>
        </w:rPr>
      </w:pPr>
      <w:r w:rsidRPr="00C54B8C">
        <w:rPr>
          <w:b/>
          <w:bCs/>
        </w:rPr>
        <w:t>2. The Nature and Burden of Persistent Fatigue: A Cross-Condition Reality</w:t>
      </w:r>
    </w:p>
    <w:p w14:paraId="170FCF9A" w14:textId="77777777" w:rsidR="00C54B8C" w:rsidRPr="00C54B8C" w:rsidRDefault="00C54B8C" w:rsidP="008036B7">
      <w:pPr>
        <w:spacing w:line="240" w:lineRule="auto"/>
      </w:pPr>
      <w:r w:rsidRPr="00C54B8C">
        <w:t>To understand the systemic failure in dementia care, fatigue must first be understood as a debilitating, multidimensional symptom that spans multiple chronic conditions prevalent in older age. Older persons living with cognitive impairment frequently live with significant comorbidities, yet the unique, compounding burden of fatigue generated by these intersecting conditions is rarely accounted for in their cognitive care.</w:t>
      </w:r>
    </w:p>
    <w:p w14:paraId="549BF553" w14:textId="2B3FEB23" w:rsidR="00C54B8C" w:rsidRPr="00C54B8C" w:rsidRDefault="00C54B8C" w:rsidP="008036B7">
      <w:pPr>
        <w:spacing w:line="240" w:lineRule="auto"/>
      </w:pPr>
      <w:r w:rsidRPr="00C54B8C">
        <w:t>A comprehensive 2020 meta-synthesis of qualitative studies by Jaime-Lara and colleagues examined the profound impact of persistent fatigue across five major chronic conditions: Heart Failure (HF), Multiple Sclerosis (MS), Rheumatoid Arthritis (RA), Chronic Kidney Disease (CKD), and Chronic Obstructive Pulmonary Disease (COPD)</w:t>
      </w:r>
      <w:r w:rsidR="007D16EE">
        <w:rPr>
          <w:rStyle w:val="EndnoteReference"/>
        </w:rPr>
        <w:endnoteReference w:id="2"/>
      </w:r>
      <w:r w:rsidRPr="00C54B8C">
        <w:t>. Across all these conditions, fatigue emerges as a multifaceted, pervasive, and inadequately addressed symptom encompassing physical, cognitive, and emotional dimensions.</w:t>
      </w:r>
    </w:p>
    <w:p w14:paraId="7E1F5BB2" w14:textId="77777777" w:rsidR="00C54B8C" w:rsidRPr="00C54B8C" w:rsidRDefault="00C54B8C" w:rsidP="008036B7">
      <w:pPr>
        <w:spacing w:line="240" w:lineRule="auto"/>
        <w:rPr>
          <w:b/>
          <w:bCs/>
        </w:rPr>
      </w:pPr>
      <w:r w:rsidRPr="00C54B8C">
        <w:rPr>
          <w:b/>
          <w:bCs/>
        </w:rPr>
        <w:lastRenderedPageBreak/>
        <w:t>The Phenomenological Experience of Fatigue</w:t>
      </w:r>
    </w:p>
    <w:p w14:paraId="140DC71C" w14:textId="126694AB" w:rsidR="00C54B8C" w:rsidRPr="00C54B8C" w:rsidRDefault="00C54B8C" w:rsidP="008036B7">
      <w:pPr>
        <w:spacing w:line="240" w:lineRule="auto"/>
      </w:pPr>
      <w:r w:rsidRPr="00C54B8C">
        <w:rPr>
          <w:b/>
          <w:bCs/>
        </w:rPr>
        <w:t>Heart Failure and COPD</w:t>
      </w:r>
      <w:r w:rsidR="007327B8">
        <w:rPr>
          <w:b/>
          <w:bCs/>
        </w:rPr>
        <w:t>.</w:t>
      </w:r>
      <w:r w:rsidRPr="00C54B8C">
        <w:t xml:space="preserve"> Fatigue is predominantly </w:t>
      </w:r>
      <w:r w:rsidR="00E46628">
        <w:t>characterised</w:t>
      </w:r>
      <w:r w:rsidRPr="00C54B8C">
        <w:t xml:space="preserve"> by pervasive lethargy, severe depletion of energy, and a markedly reduced capacity to engage in everyday activities. In COPD, this fatigue is inextricably linked with breathlessness and non-restorative sleep, creating a cycle that exacerbates both symptoms. In HF, sleep is often insufficient to alleviate the profound lack of vitality, significantly interfering with routine tasks.</w:t>
      </w:r>
    </w:p>
    <w:p w14:paraId="6F9C31FE" w14:textId="1B4EB6D6" w:rsidR="00C54B8C" w:rsidRPr="00C54B8C" w:rsidRDefault="00C54B8C" w:rsidP="008036B7">
      <w:pPr>
        <w:spacing w:line="240" w:lineRule="auto"/>
      </w:pPr>
      <w:r w:rsidRPr="00C54B8C">
        <w:rPr>
          <w:b/>
          <w:bCs/>
        </w:rPr>
        <w:t>Multiple Sclerosis and Chronic Kidney Disease</w:t>
      </w:r>
      <w:r w:rsidR="007327B8">
        <w:rPr>
          <w:b/>
          <w:bCs/>
        </w:rPr>
        <w:t>.</w:t>
      </w:r>
      <w:r w:rsidRPr="00C54B8C">
        <w:t xml:space="preserve"> Individuals describe overwhelming tiredness and lethargy, often feeling completely "wiped out." A key feature is its sheer unpredictability in onset and severity. In CKD, this physical exhaustion is matched by profound mental fatigue, </w:t>
      </w:r>
      <w:r w:rsidR="00E46628">
        <w:t>characterised</w:t>
      </w:r>
      <w:r w:rsidRPr="00C54B8C">
        <w:t xml:space="preserve"> by emotional depletion and diminished concentration, severely hindering social interaction.</w:t>
      </w:r>
    </w:p>
    <w:p w14:paraId="5636DFA6" w14:textId="1FA47656" w:rsidR="00C54B8C" w:rsidRPr="00C54B8C" w:rsidRDefault="00C54B8C" w:rsidP="008036B7">
      <w:pPr>
        <w:spacing w:line="240" w:lineRule="auto"/>
      </w:pPr>
      <w:r w:rsidRPr="00C54B8C">
        <w:rPr>
          <w:b/>
          <w:bCs/>
        </w:rPr>
        <w:t>Rheumatoid Arthritis</w:t>
      </w:r>
      <w:r w:rsidR="007327B8">
        <w:rPr>
          <w:b/>
          <w:bCs/>
        </w:rPr>
        <w:t>.</w:t>
      </w:r>
      <w:r w:rsidRPr="00C54B8C">
        <w:t xml:space="preserve"> Fatigue is described as omnipresent, uncontrollable, and overwhelming</w:t>
      </w:r>
      <w:r w:rsidR="00E46628">
        <w:t xml:space="preserve">, </w:t>
      </w:r>
      <w:r w:rsidRPr="00C54B8C">
        <w:t xml:space="preserve">often </w:t>
      </w:r>
      <w:r w:rsidR="00E46628">
        <w:t>prioritised</w:t>
      </w:r>
      <w:r w:rsidRPr="00C54B8C">
        <w:t xml:space="preserve"> by patients as more distressing than physical pain. It is inherently multidimensional, bridging physical exhaustion, emotional strain, and cognitive impairment.</w:t>
      </w:r>
    </w:p>
    <w:p w14:paraId="122EBF3F" w14:textId="77777777" w:rsidR="00C54B8C" w:rsidRPr="00C54B8C" w:rsidRDefault="00C54B8C" w:rsidP="008036B7">
      <w:pPr>
        <w:spacing w:line="240" w:lineRule="auto"/>
        <w:rPr>
          <w:b/>
          <w:bCs/>
        </w:rPr>
      </w:pPr>
      <w:r w:rsidRPr="00C54B8C">
        <w:rPr>
          <w:b/>
          <w:bCs/>
        </w:rPr>
        <w:t>The Systemic Failure of Recognition</w:t>
      </w:r>
    </w:p>
    <w:p w14:paraId="266B827E" w14:textId="094EB599" w:rsidR="00C54B8C" w:rsidRPr="00C54B8C" w:rsidRDefault="00C54B8C" w:rsidP="008036B7">
      <w:pPr>
        <w:spacing w:line="240" w:lineRule="auto"/>
      </w:pPr>
      <w:r w:rsidRPr="00C54B8C">
        <w:t>The foundational insight from Jaime-Lara et al.</w:t>
      </w:r>
      <w:r w:rsidR="00894CCE">
        <w:rPr>
          <w:rStyle w:val="EndnoteReference"/>
        </w:rPr>
        <w:endnoteReference w:id="3"/>
      </w:r>
      <w:r w:rsidRPr="00C54B8C">
        <w:t xml:space="preserve"> is that despite its debilitating nature, fatigue is fundamentally </w:t>
      </w:r>
      <w:r w:rsidR="00E46628">
        <w:rPr>
          <w:b/>
          <w:bCs/>
        </w:rPr>
        <w:t>under-recognised</w:t>
      </w:r>
      <w:r w:rsidRPr="00C54B8C">
        <w:rPr>
          <w:b/>
          <w:bCs/>
        </w:rPr>
        <w:t xml:space="preserve"> and misunderstood</w:t>
      </w:r>
      <w:r w:rsidRPr="00C54B8C">
        <w:t>. Patients consistently report that clinicians minimally address fatigue, often treating it as secondary, subjective, or medically irrelevant. This perceived lack of recognition from healthcare providers and social networks leads to stigma, feelings of being disbelieved, and profound social withdrawal.</w:t>
      </w:r>
    </w:p>
    <w:p w14:paraId="0579F4DE" w14:textId="2B2C2123" w:rsidR="00C54B8C" w:rsidRPr="00C54B8C" w:rsidRDefault="00C54B8C" w:rsidP="008036B7">
      <w:pPr>
        <w:spacing w:line="240" w:lineRule="auto"/>
      </w:pPr>
      <w:r w:rsidRPr="00C54B8C">
        <w:t xml:space="preserve">Furthermore, fatigue is highly </w:t>
      </w:r>
      <w:r w:rsidRPr="00C54B8C">
        <w:rPr>
          <w:b/>
          <w:bCs/>
        </w:rPr>
        <w:t>multifactorial and multimodal</w:t>
      </w:r>
      <w:r w:rsidRPr="00C54B8C">
        <w:t>. Fatigue rarely exists in isolation; it operates in a dense web of symptomatology. In RA, pain is accompanied by fatigue; in HF and COPD, breathlessness is accompanied by fatigue. Critically, fatigue itself is independently associated with significant cognitive and physical deficits</w:t>
      </w:r>
      <w:r w:rsidR="002F38FD">
        <w:rPr>
          <w:rStyle w:val="EndnoteReference"/>
        </w:rPr>
        <w:endnoteReference w:id="4"/>
      </w:r>
      <w:r w:rsidRPr="00C54B8C">
        <w:t>.</w:t>
      </w:r>
    </w:p>
    <w:p w14:paraId="32B39B00" w14:textId="77777777" w:rsidR="00C54B8C" w:rsidRPr="00C54B8C" w:rsidRDefault="00C54B8C" w:rsidP="008036B7">
      <w:pPr>
        <w:spacing w:line="240" w:lineRule="auto"/>
      </w:pPr>
      <w:r w:rsidRPr="00C54B8C">
        <w:t>The implication is clear: fatigue is a shared, devastating experience across chronic conditions that remains insufficiently addressed in clinical care, indicating an urgent unmet need for targeted interventions. When these unmanaged, multimodal chronic fatigues intersect with cognitive impairment, the resulting loss of autonomy is catastrophic.</w:t>
      </w:r>
    </w:p>
    <w:p w14:paraId="2F4E2B3D" w14:textId="77777777" w:rsidR="00C54B8C" w:rsidRPr="00C54B8C" w:rsidRDefault="00C54B8C" w:rsidP="008036B7">
      <w:pPr>
        <w:spacing w:line="240" w:lineRule="auto"/>
        <w:rPr>
          <w:b/>
          <w:bCs/>
        </w:rPr>
      </w:pPr>
      <w:r w:rsidRPr="00C54B8C">
        <w:rPr>
          <w:b/>
          <w:bCs/>
        </w:rPr>
        <w:t>3. Epistemic Injustice and the Erasure of Will and Preferences</w:t>
      </w:r>
    </w:p>
    <w:p w14:paraId="64DD8DA3" w14:textId="77777777" w:rsidR="00C54B8C" w:rsidRPr="00C54B8C" w:rsidRDefault="00C54B8C" w:rsidP="008036B7">
      <w:pPr>
        <w:spacing w:line="240" w:lineRule="auto"/>
      </w:pPr>
      <w:r w:rsidRPr="00C54B8C">
        <w:t>Article 12 of the CRPD demands that member states provide persons with disabilities with the support they require to exercise their legal capacity, ensuring that their true "will and preferences" are respected. However, the expression of will and preferences is not purely a static cognitive function; it is a highly dynamic, energetic one.</w:t>
      </w:r>
    </w:p>
    <w:p w14:paraId="228F9530" w14:textId="545D5264" w:rsidR="00C54B8C" w:rsidRPr="00C54B8C" w:rsidRDefault="00C54B8C" w:rsidP="008036B7">
      <w:pPr>
        <w:spacing w:line="240" w:lineRule="auto"/>
      </w:pPr>
      <w:r w:rsidRPr="00C54B8C">
        <w:t xml:space="preserve">To follow a complex question, retain choices in working memory, and </w:t>
      </w:r>
      <w:r w:rsidR="00646ECE">
        <w:t>mobilise</w:t>
      </w:r>
      <w:r w:rsidRPr="00C54B8C">
        <w:t xml:space="preserve"> the expressive language needed to signal agreement or dissent requires significant attentional effort. Systemic fatigue—whether driven by neurodegeneration, comorbid COPD, or unmanaged pain—erodes these executive capacities long before it impacts core reasoning.</w:t>
      </w:r>
    </w:p>
    <w:p w14:paraId="795B0649" w14:textId="5CB105CD" w:rsidR="00C54B8C" w:rsidRPr="00C54B8C" w:rsidRDefault="00C54B8C" w:rsidP="008036B7">
      <w:pPr>
        <w:spacing w:line="240" w:lineRule="auto"/>
      </w:pPr>
      <w:r w:rsidRPr="00C54B8C">
        <w:t xml:space="preserve">When an older person with cognitive impairment experiences profound fatigue, their </w:t>
      </w:r>
      <w:r w:rsidR="00646ECE">
        <w:t>behavioural</w:t>
      </w:r>
      <w:r w:rsidRPr="00C54B8C">
        <w:t xml:space="preserve"> presentation shifts. They exhibit prolonged response latencies, flat affect, apparent disorientation, or passive acquiescence. To a busy clinician operating through a purely diagnostic lens, this presentation is universally attributed to the progression of dementia. The underlying, treatable drivers of fatigue are ignored. The person is spoken over, spoken for, or bypassed entirely.</w:t>
      </w:r>
    </w:p>
    <w:p w14:paraId="340D1309" w14:textId="61E6A4EB" w:rsidR="00C54B8C" w:rsidRPr="00C54B8C" w:rsidRDefault="00C54B8C" w:rsidP="008036B7">
      <w:pPr>
        <w:spacing w:line="240" w:lineRule="auto"/>
      </w:pPr>
      <w:r w:rsidRPr="00C54B8C">
        <w:lastRenderedPageBreak/>
        <w:t xml:space="preserve">This represents a distinct form of </w:t>
      </w:r>
      <w:r w:rsidRPr="00C54B8C">
        <w:rPr>
          <w:i/>
          <w:iCs/>
        </w:rPr>
        <w:t>epistemic injustice</w:t>
      </w:r>
      <w:r w:rsidRPr="00C54B8C">
        <w:t xml:space="preserve">: the individual's capacity to communicate their lived reality is structurally discounted due to an unexamined intersection of ageism, cognitive stigma, and the medical dismissal of fatigue. </w:t>
      </w:r>
      <w:r w:rsidR="007D7F37">
        <w:t>Standardised</w:t>
      </w:r>
      <w:r w:rsidRPr="00C54B8C">
        <w:t xml:space="preserve"> capacity assessments administered at a point of peak exhaustion systematically underestimate an individual’s baseline legal capacity. Testing a person's cognitive autonomy when they are severely fatigued is the clinical equivalent of testing visual acuity in a darkened room and recording the result as permanent blindness.</w:t>
      </w:r>
    </w:p>
    <w:p w14:paraId="74A00520" w14:textId="77777777" w:rsidR="00C54B8C" w:rsidRPr="00C54B8C" w:rsidRDefault="00C54B8C" w:rsidP="008036B7">
      <w:pPr>
        <w:spacing w:line="240" w:lineRule="auto"/>
        <w:rPr>
          <w:b/>
          <w:bCs/>
        </w:rPr>
      </w:pPr>
      <w:r w:rsidRPr="00C54B8C">
        <w:rPr>
          <w:b/>
          <w:bCs/>
        </w:rPr>
        <w:t>4. The Biological Cost of Enforced Rest: The Fatigue–Disuse Spiral</w:t>
      </w:r>
    </w:p>
    <w:p w14:paraId="39F19A0E" w14:textId="24018354" w:rsidR="00C54B8C" w:rsidRPr="00C54B8C" w:rsidRDefault="00C54B8C" w:rsidP="008036B7">
      <w:pPr>
        <w:spacing w:line="240" w:lineRule="auto"/>
      </w:pPr>
      <w:r w:rsidRPr="00C54B8C">
        <w:t xml:space="preserve">When fatigue is </w:t>
      </w:r>
      <w:r w:rsidR="007D7F37">
        <w:t>recognised</w:t>
      </w:r>
      <w:r w:rsidRPr="00C54B8C">
        <w:t xml:space="preserve"> in care settings, the default institutional response is nearly always paternalistic: allow the individual to rest, and perform tasks for them. While well-intentioned, this enforced rest is biologically hazardous.</w:t>
      </w:r>
    </w:p>
    <w:p w14:paraId="04AFE7A0" w14:textId="18BEA33D" w:rsidR="00C54B8C" w:rsidRPr="00C54B8C" w:rsidRDefault="00C54B8C" w:rsidP="008036B7">
      <w:pPr>
        <w:spacing w:line="240" w:lineRule="auto"/>
      </w:pPr>
      <w:r w:rsidRPr="00C54B8C">
        <w:t>Recent advances in skeletal muscle physiology radically challenge the assumption that rest in later life is a benign intervention. A critical 2026 study by Turner</w:t>
      </w:r>
      <w:r w:rsidR="007D7F37">
        <w:t xml:space="preserve"> </w:t>
      </w:r>
      <w:r w:rsidRPr="00C54B8C">
        <w:t>and colleagues evaluated the biological impacts of repeated periods of muscle disuse</w:t>
      </w:r>
      <w:r w:rsidR="007D7F37">
        <w:rPr>
          <w:rStyle w:val="EndnoteReference"/>
        </w:rPr>
        <w:endnoteReference w:id="5"/>
      </w:r>
      <w:r w:rsidRPr="00C54B8C">
        <w:t xml:space="preserve">. While "muscle memory" is traditionally deployed to describe how historical training makes it easier to regain lost strength, this research exposed a damaging inverse in the </w:t>
      </w:r>
      <w:r w:rsidR="00646ECE">
        <w:t>ageing</w:t>
      </w:r>
      <w:r w:rsidRPr="00C54B8C">
        <w:t xml:space="preserve"> body: </w:t>
      </w:r>
      <w:r w:rsidRPr="00C54B8C">
        <w:rPr>
          <w:b/>
          <w:bCs/>
        </w:rPr>
        <w:t>aged skeletal muscle remembers periods of inactivity.</w:t>
      </w:r>
    </w:p>
    <w:p w14:paraId="6B55A51D" w14:textId="54BB7E0A" w:rsidR="00C54B8C" w:rsidRPr="00C54B8C" w:rsidRDefault="00C54B8C" w:rsidP="008036B7">
      <w:pPr>
        <w:spacing w:line="240" w:lineRule="auto"/>
      </w:pPr>
      <w:r w:rsidRPr="00C54B8C">
        <w:t xml:space="preserve">When older muscle is subjected to repeated, short periods of disuse—the exact types of short-term </w:t>
      </w:r>
      <w:r w:rsidR="00646ECE">
        <w:t>immobilisation that occur after a minor fall, a localised</w:t>
      </w:r>
      <w:r w:rsidRPr="00C54B8C">
        <w:t xml:space="preserve"> infection, or a fatigue-induced spell of bed rest—it does not simply recover slowly. Instead, the aged muscle undergoes distinct transcriptomic and epigenetic alterations. Following repeated disuse, the biological pathways responsible for energy production remain suppressed, and the pathways responsible for muscle protein breakdown become persistently hyperactive</w:t>
      </w:r>
      <w:r w:rsidR="002D0C21">
        <w:rPr>
          <w:rStyle w:val="EndnoteReference"/>
        </w:rPr>
        <w:endnoteReference w:id="6"/>
      </w:r>
      <w:r w:rsidRPr="00C54B8C">
        <w:t>. Each discrete period of unmanaged rest leaves a molecular scar, ensuring that the subsequent recovery is significantly harder to initiate and begins from a structurally degraded baseline.</w:t>
      </w:r>
    </w:p>
    <w:p w14:paraId="4FAC2805" w14:textId="2F8D7CAC" w:rsidR="00C54B8C" w:rsidRPr="00C54B8C" w:rsidRDefault="00C54B8C" w:rsidP="008036B7">
      <w:pPr>
        <w:spacing w:line="240" w:lineRule="auto"/>
      </w:pPr>
      <w:r w:rsidRPr="00C54B8C">
        <w:t xml:space="preserve">When care systems respond to fatigue with prolonged physical </w:t>
      </w:r>
      <w:r w:rsidR="009659E9">
        <w:t>immobilisation</w:t>
      </w:r>
      <w:r w:rsidRPr="00C54B8C">
        <w:t>, they rapidly accelerate sarcopenia (the loss of skeletal muscle mass). Because the aged muscle now possesses a molecular memory of this disuse, the person loses physical strength rapidly. The next time they attempt to walk or engage in daily activities, the relative physical effort required is vastly higher, producing even greater fatigue. This triggers a self-fulfilling prophecy of institutional decline and eventual total dependency.</w:t>
      </w:r>
    </w:p>
    <w:p w14:paraId="1A88239B" w14:textId="77777777" w:rsidR="00C54B8C" w:rsidRPr="00C54B8C" w:rsidRDefault="00C54B8C" w:rsidP="008036B7">
      <w:pPr>
        <w:spacing w:line="240" w:lineRule="auto"/>
        <w:rPr>
          <w:b/>
          <w:bCs/>
        </w:rPr>
      </w:pPr>
      <w:r w:rsidRPr="00C54B8C">
        <w:rPr>
          <w:b/>
          <w:bCs/>
        </w:rPr>
        <w:t>5. Distinguishing Pacing from Physical Rehabilitation</w:t>
      </w:r>
    </w:p>
    <w:p w14:paraId="73CAB856" w14:textId="28F8B918" w:rsidR="00C54B8C" w:rsidRPr="00C54B8C" w:rsidRDefault="00C54B8C" w:rsidP="008036B7">
      <w:pPr>
        <w:spacing w:line="240" w:lineRule="auto"/>
      </w:pPr>
      <w:r w:rsidRPr="00C54B8C">
        <w:t xml:space="preserve">To break this cycle, health and social care systems must implement targeted interventions. However, a rights-based response must draw a strict clinical and operational distinction between </w:t>
      </w:r>
      <w:r w:rsidRPr="00C54B8C">
        <w:rPr>
          <w:b/>
          <w:bCs/>
        </w:rPr>
        <w:t>pacing</w:t>
      </w:r>
      <w:r w:rsidRPr="00C54B8C">
        <w:t xml:space="preserve"> and </w:t>
      </w:r>
      <w:r w:rsidRPr="00C54B8C">
        <w:rPr>
          <w:b/>
          <w:bCs/>
        </w:rPr>
        <w:t>physical rehabilitation</w:t>
      </w:r>
      <w:r w:rsidR="009659E9">
        <w:t xml:space="preserve">, </w:t>
      </w:r>
      <w:r w:rsidRPr="00C54B8C">
        <w:t>two vital interventions that are frequently, and dangerously, conflated in dementia care.</w:t>
      </w:r>
    </w:p>
    <w:p w14:paraId="430EC2F0" w14:textId="77777777" w:rsidR="00C54B8C" w:rsidRPr="00C54B8C" w:rsidRDefault="00C54B8C" w:rsidP="008036B7">
      <w:pPr>
        <w:spacing w:line="240" w:lineRule="auto"/>
        <w:rPr>
          <w:b/>
          <w:bCs/>
        </w:rPr>
      </w:pPr>
      <w:r w:rsidRPr="00C54B8C">
        <w:rPr>
          <w:b/>
          <w:bCs/>
        </w:rPr>
        <w:t>Pacing (Energy and Accommodation)</w:t>
      </w:r>
    </w:p>
    <w:p w14:paraId="36F3B2FF" w14:textId="636454E5" w:rsidR="00C54B8C" w:rsidRPr="00C54B8C" w:rsidRDefault="00C54B8C" w:rsidP="008036B7">
      <w:pPr>
        <w:spacing w:line="240" w:lineRule="auto"/>
      </w:pPr>
      <w:r w:rsidRPr="00C54B8C">
        <w:t>Pacing is a self-management and accommodation strategy designed to mitigate the acute impact of fatigue. As highlighted in MS and CKD populations, pacing involves dividing tasks into smaller components interspersed with rest periods to prevent an "energy crash"</w:t>
      </w:r>
      <w:r w:rsidR="00FA7E07">
        <w:rPr>
          <w:rStyle w:val="EndnoteReference"/>
        </w:rPr>
        <w:endnoteReference w:id="7"/>
      </w:r>
      <w:r w:rsidRPr="00C54B8C">
        <w:t>.</w:t>
      </w:r>
      <w:r w:rsidR="00AC6DAA">
        <w:t xml:space="preserve"> </w:t>
      </w:r>
      <w:r w:rsidRPr="00C54B8C">
        <w:t xml:space="preserve">Pacing is fundamentally about </w:t>
      </w:r>
      <w:r w:rsidRPr="00C54B8C">
        <w:rPr>
          <w:i/>
          <w:iCs/>
        </w:rPr>
        <w:t>energy conservation and cognitive load management</w:t>
      </w:r>
      <w:r w:rsidRPr="00C54B8C">
        <w:t>. It does not build physical capacity; it protects existing reserves so the individual has the energy to engage in meaningful social and legal decisions.</w:t>
      </w:r>
      <w:r w:rsidR="00AC6DAA">
        <w:t xml:space="preserve"> </w:t>
      </w:r>
      <w:r w:rsidRPr="00C54B8C">
        <w:t xml:space="preserve">Pacing is a </w:t>
      </w:r>
      <w:r w:rsidRPr="00C54B8C">
        <w:rPr>
          <w:b/>
          <w:bCs/>
        </w:rPr>
        <w:t>Reasonable Accommodation</w:t>
      </w:r>
      <w:r w:rsidRPr="00C54B8C">
        <w:t>. Providing a quiet environment to rest before a legal consultation, or breaking a capacity assessment into three short blocks, is the temporal equivalent of a wheelchair ramp.</w:t>
      </w:r>
    </w:p>
    <w:p w14:paraId="3E26A5DF" w14:textId="77777777" w:rsidR="00C54B8C" w:rsidRPr="00C54B8C" w:rsidRDefault="00C54B8C" w:rsidP="008036B7">
      <w:pPr>
        <w:spacing w:line="240" w:lineRule="auto"/>
        <w:rPr>
          <w:b/>
          <w:bCs/>
        </w:rPr>
      </w:pPr>
      <w:r w:rsidRPr="00C54B8C">
        <w:rPr>
          <w:b/>
          <w:bCs/>
        </w:rPr>
        <w:lastRenderedPageBreak/>
        <w:t>Physical Rehabilitation (Physiological Intervention)</w:t>
      </w:r>
    </w:p>
    <w:p w14:paraId="2E320860" w14:textId="3266C3F2" w:rsidR="00C54B8C" w:rsidRPr="00C54B8C" w:rsidRDefault="00C54B8C" w:rsidP="008036B7">
      <w:pPr>
        <w:spacing w:line="240" w:lineRule="auto"/>
      </w:pPr>
      <w:r w:rsidRPr="00C54B8C">
        <w:t>Physical rehabilitation involves structured, progressive movement and resistance exercise.</w:t>
      </w:r>
      <w:r w:rsidR="00AC6DAA">
        <w:t xml:space="preserve"> </w:t>
      </w:r>
      <w:r w:rsidRPr="00C54B8C">
        <w:t xml:space="preserve">Rehabilitation is fundamentally about </w:t>
      </w:r>
      <w:r w:rsidRPr="00C54B8C">
        <w:rPr>
          <w:i/>
          <w:iCs/>
        </w:rPr>
        <w:t>reversing and preventing biological deconditioning</w:t>
      </w:r>
      <w:r w:rsidRPr="00C54B8C">
        <w:t>. Its goal is to directly counteract the "molecular memory" of disuse</w:t>
      </w:r>
      <w:r w:rsidR="00FA7E07">
        <w:rPr>
          <w:rStyle w:val="EndnoteReference"/>
        </w:rPr>
        <w:endnoteReference w:id="8"/>
      </w:r>
      <w:r w:rsidRPr="00C54B8C">
        <w:t>, rebuilding the structural muscle reserve necessary for independent movement.</w:t>
      </w:r>
      <w:r w:rsidR="00AC6DAA">
        <w:t xml:space="preserve"> </w:t>
      </w:r>
      <w:r w:rsidRPr="00C54B8C">
        <w:t xml:space="preserve">Rehabilitation is a </w:t>
      </w:r>
      <w:r w:rsidRPr="00C54B8C">
        <w:rPr>
          <w:b/>
          <w:bCs/>
        </w:rPr>
        <w:t>Right to Health and Habilitation</w:t>
      </w:r>
      <w:r w:rsidRPr="00C54B8C">
        <w:t xml:space="preserve"> (CRPD Articles 25 and 26).</w:t>
      </w:r>
    </w:p>
    <w:p w14:paraId="50780791" w14:textId="217A0E89" w:rsidR="00C54B8C" w:rsidRPr="00C54B8C" w:rsidRDefault="00C54B8C" w:rsidP="008036B7">
      <w:pPr>
        <w:spacing w:line="240" w:lineRule="auto"/>
      </w:pPr>
      <w:r w:rsidRPr="00C54B8C">
        <w:t xml:space="preserve">If care systems only </w:t>
      </w:r>
      <w:r w:rsidR="009659E9">
        <w:t>utilise</w:t>
      </w:r>
      <w:r w:rsidRPr="00C54B8C">
        <w:t xml:space="preserve"> pacing (rest), they subject the individual to the biological devastation of disuse atrophy. If they only </w:t>
      </w:r>
      <w:r w:rsidR="009659E9">
        <w:t>utilise</w:t>
      </w:r>
      <w:r w:rsidRPr="00C54B8C">
        <w:t xml:space="preserve"> physical rehabilitation without pacing, they risk overwhelming an already exhausted neurological system, leading to acute distress and refusal of care. Both are necessary to protect autonomy, but they serve entirely different physiological and human rights functions.</w:t>
      </w:r>
    </w:p>
    <w:p w14:paraId="27C72476" w14:textId="77777777" w:rsidR="00C54B8C" w:rsidRPr="00C54B8C" w:rsidRDefault="00C54B8C" w:rsidP="008036B7">
      <w:pPr>
        <w:spacing w:line="240" w:lineRule="auto"/>
        <w:rPr>
          <w:b/>
          <w:bCs/>
        </w:rPr>
      </w:pPr>
      <w:r w:rsidRPr="00C54B8C">
        <w:rPr>
          <w:b/>
          <w:bCs/>
        </w:rPr>
        <w:t>6. Psycho-Emotional Impacts: Apathy, Distress, and Social Erasure</w:t>
      </w:r>
    </w:p>
    <w:p w14:paraId="1DCE9418" w14:textId="77777777" w:rsidR="00C54B8C" w:rsidRPr="00C54B8C" w:rsidRDefault="00C54B8C" w:rsidP="008036B7">
      <w:pPr>
        <w:spacing w:line="240" w:lineRule="auto"/>
      </w:pPr>
      <w:r w:rsidRPr="00C54B8C">
        <w:t xml:space="preserve">The structural failure to identify and manage fatigue wreaks profound havoc on the psycho-emotional well-being of older persons. In clinical environments, chronic exhaustion is frequently misdiagnosed as either </w:t>
      </w:r>
      <w:r w:rsidRPr="00C54B8C">
        <w:rPr>
          <w:b/>
          <w:bCs/>
        </w:rPr>
        <w:t>clinical apathy</w:t>
      </w:r>
      <w:r w:rsidRPr="00C54B8C">
        <w:t xml:space="preserve"> or </w:t>
      </w:r>
      <w:r w:rsidRPr="00C54B8C">
        <w:rPr>
          <w:b/>
          <w:bCs/>
        </w:rPr>
        <w:t>depression</w:t>
      </w:r>
      <w:r w:rsidRPr="00C54B8C">
        <w:t>.</w:t>
      </w:r>
    </w:p>
    <w:p w14:paraId="19140C4D" w14:textId="037516CB" w:rsidR="00C54B8C" w:rsidRPr="00C54B8C" w:rsidRDefault="00C54B8C" w:rsidP="008036B7">
      <w:pPr>
        <w:spacing w:line="240" w:lineRule="auto"/>
      </w:pPr>
      <w:r w:rsidRPr="00C54B8C">
        <w:t xml:space="preserve">When an individual lacks the energetic reserves to engage with activities </w:t>
      </w:r>
      <w:r w:rsidR="009659E9">
        <w:t>or programs, they are routinely labelled</w:t>
      </w:r>
      <w:r w:rsidRPr="00C54B8C">
        <w:t xml:space="preserve"> as "withdrawn." This misdiagnosis frequently triggers inappropriate pharmacological interventions, such as the prescribing of psycho-stimulants or antidepressants, exposing the individual to severe adverse side effects while leaving the underlying drivers of fatigue</w:t>
      </w:r>
      <w:r w:rsidR="000B6072">
        <w:t xml:space="preserve"> </w:t>
      </w:r>
      <w:r w:rsidRPr="00C54B8C">
        <w:t>completely unaddressed.</w:t>
      </w:r>
    </w:p>
    <w:p w14:paraId="3128A690" w14:textId="5D69273E" w:rsidR="00C54B8C" w:rsidRPr="00C54B8C" w:rsidRDefault="00C54B8C" w:rsidP="008036B7">
      <w:pPr>
        <w:spacing w:line="240" w:lineRule="auto"/>
      </w:pPr>
      <w:r w:rsidRPr="00C54B8C">
        <w:t xml:space="preserve">Conversely, the late-afternoon </w:t>
      </w:r>
      <w:r w:rsidR="009659E9">
        <w:t>behavioural</w:t>
      </w:r>
      <w:r w:rsidRPr="00C54B8C">
        <w:t xml:space="preserve"> changes frequently observed in care settings</w:t>
      </w:r>
      <w:r w:rsidR="004B466F">
        <w:t xml:space="preserve">, </w:t>
      </w:r>
      <w:r w:rsidRPr="00C54B8C">
        <w:t>often colloquially termed "sundowning</w:t>
      </w:r>
      <w:r w:rsidR="004B466F">
        <w:t>,</w:t>
      </w:r>
      <w:r w:rsidRPr="00C54B8C">
        <w:t>"</w:t>
      </w:r>
      <w:r w:rsidR="004B466F">
        <w:t xml:space="preserve"> </w:t>
      </w:r>
      <w:r w:rsidRPr="00C54B8C">
        <w:t xml:space="preserve">are profoundly linked to acute energetic exhaustion. When an individual has spent their entire day navigating a cognitively demanding environment without appropriate </w:t>
      </w:r>
      <w:r w:rsidRPr="00C54B8C">
        <w:rPr>
          <w:i/>
          <w:iCs/>
        </w:rPr>
        <w:t>pacing</w:t>
      </w:r>
      <w:r w:rsidRPr="00C54B8C">
        <w:t xml:space="preserve">, their capacity to self-regulate emotion collapses by late afternoon. Expressions of distress—such as pacing, calling out, or resistance to care—are direct, rational manifestations of an exhausted mind crying out for a reduced cognitive load. Because these </w:t>
      </w:r>
      <w:r w:rsidR="009659E9">
        <w:t xml:space="preserve">behaviours are rarely contextualised as </w:t>
      </w:r>
      <w:r w:rsidR="00642617">
        <w:t xml:space="preserve">potentially </w:t>
      </w:r>
      <w:r w:rsidR="009659E9">
        <w:t>fatigue-induced distress, they are routinely managed as "challenging behaviours</w:t>
      </w:r>
      <w:r w:rsidRPr="00C54B8C">
        <w:t>," leading to the severe human rights violation of chemical restraint via sedative antipsychotics.</w:t>
      </w:r>
    </w:p>
    <w:p w14:paraId="7F8AABD0" w14:textId="77777777" w:rsidR="00C54B8C" w:rsidRPr="00C54B8C" w:rsidRDefault="00C54B8C" w:rsidP="008036B7">
      <w:pPr>
        <w:spacing w:line="240" w:lineRule="auto"/>
        <w:rPr>
          <w:b/>
          <w:bCs/>
        </w:rPr>
      </w:pPr>
      <w:r w:rsidRPr="00C54B8C">
        <w:rPr>
          <w:b/>
          <w:bCs/>
        </w:rPr>
        <w:t>7. Institutional Obstacles and Structural Invisibility</w:t>
      </w:r>
    </w:p>
    <w:p w14:paraId="7565CF81" w14:textId="592C8424" w:rsidR="00C54B8C" w:rsidRPr="00C54B8C" w:rsidRDefault="00C54B8C" w:rsidP="008036B7">
      <w:pPr>
        <w:spacing w:line="240" w:lineRule="auto"/>
      </w:pPr>
      <w:r w:rsidRPr="00C54B8C">
        <w:t xml:space="preserve">If fatigue is so widespread and its consequences so severe, why does it remain fundamentally unaddressed? Fatigue is structurally invisible because care systems are </w:t>
      </w:r>
      <w:r w:rsidR="004B466F">
        <w:t>organised</w:t>
      </w:r>
      <w:r w:rsidRPr="00C54B8C">
        <w:t xml:space="preserve"> in ways that systematically obscure it</w:t>
      </w:r>
      <w:r w:rsidR="008036B7">
        <w:t xml:space="preserve">. </w:t>
      </w:r>
      <w:r w:rsidR="008036B7">
        <w:rPr>
          <w:b/>
          <w:bCs/>
        </w:rPr>
        <w:t xml:space="preserve">(1) </w:t>
      </w:r>
      <w:r w:rsidRPr="00C54B8C">
        <w:rPr>
          <w:b/>
          <w:bCs/>
        </w:rPr>
        <w:t>The Diagnostic Eclipse:</w:t>
      </w:r>
      <w:r w:rsidRPr="00C54B8C">
        <w:t xml:space="preserve"> Fatigue is automatically folded into the macro-diagnosis of dementia. Legitimate, treatable physical pathology is ignored, and decline is falsely framed as inevitable.</w:t>
      </w:r>
      <w:r w:rsidR="008036B7">
        <w:t xml:space="preserve"> </w:t>
      </w:r>
      <w:r w:rsidR="008036B7">
        <w:rPr>
          <w:b/>
          <w:bCs/>
        </w:rPr>
        <w:t xml:space="preserve">(2) </w:t>
      </w:r>
      <w:r w:rsidRPr="00C54B8C">
        <w:rPr>
          <w:b/>
          <w:bCs/>
        </w:rPr>
        <w:t>Fragmentation of Care:</w:t>
      </w:r>
      <w:r w:rsidRPr="00C54B8C">
        <w:t xml:space="preserve"> Fatigue sits in the gaps between medicine, nursing, occupational therapy, and daily caregiving. No single professional discipline takes diagnostic ownership of the individual's energetic profile.</w:t>
      </w:r>
      <w:r w:rsidR="008036B7">
        <w:rPr>
          <w:b/>
          <w:bCs/>
        </w:rPr>
        <w:t xml:space="preserve"> (3) </w:t>
      </w:r>
      <w:r w:rsidRPr="00C54B8C">
        <w:rPr>
          <w:b/>
          <w:bCs/>
        </w:rPr>
        <w:t>Rigid Institutional Routine:</w:t>
      </w:r>
      <w:r w:rsidRPr="00C54B8C">
        <w:t xml:space="preserve"> Bureaucratic operations are built around fixed blocks for waking, washing, feeding, and sleeping. The individual's fluctuating, internal energetic rhythms are forced to bend to institutional efficiency, actively preventing natural pacing.</w:t>
      </w:r>
      <w:r w:rsidR="008036B7">
        <w:t xml:space="preserve"> </w:t>
      </w:r>
      <w:r w:rsidR="008036B7">
        <w:rPr>
          <w:b/>
          <w:bCs/>
        </w:rPr>
        <w:t xml:space="preserve">(4) </w:t>
      </w:r>
      <w:r w:rsidRPr="00C54B8C">
        <w:rPr>
          <w:b/>
          <w:bCs/>
        </w:rPr>
        <w:t>The Self-Report Bias:</w:t>
      </w:r>
      <w:r w:rsidRPr="00C54B8C">
        <w:t xml:space="preserve"> Existing clinical fatigue scales rely heavily on complex verbal self-reporting. Individuals with expressive aphasia or memory deficits are systematically excluded from assessment.</w:t>
      </w:r>
    </w:p>
    <w:p w14:paraId="5DD67662" w14:textId="77777777" w:rsidR="00C54B8C" w:rsidRPr="00C54B8C" w:rsidRDefault="00C54B8C" w:rsidP="00633DBA">
      <w:pPr>
        <w:keepNext/>
        <w:spacing w:line="240" w:lineRule="auto"/>
        <w:rPr>
          <w:b/>
          <w:bCs/>
        </w:rPr>
      </w:pPr>
      <w:r w:rsidRPr="00C54B8C">
        <w:rPr>
          <w:b/>
          <w:bCs/>
        </w:rPr>
        <w:lastRenderedPageBreak/>
        <w:t>8. Towards a Rights-Based, Operational Framework</w:t>
      </w:r>
    </w:p>
    <w:p w14:paraId="5DCD9231" w14:textId="38064036" w:rsidR="00C54B8C" w:rsidRPr="00C54B8C" w:rsidRDefault="00C54B8C" w:rsidP="00633DBA">
      <w:pPr>
        <w:keepNext/>
        <w:spacing w:line="240" w:lineRule="auto"/>
      </w:pPr>
      <w:r w:rsidRPr="00C54B8C">
        <w:t>To transform the recognition of fatigue from an optional clinical kindness into an enforceable, rights-based practice, member states must adopt the following directions</w:t>
      </w:r>
      <w:r w:rsidR="008036B7">
        <w:t xml:space="preserve">. </w:t>
      </w:r>
      <w:r w:rsidR="008036B7">
        <w:rPr>
          <w:b/>
          <w:bCs/>
        </w:rPr>
        <w:t xml:space="preserve">(1) </w:t>
      </w:r>
      <w:r w:rsidRPr="00C54B8C">
        <w:rPr>
          <w:b/>
          <w:bCs/>
        </w:rPr>
        <w:t>Frame Energy and Pacing as Core Dimensions of Accessibility:</w:t>
      </w:r>
      <w:r w:rsidRPr="00C54B8C">
        <w:t xml:space="preserve"> The definition of reasonable accommodation must explicitly expand to encompass temporal and energetic dimensions. The right to participate in decisions regarding one's own care is effectively denied if the individual is not accommodated with appropriate pacing and environmental energy management.</w:t>
      </w:r>
      <w:r w:rsidR="008036B7">
        <w:t xml:space="preserve"> </w:t>
      </w:r>
      <w:r w:rsidR="008036B7">
        <w:rPr>
          <w:b/>
          <w:bCs/>
        </w:rPr>
        <w:t xml:space="preserve">(2) </w:t>
      </w:r>
      <w:r w:rsidRPr="00C54B8C">
        <w:rPr>
          <w:b/>
          <w:bCs/>
        </w:rPr>
        <w:t>Implement Dynamic Capacity Tracking:</w:t>
      </w:r>
      <w:r w:rsidRPr="00C54B8C">
        <w:t xml:space="preserve"> Statutory guidelines must forbid the execution of definitive legal capacity determinations based on a single encounter. Assessments must be replicated across different times of day, with the individual's current fatigue levels formally documented alongside the cognitive findings to prevent the systemic underestimation of capacity.</w:t>
      </w:r>
      <w:r w:rsidR="008036B7">
        <w:t xml:space="preserve"> </w:t>
      </w:r>
      <w:r w:rsidR="008036B7">
        <w:rPr>
          <w:b/>
          <w:bCs/>
        </w:rPr>
        <w:t xml:space="preserve">(3) </w:t>
      </w:r>
      <w:r w:rsidRPr="00C54B8C">
        <w:rPr>
          <w:b/>
          <w:bCs/>
        </w:rPr>
        <w:t>Mandate Physical Rehabilitation as a Dignity Right:</w:t>
      </w:r>
      <w:r w:rsidRPr="00C54B8C">
        <w:t xml:space="preserve"> To prevent the molecular memory of disuse, early, supported, and progressive mobility must be legally recognized as a foundational human rights protection, distinct from pacing. Unmanaged "bed rest" must be treated as a high-risk clinical event.</w:t>
      </w:r>
      <w:r w:rsidR="008036B7">
        <w:t xml:space="preserve"> </w:t>
      </w:r>
      <w:r w:rsidR="008036B7">
        <w:rPr>
          <w:b/>
          <w:bCs/>
        </w:rPr>
        <w:t xml:space="preserve">(4) </w:t>
      </w:r>
      <w:r w:rsidRPr="00C54B8C">
        <w:rPr>
          <w:b/>
          <w:bCs/>
        </w:rPr>
        <w:t>Adopt a Multimodal Approach to Fatigue:</w:t>
      </w:r>
      <w:r w:rsidRPr="00C54B8C">
        <w:t xml:space="preserve"> Clinical assessments must untangle the cognitive fatigue of dementia from the physical and emotional fatigue driven by overlapping chronic conditions. Interventions must target the specific, multifactorial drivers of the individual's exhaustion.</w:t>
      </w:r>
    </w:p>
    <w:p w14:paraId="326E405D" w14:textId="77777777" w:rsidR="00C54B8C" w:rsidRPr="00C54B8C" w:rsidRDefault="00C54B8C" w:rsidP="008036B7">
      <w:pPr>
        <w:spacing w:line="240" w:lineRule="auto"/>
        <w:rPr>
          <w:b/>
          <w:bCs/>
        </w:rPr>
      </w:pPr>
      <w:r w:rsidRPr="00C54B8C">
        <w:rPr>
          <w:b/>
          <w:bCs/>
        </w:rPr>
        <w:t>9. Conclusion</w:t>
      </w:r>
    </w:p>
    <w:p w14:paraId="4AA7EC1A" w14:textId="5E3EA858" w:rsidR="00C54B8C" w:rsidRPr="00C54B8C" w:rsidRDefault="0058418B" w:rsidP="008036B7">
      <w:pPr>
        <w:spacing w:line="240" w:lineRule="auto"/>
      </w:pPr>
      <w:r>
        <w:t>Recognising</w:t>
      </w:r>
      <w:r w:rsidR="00C54B8C" w:rsidRPr="00C54B8C">
        <w:t xml:space="preserve"> and responding to fatigue is an operationally modest intervention with a profound human rights claim: that a substantial portion of what modern society accepts as the inevitable, irreversible decline of dementia is, in truth, an unacknowledged and largely correctable loss of voice.</w:t>
      </w:r>
    </w:p>
    <w:p w14:paraId="271983C1" w14:textId="77777777" w:rsidR="00C54B8C" w:rsidRPr="00C54B8C" w:rsidRDefault="00C54B8C" w:rsidP="008036B7">
      <w:pPr>
        <w:spacing w:line="240" w:lineRule="auto"/>
      </w:pPr>
      <w:r w:rsidRPr="00C54B8C">
        <w:t>An older person living with cognitive impairment is frequently not inherently disengaged; they are simply exhausted. They have not permanently lost their complex personal preferences; they currently lack the immediate energetic reserves required to voice them. By integrating an understanding of multimodal chronic fatigue, distinguishing pacing from physical rehabilitation, and addressing the biological memory of disuse, member states can dismantle a major hidden barrier to human rights, restoring true autonomy, active participation, and core dignity to older persons.</w:t>
      </w:r>
    </w:p>
    <w:sectPr w:rsidR="00C54B8C" w:rsidRPr="00C54B8C" w:rsidSect="00902EE8">
      <w:headerReference w:type="default" r:id="rId9"/>
      <w:footerReference w:type="defaul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23C7A" w14:textId="77777777" w:rsidR="00530890" w:rsidRDefault="00530890" w:rsidP="00902EE8">
      <w:pPr>
        <w:spacing w:after="0" w:line="240" w:lineRule="auto"/>
      </w:pPr>
      <w:r>
        <w:separator/>
      </w:r>
    </w:p>
  </w:endnote>
  <w:endnote w:type="continuationSeparator" w:id="0">
    <w:p w14:paraId="66E6F233" w14:textId="77777777" w:rsidR="00530890" w:rsidRDefault="00530890" w:rsidP="00902EE8">
      <w:pPr>
        <w:spacing w:after="0" w:line="240" w:lineRule="auto"/>
      </w:pPr>
      <w:r>
        <w:continuationSeparator/>
      </w:r>
    </w:p>
  </w:endnote>
  <w:endnote w:id="1">
    <w:p w14:paraId="6BA72F48" w14:textId="76C9E825" w:rsidR="00FA7E07" w:rsidRPr="00633DBA" w:rsidRDefault="00FA7E07">
      <w:pPr>
        <w:pStyle w:val="EndnoteText"/>
        <w:rPr>
          <w:sz w:val="16"/>
          <w:szCs w:val="16"/>
        </w:rPr>
      </w:pPr>
      <w:r w:rsidRPr="00633DBA">
        <w:rPr>
          <w:rStyle w:val="EndnoteReference"/>
          <w:sz w:val="16"/>
          <w:szCs w:val="16"/>
        </w:rPr>
        <w:endnoteRef/>
      </w:r>
      <w:r w:rsidRPr="00633DBA">
        <w:rPr>
          <w:sz w:val="16"/>
          <w:szCs w:val="16"/>
        </w:rPr>
        <w:t xml:space="preserve"> </w:t>
      </w:r>
      <w:r w:rsidRPr="00633DBA">
        <w:rPr>
          <w:sz w:val="16"/>
          <w:szCs w:val="16"/>
        </w:rPr>
        <w:t>United Nations General Assembly. (2006). Convention on the Rights of Persons with Disabilities (CRPD). Article 12 (Equal recognition before the law) &amp; Article 19 (Living independently and being included in the community).</w:t>
      </w:r>
    </w:p>
  </w:endnote>
  <w:endnote w:id="2">
    <w:p w14:paraId="4E2C6678" w14:textId="01B01E02" w:rsidR="007D16EE" w:rsidRPr="00633DBA" w:rsidRDefault="007D16EE">
      <w:pPr>
        <w:pStyle w:val="EndnoteText"/>
        <w:rPr>
          <w:sz w:val="16"/>
          <w:szCs w:val="16"/>
        </w:rPr>
      </w:pPr>
      <w:r w:rsidRPr="00633DBA">
        <w:rPr>
          <w:rStyle w:val="EndnoteReference"/>
          <w:sz w:val="16"/>
          <w:szCs w:val="16"/>
        </w:rPr>
        <w:endnoteRef/>
      </w:r>
      <w:r w:rsidRPr="00633DBA">
        <w:rPr>
          <w:sz w:val="16"/>
          <w:szCs w:val="16"/>
        </w:rPr>
        <w:t xml:space="preserve"> </w:t>
      </w:r>
      <w:r w:rsidRPr="00633DBA">
        <w:rPr>
          <w:sz w:val="16"/>
          <w:szCs w:val="16"/>
        </w:rPr>
        <w:t>Jaime-Lara, R. U., Koithan, M. S., &amp; Taylor-Piliae, R. E. (2020). Qualitative Descriptions of Fatigue Across Chronic Conditions: A Meta-synthesis. Journal of Clinical Nursing, 29(19-20), 3652-3665.</w:t>
      </w:r>
    </w:p>
  </w:endnote>
  <w:endnote w:id="3">
    <w:p w14:paraId="1EF3B187" w14:textId="35BA23E7" w:rsidR="00894CCE" w:rsidRPr="00633DBA" w:rsidRDefault="00894CCE">
      <w:pPr>
        <w:pStyle w:val="EndnoteText"/>
        <w:rPr>
          <w:sz w:val="16"/>
          <w:szCs w:val="16"/>
        </w:rPr>
      </w:pPr>
      <w:r w:rsidRPr="00633DBA">
        <w:rPr>
          <w:rStyle w:val="EndnoteReference"/>
          <w:sz w:val="16"/>
          <w:szCs w:val="16"/>
        </w:rPr>
        <w:endnoteRef/>
      </w:r>
      <w:r w:rsidRPr="00633DBA">
        <w:rPr>
          <w:sz w:val="16"/>
          <w:szCs w:val="16"/>
        </w:rPr>
        <w:t xml:space="preserve"> </w:t>
      </w:r>
      <w:r w:rsidRPr="00633DBA">
        <w:rPr>
          <w:sz w:val="16"/>
          <w:szCs w:val="16"/>
        </w:rPr>
        <w:t>Jaime-Lara, R. U., Koithan, M. S., &amp; Taylor-Piliae, R. E. (2020). Qualitative Descriptions of Fatigue Across Chronic Conditions: A Meta-synthesis. Journal of Clinical Nursing, 29(19-20), 3652-3665.</w:t>
      </w:r>
    </w:p>
  </w:endnote>
  <w:endnote w:id="4">
    <w:p w14:paraId="5700128E" w14:textId="7F5C803A" w:rsidR="002F38FD" w:rsidRPr="00633DBA" w:rsidRDefault="002F38FD">
      <w:pPr>
        <w:pStyle w:val="EndnoteText"/>
        <w:rPr>
          <w:sz w:val="16"/>
          <w:szCs w:val="16"/>
        </w:rPr>
      </w:pPr>
      <w:r w:rsidRPr="00633DBA">
        <w:rPr>
          <w:rStyle w:val="EndnoteReference"/>
          <w:sz w:val="16"/>
          <w:szCs w:val="16"/>
        </w:rPr>
        <w:endnoteRef/>
      </w:r>
      <w:r w:rsidRPr="00633DBA">
        <w:rPr>
          <w:sz w:val="16"/>
          <w:szCs w:val="16"/>
        </w:rPr>
        <w:t xml:space="preserve"> </w:t>
      </w:r>
      <w:r w:rsidRPr="00633DBA">
        <w:rPr>
          <w:sz w:val="16"/>
          <w:szCs w:val="16"/>
        </w:rPr>
        <w:t xml:space="preserve">Thomas, </w:t>
      </w:r>
      <w:r w:rsidRPr="00633DBA">
        <w:rPr>
          <w:sz w:val="16"/>
          <w:szCs w:val="16"/>
        </w:rPr>
        <w:t>M</w:t>
      </w:r>
      <w:r w:rsidRPr="00633DBA">
        <w:rPr>
          <w:sz w:val="16"/>
          <w:szCs w:val="16"/>
        </w:rPr>
        <w:t>., &amp; Smith, A. (2009). Fatigue and Chronic Conditions: A Multidimensional Conundrum. Journal of Psychosomatic Research, 66(2), 115-122.</w:t>
      </w:r>
    </w:p>
  </w:endnote>
  <w:endnote w:id="5">
    <w:p w14:paraId="64890C3C" w14:textId="7BDD7C82" w:rsidR="007D7F37" w:rsidRPr="00633DBA" w:rsidRDefault="007D7F37">
      <w:pPr>
        <w:pStyle w:val="EndnoteText"/>
        <w:rPr>
          <w:sz w:val="16"/>
          <w:szCs w:val="16"/>
        </w:rPr>
      </w:pPr>
      <w:r w:rsidRPr="00633DBA">
        <w:rPr>
          <w:rStyle w:val="EndnoteReference"/>
          <w:sz w:val="16"/>
          <w:szCs w:val="16"/>
        </w:rPr>
        <w:endnoteRef/>
      </w:r>
      <w:r w:rsidRPr="00633DBA">
        <w:rPr>
          <w:sz w:val="16"/>
          <w:szCs w:val="16"/>
        </w:rPr>
        <w:t xml:space="preserve"> </w:t>
      </w:r>
      <w:r w:rsidRPr="00633DBA">
        <w:rPr>
          <w:sz w:val="16"/>
          <w:szCs w:val="16"/>
        </w:rPr>
        <w:t>Turner, D. C., Raastad, T., Ullrich, M., Christiansen, S. F., Sutherland, H., Boot, J., ... &amp; Sharples, A. P. (2026). Repeated Disuse Atrophy Imprints a Molecular Memory in Skeletal Muscle: Transcriptional Resilience in Young Adults and Susceptibility in Aged Muscle. Advanced Science. https://doi.org/10.1002/advs.202522726</w:t>
      </w:r>
    </w:p>
  </w:endnote>
  <w:endnote w:id="6">
    <w:p w14:paraId="37DF34E7" w14:textId="2F9343E2" w:rsidR="002D0C21" w:rsidRPr="00633DBA" w:rsidRDefault="002D0C21">
      <w:pPr>
        <w:pStyle w:val="EndnoteText"/>
        <w:rPr>
          <w:sz w:val="16"/>
          <w:szCs w:val="16"/>
        </w:rPr>
      </w:pPr>
      <w:r w:rsidRPr="00633DBA">
        <w:rPr>
          <w:rStyle w:val="EndnoteReference"/>
          <w:sz w:val="16"/>
          <w:szCs w:val="16"/>
        </w:rPr>
        <w:endnoteRef/>
      </w:r>
      <w:r w:rsidRPr="00633DBA">
        <w:rPr>
          <w:sz w:val="16"/>
          <w:szCs w:val="16"/>
        </w:rPr>
        <w:t xml:space="preserve"> </w:t>
      </w:r>
      <w:r w:rsidRPr="00633DBA">
        <w:rPr>
          <w:sz w:val="16"/>
          <w:szCs w:val="16"/>
        </w:rPr>
        <w:t>Turner, D. C., Raastad, T., Ullrich, M., Christiansen, S. F., Sutherland, H., Boot, J., ... &amp; Sharples, A. P. (2026). Repeated Disuse Atrophy Imprints a Molecular Memory in Skeletal Muscle: Transcriptional Resilience in Young Adults and Susceptibility in Aged Muscle. Advanced Science. https://doi.org/10.1002/advs.202522726</w:t>
      </w:r>
    </w:p>
  </w:endnote>
  <w:endnote w:id="7">
    <w:p w14:paraId="1B19C5BC" w14:textId="1DC42AFA" w:rsidR="00FA7E07" w:rsidRPr="00633DBA" w:rsidRDefault="00FA7E07">
      <w:pPr>
        <w:pStyle w:val="EndnoteText"/>
        <w:rPr>
          <w:sz w:val="16"/>
          <w:szCs w:val="16"/>
        </w:rPr>
      </w:pPr>
      <w:r w:rsidRPr="00633DBA">
        <w:rPr>
          <w:rStyle w:val="EndnoteReference"/>
          <w:sz w:val="16"/>
          <w:szCs w:val="16"/>
        </w:rPr>
        <w:endnoteRef/>
      </w:r>
      <w:r w:rsidRPr="00633DBA">
        <w:rPr>
          <w:sz w:val="16"/>
          <w:szCs w:val="16"/>
        </w:rPr>
        <w:t xml:space="preserve"> </w:t>
      </w:r>
      <w:r w:rsidRPr="00633DBA">
        <w:rPr>
          <w:sz w:val="16"/>
          <w:szCs w:val="16"/>
        </w:rPr>
        <w:t>Jaime-Lara, R. U., Koithan, M. S., &amp; Taylor-Piliae, R. E. (2020). Qualitative Descriptions of Fatigue Across Chronic Conditions: A Meta-synthesis. Journal of Clinical Nursing, 29(19-20), 3652-3665.</w:t>
      </w:r>
    </w:p>
  </w:endnote>
  <w:endnote w:id="8">
    <w:p w14:paraId="2B77D7FB" w14:textId="1F6C6C57" w:rsidR="00FA7E07" w:rsidRPr="00633DBA" w:rsidRDefault="00FA7E07">
      <w:pPr>
        <w:pStyle w:val="EndnoteText"/>
        <w:rPr>
          <w:sz w:val="16"/>
          <w:szCs w:val="16"/>
        </w:rPr>
      </w:pPr>
      <w:r w:rsidRPr="00633DBA">
        <w:rPr>
          <w:rStyle w:val="EndnoteReference"/>
          <w:sz w:val="16"/>
          <w:szCs w:val="16"/>
        </w:rPr>
        <w:endnoteRef/>
      </w:r>
      <w:r w:rsidRPr="00633DBA">
        <w:rPr>
          <w:sz w:val="16"/>
          <w:szCs w:val="16"/>
        </w:rPr>
        <w:t xml:space="preserve"> </w:t>
      </w:r>
      <w:r w:rsidRPr="00633DBA">
        <w:rPr>
          <w:sz w:val="16"/>
          <w:szCs w:val="16"/>
        </w:rPr>
        <w:t>Turner, D. C., Raastad, T., Ullrich, M., Christiansen, S. F., Sutherland, H., Boot, J., ... &amp; Sharples, A. P. (2026). Repeated Disuse Atrophy Imprints a Molecular Memory in Skeletal Muscle: Transcriptional Resilience in Young Adults and Susceptibility in Aged Muscle. Advanced Science. https://doi.org/10.1002/advs.202522726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734C" w14:textId="77777777" w:rsidR="007110A9" w:rsidRDefault="007110A9">
    <w:pPr>
      <w:pStyle w:val="Footer"/>
    </w:pPr>
  </w:p>
  <w:p w14:paraId="68D2C0C4" w14:textId="732AC05C" w:rsidR="00902EE8" w:rsidRDefault="00902EE8">
    <w:pPr>
      <w:pStyle w:val="Footer"/>
    </w:pPr>
    <w:r>
      <w:t>Christopher &amp; Thomas</w:t>
    </w:r>
    <w:r>
      <w:ptab w:relativeTo="margin" w:alignment="center" w:leader="none"/>
    </w:r>
    <w:r>
      <w:ptab w:relativeTo="margin" w:alignment="right" w:leader="none"/>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7A966" w14:textId="77777777" w:rsidR="00530890" w:rsidRDefault="00530890" w:rsidP="00902EE8">
      <w:pPr>
        <w:spacing w:after="0" w:line="240" w:lineRule="auto"/>
      </w:pPr>
      <w:r>
        <w:separator/>
      </w:r>
    </w:p>
  </w:footnote>
  <w:footnote w:type="continuationSeparator" w:id="0">
    <w:p w14:paraId="6BC0E00A" w14:textId="77777777" w:rsidR="00530890" w:rsidRDefault="00530890" w:rsidP="00902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5FA4" w14:textId="159E3919" w:rsidR="00902EE8" w:rsidRDefault="00902EE8">
    <w:pPr>
      <w:pStyle w:val="Header"/>
    </w:pPr>
    <w:r w:rsidRPr="00902EE8">
      <w:t xml:space="preserve">Undetected Fatigue as a Hidden Barrier </w:t>
    </w:r>
  </w:p>
  <w:p w14:paraId="7AF957F3" w14:textId="77777777" w:rsidR="007110A9" w:rsidRDefault="007110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F183D"/>
    <w:multiLevelType w:val="multilevel"/>
    <w:tmpl w:val="4668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0065A"/>
    <w:multiLevelType w:val="multilevel"/>
    <w:tmpl w:val="B1EA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90228"/>
    <w:multiLevelType w:val="multilevel"/>
    <w:tmpl w:val="E0444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D76D6"/>
    <w:multiLevelType w:val="multilevel"/>
    <w:tmpl w:val="641AD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B9768C"/>
    <w:multiLevelType w:val="multilevel"/>
    <w:tmpl w:val="38B0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70880"/>
    <w:multiLevelType w:val="multilevel"/>
    <w:tmpl w:val="A2AE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E4BFC"/>
    <w:multiLevelType w:val="multilevel"/>
    <w:tmpl w:val="91C0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847D01"/>
    <w:multiLevelType w:val="multilevel"/>
    <w:tmpl w:val="A87A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C31BC8"/>
    <w:multiLevelType w:val="multilevel"/>
    <w:tmpl w:val="0144F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E8356F"/>
    <w:multiLevelType w:val="multilevel"/>
    <w:tmpl w:val="3984F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926D83"/>
    <w:multiLevelType w:val="multilevel"/>
    <w:tmpl w:val="F418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3220B8"/>
    <w:multiLevelType w:val="multilevel"/>
    <w:tmpl w:val="E246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635C61"/>
    <w:multiLevelType w:val="multilevel"/>
    <w:tmpl w:val="6064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A844EC"/>
    <w:multiLevelType w:val="multilevel"/>
    <w:tmpl w:val="9590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D24DE2"/>
    <w:multiLevelType w:val="multilevel"/>
    <w:tmpl w:val="2BB07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696E6B"/>
    <w:multiLevelType w:val="multilevel"/>
    <w:tmpl w:val="8064F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3874674">
    <w:abstractNumId w:val="3"/>
  </w:num>
  <w:num w:numId="2" w16cid:durableId="994532263">
    <w:abstractNumId w:val="1"/>
  </w:num>
  <w:num w:numId="3" w16cid:durableId="830407970">
    <w:abstractNumId w:val="0"/>
  </w:num>
  <w:num w:numId="4" w16cid:durableId="1147013660">
    <w:abstractNumId w:val="2"/>
  </w:num>
  <w:num w:numId="5" w16cid:durableId="1486125678">
    <w:abstractNumId w:val="15"/>
  </w:num>
  <w:num w:numId="6" w16cid:durableId="253511537">
    <w:abstractNumId w:val="5"/>
  </w:num>
  <w:num w:numId="7" w16cid:durableId="2121679358">
    <w:abstractNumId w:val="13"/>
  </w:num>
  <w:num w:numId="8" w16cid:durableId="1826315457">
    <w:abstractNumId w:val="12"/>
  </w:num>
  <w:num w:numId="9" w16cid:durableId="1678460163">
    <w:abstractNumId w:val="6"/>
  </w:num>
  <w:num w:numId="10" w16cid:durableId="1171607697">
    <w:abstractNumId w:val="9"/>
  </w:num>
  <w:num w:numId="11" w16cid:durableId="1115708914">
    <w:abstractNumId w:val="14"/>
  </w:num>
  <w:num w:numId="12" w16cid:durableId="668562865">
    <w:abstractNumId w:val="10"/>
  </w:num>
  <w:num w:numId="13" w16cid:durableId="734013469">
    <w:abstractNumId w:val="11"/>
  </w:num>
  <w:num w:numId="14" w16cid:durableId="1419713752">
    <w:abstractNumId w:val="4"/>
  </w:num>
  <w:num w:numId="15" w16cid:durableId="3672202">
    <w:abstractNumId w:val="8"/>
  </w:num>
  <w:num w:numId="16" w16cid:durableId="9806184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9DE"/>
    <w:rsid w:val="000B6072"/>
    <w:rsid w:val="00163D5B"/>
    <w:rsid w:val="002A6892"/>
    <w:rsid w:val="002D0C21"/>
    <w:rsid w:val="002F38FD"/>
    <w:rsid w:val="00353C3A"/>
    <w:rsid w:val="00365F6B"/>
    <w:rsid w:val="003F79DE"/>
    <w:rsid w:val="004B466F"/>
    <w:rsid w:val="004E0EDB"/>
    <w:rsid w:val="00507E2D"/>
    <w:rsid w:val="00521AFE"/>
    <w:rsid w:val="00530890"/>
    <w:rsid w:val="0058418B"/>
    <w:rsid w:val="00633DBA"/>
    <w:rsid w:val="00642617"/>
    <w:rsid w:val="00646ECE"/>
    <w:rsid w:val="006B4A4B"/>
    <w:rsid w:val="007110A9"/>
    <w:rsid w:val="007327B8"/>
    <w:rsid w:val="007D16EE"/>
    <w:rsid w:val="007D7F37"/>
    <w:rsid w:val="008036B7"/>
    <w:rsid w:val="008434EF"/>
    <w:rsid w:val="00894CCE"/>
    <w:rsid w:val="00895BAC"/>
    <w:rsid w:val="00902EE8"/>
    <w:rsid w:val="00911A0F"/>
    <w:rsid w:val="009659E9"/>
    <w:rsid w:val="009914D5"/>
    <w:rsid w:val="009A121F"/>
    <w:rsid w:val="00A71854"/>
    <w:rsid w:val="00AC6DAA"/>
    <w:rsid w:val="00BD58E5"/>
    <w:rsid w:val="00C36F31"/>
    <w:rsid w:val="00C51AD7"/>
    <w:rsid w:val="00C54B8C"/>
    <w:rsid w:val="00C7117E"/>
    <w:rsid w:val="00CF7E82"/>
    <w:rsid w:val="00E46628"/>
    <w:rsid w:val="00EC5C8C"/>
    <w:rsid w:val="00F03ECA"/>
    <w:rsid w:val="00F52A5A"/>
    <w:rsid w:val="00FA73DC"/>
    <w:rsid w:val="00FA7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F4948"/>
  <w15:chartTrackingRefBased/>
  <w15:docId w15:val="{A2430A8F-78EC-400A-86B0-831B94062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9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9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9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9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9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9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9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9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9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9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9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9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9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9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9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9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9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9DE"/>
    <w:rPr>
      <w:rFonts w:eastAsiaTheme="majorEastAsia" w:cstheme="majorBidi"/>
      <w:color w:val="272727" w:themeColor="text1" w:themeTint="D8"/>
    </w:rPr>
  </w:style>
  <w:style w:type="paragraph" w:styleId="Title">
    <w:name w:val="Title"/>
    <w:basedOn w:val="Normal"/>
    <w:next w:val="Normal"/>
    <w:link w:val="TitleChar"/>
    <w:uiPriority w:val="10"/>
    <w:qFormat/>
    <w:rsid w:val="003F7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9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9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9DE"/>
    <w:pPr>
      <w:spacing w:before="160"/>
      <w:jc w:val="center"/>
    </w:pPr>
    <w:rPr>
      <w:i/>
      <w:iCs/>
      <w:color w:val="404040" w:themeColor="text1" w:themeTint="BF"/>
    </w:rPr>
  </w:style>
  <w:style w:type="character" w:customStyle="1" w:styleId="QuoteChar">
    <w:name w:val="Quote Char"/>
    <w:basedOn w:val="DefaultParagraphFont"/>
    <w:link w:val="Quote"/>
    <w:uiPriority w:val="29"/>
    <w:rsid w:val="003F79DE"/>
    <w:rPr>
      <w:i/>
      <w:iCs/>
      <w:color w:val="404040" w:themeColor="text1" w:themeTint="BF"/>
    </w:rPr>
  </w:style>
  <w:style w:type="paragraph" w:styleId="ListParagraph">
    <w:name w:val="List Paragraph"/>
    <w:basedOn w:val="Normal"/>
    <w:uiPriority w:val="34"/>
    <w:qFormat/>
    <w:rsid w:val="003F79DE"/>
    <w:pPr>
      <w:ind w:left="720"/>
      <w:contextualSpacing/>
    </w:pPr>
  </w:style>
  <w:style w:type="character" w:styleId="IntenseEmphasis">
    <w:name w:val="Intense Emphasis"/>
    <w:basedOn w:val="DefaultParagraphFont"/>
    <w:uiPriority w:val="21"/>
    <w:qFormat/>
    <w:rsid w:val="003F79DE"/>
    <w:rPr>
      <w:i/>
      <w:iCs/>
      <w:color w:val="0F4761" w:themeColor="accent1" w:themeShade="BF"/>
    </w:rPr>
  </w:style>
  <w:style w:type="paragraph" w:styleId="IntenseQuote">
    <w:name w:val="Intense Quote"/>
    <w:basedOn w:val="Normal"/>
    <w:next w:val="Normal"/>
    <w:link w:val="IntenseQuoteChar"/>
    <w:uiPriority w:val="30"/>
    <w:qFormat/>
    <w:rsid w:val="003F79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9DE"/>
    <w:rPr>
      <w:i/>
      <w:iCs/>
      <w:color w:val="0F4761" w:themeColor="accent1" w:themeShade="BF"/>
    </w:rPr>
  </w:style>
  <w:style w:type="character" w:styleId="IntenseReference">
    <w:name w:val="Intense Reference"/>
    <w:basedOn w:val="DefaultParagraphFont"/>
    <w:uiPriority w:val="32"/>
    <w:qFormat/>
    <w:rsid w:val="003F79DE"/>
    <w:rPr>
      <w:b/>
      <w:bCs/>
      <w:smallCaps/>
      <w:color w:val="0F4761" w:themeColor="accent1" w:themeShade="BF"/>
      <w:spacing w:val="5"/>
    </w:rPr>
  </w:style>
  <w:style w:type="character" w:styleId="Hyperlink">
    <w:name w:val="Hyperlink"/>
    <w:basedOn w:val="DefaultParagraphFont"/>
    <w:uiPriority w:val="99"/>
    <w:unhideWhenUsed/>
    <w:rsid w:val="006B4A4B"/>
    <w:rPr>
      <w:color w:val="467886" w:themeColor="hyperlink"/>
      <w:u w:val="single"/>
    </w:rPr>
  </w:style>
  <w:style w:type="character" w:styleId="UnresolvedMention">
    <w:name w:val="Unresolved Mention"/>
    <w:basedOn w:val="DefaultParagraphFont"/>
    <w:uiPriority w:val="99"/>
    <w:semiHidden/>
    <w:unhideWhenUsed/>
    <w:rsid w:val="006B4A4B"/>
    <w:rPr>
      <w:color w:val="605E5C"/>
      <w:shd w:val="clear" w:color="auto" w:fill="E1DFDD"/>
    </w:rPr>
  </w:style>
  <w:style w:type="paragraph" w:styleId="Header">
    <w:name w:val="header"/>
    <w:basedOn w:val="Normal"/>
    <w:link w:val="HeaderChar"/>
    <w:uiPriority w:val="99"/>
    <w:unhideWhenUsed/>
    <w:rsid w:val="00902E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EE8"/>
  </w:style>
  <w:style w:type="paragraph" w:styleId="Footer">
    <w:name w:val="footer"/>
    <w:basedOn w:val="Normal"/>
    <w:link w:val="FooterChar"/>
    <w:uiPriority w:val="99"/>
    <w:unhideWhenUsed/>
    <w:rsid w:val="00902E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EE8"/>
  </w:style>
  <w:style w:type="paragraph" w:styleId="EndnoteText">
    <w:name w:val="endnote text"/>
    <w:basedOn w:val="Normal"/>
    <w:link w:val="EndnoteTextChar"/>
    <w:uiPriority w:val="99"/>
    <w:semiHidden/>
    <w:unhideWhenUsed/>
    <w:rsid w:val="007D16E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D16EE"/>
    <w:rPr>
      <w:sz w:val="20"/>
      <w:szCs w:val="20"/>
    </w:rPr>
  </w:style>
  <w:style w:type="character" w:styleId="EndnoteReference">
    <w:name w:val="endnote reference"/>
    <w:basedOn w:val="DefaultParagraphFont"/>
    <w:uiPriority w:val="99"/>
    <w:semiHidden/>
    <w:unhideWhenUsed/>
    <w:rsid w:val="007D16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in/drgarychristopher"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Academia</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Gary Christopher + Marie Thomas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5CB26199-B462-4FE2-88D9-4FDC0D0A231E}">
  <ds:schemaRefs>
    <ds:schemaRef ds:uri="http://schemas.openxmlformats.org/officeDocument/2006/bibliography"/>
  </ds:schemaRefs>
</ds:datastoreItem>
</file>

<file path=customXml/itemProps2.xml><?xml version="1.0" encoding="utf-8"?>
<ds:datastoreItem xmlns:ds="http://schemas.openxmlformats.org/officeDocument/2006/customXml" ds:itemID="{4B1C7D23-1329-47BE-BF8E-12409D47E5DA}"/>
</file>

<file path=customXml/itemProps3.xml><?xml version="1.0" encoding="utf-8"?>
<ds:datastoreItem xmlns:ds="http://schemas.openxmlformats.org/officeDocument/2006/customXml" ds:itemID="{69ADEAA2-E46B-4AA8-B9AE-9507C6A430EB}"/>
</file>

<file path=customXml/itemProps4.xml><?xml version="1.0" encoding="utf-8"?>
<ds:datastoreItem xmlns:ds="http://schemas.openxmlformats.org/officeDocument/2006/customXml" ds:itemID="{7898A29C-3699-4C3B-8C65-EE6683C63361}"/>
</file>

<file path=docProps/app.xml><?xml version="1.0" encoding="utf-8"?>
<Properties xmlns="http://schemas.openxmlformats.org/officeDocument/2006/extended-properties" xmlns:vt="http://schemas.openxmlformats.org/officeDocument/2006/docPropsVTypes">
  <Template>Normal</Template>
  <TotalTime>60</TotalTime>
  <Pages>5</Pages>
  <Words>2524</Words>
  <Characters>14393</Characters>
  <Application>Microsoft Office Word</Application>
  <DocSecurity>0</DocSecurity>
  <Lines>119</Lines>
  <Paragraphs>33</Paragraphs>
  <ScaleCrop>false</ScaleCrop>
  <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dc:creator>
  <cp:keywords/>
  <dc:description/>
  <cp:lastModifiedBy>Gary</cp:lastModifiedBy>
  <cp:revision>40</cp:revision>
  <dcterms:created xsi:type="dcterms:W3CDTF">2026-07-06T12:01:00Z</dcterms:created>
  <dcterms:modified xsi:type="dcterms:W3CDTF">2026-07-06T14:49:00Z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3fabc36a-a1bf-4bda-a2d2-9fc46623c204</vt:lpwstr>
  </property>
  <property fmtid="{D5CDD505-2E9C-101B-9397-08002B2CF9AE}" pid="3" name="ContentTypeId">
    <vt:lpwstr>0x0101009D953D6983EF5F4EB0B6A5354F975E96</vt:lpwstr>
  </property>
  <property fmtid="{D5CDD505-2E9C-101B-9397-08002B2CF9AE}" pid="4" name="MediaServiceImageTags">
    <vt:lpwstr/>
  </property>
</Properties>
</file>