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BE130" w14:textId="0FEAB165" w:rsidR="000E6C60" w:rsidRPr="000E6C60" w:rsidRDefault="000E6C60" w:rsidP="000E6C60">
      <w:pPr>
        <w:spacing w:after="160" w:line="259" w:lineRule="auto"/>
        <w:jc w:val="right"/>
        <w:rPr>
          <w:rFonts w:ascii="Aptos" w:eastAsia="Aptos" w:hAnsi="Aptos" w:cs="Arial"/>
          <w:kern w:val="2"/>
          <w:sz w:val="22"/>
          <w:szCs w:val="22"/>
          <w:lang w:eastAsia="en-US"/>
          <w14:ligatures w14:val="standardContextual"/>
        </w:rPr>
      </w:pPr>
      <w:r w:rsidRPr="000E6C60">
        <w:rPr>
          <w:rFonts w:ascii="Aptos" w:eastAsia="Aptos" w:hAnsi="Aptos" w:cs="Arial"/>
          <w:b/>
          <w:bCs/>
          <w:kern w:val="2"/>
          <w:sz w:val="22"/>
          <w:szCs w:val="22"/>
          <w:lang w:eastAsia="en-US"/>
          <w14:ligatures w14:val="standardContextual"/>
        </w:rPr>
        <w:t xml:space="preserve">Belgique, </w:t>
      </w:r>
      <w:r>
        <w:rPr>
          <w:rFonts w:ascii="Aptos" w:eastAsia="Aptos" w:hAnsi="Aptos" w:cs="Arial"/>
          <w:b/>
          <w:bCs/>
          <w:kern w:val="2"/>
          <w:sz w:val="22"/>
          <w:szCs w:val="22"/>
          <w:lang w:eastAsia="en-US"/>
          <w14:ligatures w14:val="standardContextual"/>
        </w:rPr>
        <w:t>6 j</w:t>
      </w:r>
      <w:r w:rsidRPr="000E6C60">
        <w:rPr>
          <w:rFonts w:ascii="Aptos" w:eastAsia="Aptos" w:hAnsi="Aptos" w:cs="Arial"/>
          <w:b/>
          <w:bCs/>
          <w:kern w:val="2"/>
          <w:sz w:val="22"/>
          <w:szCs w:val="22"/>
          <w:lang w:eastAsia="en-US"/>
          <w14:ligatures w14:val="standardContextual"/>
        </w:rPr>
        <w:t>uillet 2026</w:t>
      </w:r>
    </w:p>
    <w:p w14:paraId="57A9E4DE" w14:textId="77777777" w:rsidR="000E6C60" w:rsidRDefault="000E6C60" w:rsidP="000E6C60">
      <w:pPr>
        <w:rPr>
          <w:rFonts w:ascii="Aptos" w:eastAsia="Aptos" w:hAnsi="Aptos" w:cs="Arial"/>
          <w:b/>
          <w:bCs/>
          <w:kern w:val="2"/>
          <w:sz w:val="22"/>
          <w:szCs w:val="22"/>
          <w:lang w:eastAsia="en-US"/>
          <w14:ligatures w14:val="standardContextual"/>
        </w:rPr>
      </w:pPr>
    </w:p>
    <w:p w14:paraId="591F13DC" w14:textId="62F623F8" w:rsidR="006921BA" w:rsidRPr="006921BA" w:rsidRDefault="006921BA" w:rsidP="00FA61A6">
      <w:pPr>
        <w:jc w:val="both"/>
        <w:rPr>
          <w:rFonts w:ascii="Aptos" w:eastAsia="Aptos" w:hAnsi="Aptos" w:cs="Arial"/>
          <w:b/>
          <w:bCs/>
          <w:kern w:val="2"/>
          <w:sz w:val="22"/>
          <w:szCs w:val="22"/>
          <w:lang w:eastAsia="en-US"/>
          <w14:ligatures w14:val="standardContextual"/>
        </w:rPr>
      </w:pPr>
      <w:r w:rsidRPr="006921BA">
        <w:rPr>
          <w:rFonts w:ascii="Aptos" w:eastAsia="Aptos" w:hAnsi="Aptos" w:cs="Arial"/>
          <w:b/>
          <w:bCs/>
          <w:kern w:val="2"/>
          <w:sz w:val="22"/>
          <w:szCs w:val="22"/>
          <w:lang w:eastAsia="en-US"/>
          <w14:ligatures w14:val="standardContextual"/>
        </w:rPr>
        <w:t>Contribution de l’association Alzheimer Belgique à l’appel lancé sur le thème « Autonomie, participation et dignité humaine des personnes âgées atteintes de troubles cognitifs »</w:t>
      </w:r>
    </w:p>
    <w:p w14:paraId="1849CECB" w14:textId="77777777" w:rsidR="006921BA" w:rsidRPr="006921BA" w:rsidRDefault="006921BA" w:rsidP="006921BA">
      <w:pPr>
        <w:jc w:val="center"/>
        <w:rPr>
          <w:rFonts w:ascii="Aptos" w:eastAsia="Aptos" w:hAnsi="Aptos" w:cs="Arial"/>
          <w:b/>
          <w:bCs/>
          <w:kern w:val="2"/>
          <w:sz w:val="22"/>
          <w:szCs w:val="22"/>
          <w:lang w:eastAsia="en-US"/>
          <w14:ligatures w14:val="standardContextual"/>
        </w:rPr>
      </w:pPr>
    </w:p>
    <w:p w14:paraId="628EFC7D" w14:textId="77777777" w:rsidR="006921BA" w:rsidRPr="006921BA" w:rsidRDefault="006921BA" w:rsidP="006921BA">
      <w:pPr>
        <w:jc w:val="both"/>
        <w:rPr>
          <w:rFonts w:ascii="Aptos" w:eastAsia="Aptos" w:hAnsi="Aptos" w:cs="Arial"/>
          <w:kern w:val="2"/>
          <w:sz w:val="22"/>
          <w:szCs w:val="22"/>
          <w:lang w:eastAsia="en-US"/>
          <w14:ligatures w14:val="standardContextual"/>
        </w:rPr>
      </w:pPr>
    </w:p>
    <w:p w14:paraId="227930D6" w14:textId="77777777" w:rsidR="006921BA" w:rsidRPr="006921BA" w:rsidRDefault="006921BA" w:rsidP="006921BA">
      <w:pPr>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C’est en tant qu’association de patients, active depuis plus de 40 ans sur la partie francophone de la Belgique (Bruxelles et Wallonie), que nous avons répondu aux questions de cet appel.</w:t>
      </w:r>
    </w:p>
    <w:p w14:paraId="1E534B06" w14:textId="77777777" w:rsidR="006921BA" w:rsidRPr="006921BA" w:rsidRDefault="006921BA" w:rsidP="006921BA">
      <w:pPr>
        <w:jc w:val="both"/>
        <w:rPr>
          <w:rFonts w:ascii="Aptos" w:eastAsia="Aptos" w:hAnsi="Aptos" w:cs="Arial"/>
          <w:kern w:val="2"/>
          <w:sz w:val="22"/>
          <w:szCs w:val="22"/>
          <w:lang w:eastAsia="en-US"/>
          <w14:ligatures w14:val="standardContextual"/>
        </w:rPr>
      </w:pPr>
    </w:p>
    <w:p w14:paraId="7C71F161"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A titre liminaire, il est important de préciser qu’en Belgique, il n’existe pas de plan Alzheimer au niveau fédéral. Cette absence de plan nuit à la coordination et à la complémentarité du travail des structures, qui agissent sans ligne de conduite ni objectif partagé. A cela s’ajoutent de grandes disparités dans les réponses apportées aux personnes concernées selon les régions où elles résident. </w:t>
      </w:r>
    </w:p>
    <w:p w14:paraId="3A460C07"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Il convient également d’indiquer que nos réponses sont essentiellement basées sur nos constats de terrain et qu’elles sont plus spécifiquement orientées sur les réalités vécues au domicile. Cela montre d’ailleurs combien il serait précieux de pouvoir s’appuyer sur davantage d’études afin d’objectiver ces constats de terrain.</w:t>
      </w:r>
    </w:p>
    <w:p w14:paraId="0E7B237B" w14:textId="36C49CA7" w:rsidR="00C51015" w:rsidRDefault="00C51015" w:rsidP="006921BA">
      <w:pPr>
        <w:spacing w:after="160" w:line="259" w:lineRule="auto"/>
        <w:jc w:val="both"/>
        <w:rPr>
          <w:rFonts w:ascii="Aptos" w:eastAsia="Aptos" w:hAnsi="Aptos" w:cs="Arial"/>
          <w:kern w:val="2"/>
          <w:sz w:val="22"/>
          <w:szCs w:val="22"/>
          <w:lang w:eastAsia="en-US"/>
          <w14:ligatures w14:val="standardContextual"/>
        </w:rPr>
      </w:pPr>
      <w:r w:rsidRPr="00C51015">
        <w:rPr>
          <w:rFonts w:ascii="Aptos" w:eastAsia="Aptos" w:hAnsi="Aptos" w:cs="Arial"/>
          <w:kern w:val="2"/>
          <w:sz w:val="22"/>
          <w:szCs w:val="22"/>
          <w:lang w:eastAsia="en-US"/>
          <w14:ligatures w14:val="standardContextual"/>
        </w:rPr>
        <w:t>Enfin, nous constatons que les maladies neurodégénératives sont identifiées de plus en plus précocement, mettant en exergue un manque de ressources criant pour toute la période où les symptômes de la maladie permettent encore, sous réserve de quelques adaptations, de participer à toutes les activités de la vie sociale. Ces ressources sont d’autant plus nécessaires que</w:t>
      </w:r>
      <w:r>
        <w:rPr>
          <w:rFonts w:ascii="Aptos" w:eastAsia="Aptos" w:hAnsi="Aptos" w:cs="Arial"/>
          <w:kern w:val="2"/>
          <w:sz w:val="22"/>
          <w:szCs w:val="22"/>
          <w:lang w:eastAsia="en-US"/>
          <w14:ligatures w14:val="standardContextual"/>
        </w:rPr>
        <w:t>,</w:t>
      </w:r>
      <w:r w:rsidRPr="00C51015">
        <w:rPr>
          <w:rFonts w:ascii="Aptos" w:eastAsia="Aptos" w:hAnsi="Aptos" w:cs="Arial"/>
          <w:kern w:val="2"/>
          <w:sz w:val="22"/>
          <w:szCs w:val="22"/>
          <w:lang w:eastAsia="en-US"/>
          <w14:ligatures w14:val="standardContextual"/>
        </w:rPr>
        <w:t xml:space="preserve"> mobilisée</w:t>
      </w:r>
      <w:r w:rsidR="00D2007F">
        <w:rPr>
          <w:rFonts w:ascii="Aptos" w:eastAsia="Aptos" w:hAnsi="Aptos" w:cs="Arial"/>
          <w:kern w:val="2"/>
          <w:sz w:val="22"/>
          <w:szCs w:val="22"/>
          <w:lang w:eastAsia="en-US"/>
          <w14:ligatures w14:val="standardContextual"/>
        </w:rPr>
        <w:t>s</w:t>
      </w:r>
      <w:r w:rsidRPr="00C51015">
        <w:rPr>
          <w:rFonts w:ascii="Aptos" w:eastAsia="Aptos" w:hAnsi="Aptos" w:cs="Arial"/>
          <w:kern w:val="2"/>
          <w:sz w:val="22"/>
          <w:szCs w:val="22"/>
          <w:lang w:eastAsia="en-US"/>
          <w14:ligatures w14:val="standardContextual"/>
        </w:rPr>
        <w:t xml:space="preserve"> en début de maladie</w:t>
      </w:r>
      <w:r>
        <w:rPr>
          <w:rFonts w:ascii="Aptos" w:eastAsia="Aptos" w:hAnsi="Aptos" w:cs="Arial"/>
          <w:kern w:val="2"/>
          <w:sz w:val="22"/>
          <w:szCs w:val="22"/>
          <w:lang w:eastAsia="en-US"/>
          <w14:ligatures w14:val="standardContextual"/>
        </w:rPr>
        <w:t>,</w:t>
      </w:r>
      <w:r w:rsidRPr="00C51015">
        <w:rPr>
          <w:rFonts w:ascii="Aptos" w:eastAsia="Aptos" w:hAnsi="Aptos" w:cs="Arial"/>
          <w:kern w:val="2"/>
          <w:sz w:val="22"/>
          <w:szCs w:val="22"/>
          <w:lang w:eastAsia="en-US"/>
          <w14:ligatures w14:val="standardContextual"/>
        </w:rPr>
        <w:t xml:space="preserve"> elles pourraient avoir un impact majeur sur la qualité de vie de la personne âgée avec des troubles cognitifs et sur celui de son entourage, en favorisant précisément </w:t>
      </w:r>
      <w:r w:rsidR="001902D6">
        <w:rPr>
          <w:rFonts w:ascii="Aptos" w:eastAsia="Aptos" w:hAnsi="Aptos" w:cs="Arial"/>
          <w:kern w:val="2"/>
          <w:sz w:val="22"/>
          <w:szCs w:val="22"/>
          <w:lang w:eastAsia="en-US"/>
          <w14:ligatures w14:val="standardContextual"/>
        </w:rPr>
        <w:t>l</w:t>
      </w:r>
      <w:r w:rsidRPr="00C51015">
        <w:rPr>
          <w:rFonts w:ascii="Aptos" w:eastAsia="Aptos" w:hAnsi="Aptos" w:cs="Arial"/>
          <w:kern w:val="2"/>
          <w:sz w:val="22"/>
          <w:szCs w:val="22"/>
          <w:lang w:eastAsia="en-US"/>
          <w14:ligatures w14:val="standardContextual"/>
        </w:rPr>
        <w:t>e maintien dans la vie sociale, le fait de rester en projet et le sentiment d’utilité.</w:t>
      </w:r>
    </w:p>
    <w:p w14:paraId="7A90E604" w14:textId="77777777" w:rsidR="00FA61A6" w:rsidRPr="006921BA" w:rsidRDefault="00FA61A6" w:rsidP="00FA61A6">
      <w:pPr>
        <w:spacing w:line="259" w:lineRule="auto"/>
        <w:jc w:val="both"/>
        <w:rPr>
          <w:rFonts w:ascii="Aptos" w:eastAsia="Aptos" w:hAnsi="Aptos" w:cs="Arial"/>
          <w:kern w:val="2"/>
          <w:sz w:val="22"/>
          <w:szCs w:val="22"/>
          <w:lang w:eastAsia="en-US"/>
          <w14:ligatures w14:val="standardContextual"/>
        </w:rPr>
      </w:pPr>
    </w:p>
    <w:p w14:paraId="688119CB" w14:textId="77777777" w:rsidR="006921BA" w:rsidRPr="006921BA" w:rsidRDefault="006921BA" w:rsidP="006921BA">
      <w:pPr>
        <w:numPr>
          <w:ilvl w:val="0"/>
          <w:numId w:val="9"/>
        </w:numPr>
        <w:spacing w:after="160" w:line="259" w:lineRule="auto"/>
        <w:rPr>
          <w:rFonts w:ascii="Aptos" w:eastAsia="Aptos" w:hAnsi="Aptos" w:cs="Arial"/>
          <w:kern w:val="2"/>
          <w:sz w:val="22"/>
          <w:szCs w:val="22"/>
          <w:lang w:eastAsia="en-US"/>
          <w14:ligatures w14:val="standardContextual"/>
        </w:rPr>
      </w:pPr>
      <w:r w:rsidRPr="006921BA">
        <w:rPr>
          <w:rFonts w:ascii="Aptos" w:eastAsia="Aptos" w:hAnsi="Aptos" w:cs="Arial"/>
          <w:b/>
          <w:bCs/>
          <w:kern w:val="2"/>
          <w:sz w:val="22"/>
          <w:szCs w:val="22"/>
          <w:lang w:eastAsia="en-US"/>
          <w14:ligatures w14:val="standardContextual"/>
        </w:rPr>
        <w:t>Voix, reconnaissance et expérience vécue</w:t>
      </w:r>
    </w:p>
    <w:p w14:paraId="3BC767A0" w14:textId="77777777" w:rsidR="006921BA" w:rsidRPr="006921BA" w:rsidRDefault="006921BA" w:rsidP="006921BA">
      <w:pPr>
        <w:numPr>
          <w:ilvl w:val="1"/>
          <w:numId w:val="9"/>
        </w:numPr>
        <w:spacing w:after="160" w:line="259" w:lineRule="auto"/>
        <w:contextualSpacing/>
        <w:jc w:val="both"/>
        <w:rPr>
          <w:rFonts w:ascii="Aptos" w:eastAsia="Aptos" w:hAnsi="Aptos" w:cs="Arial"/>
          <w:kern w:val="2"/>
          <w:sz w:val="22"/>
          <w:szCs w:val="22"/>
          <w:u w:val="single"/>
          <w:lang w:eastAsia="en-US"/>
          <w14:ligatures w14:val="standardContextual"/>
        </w:rPr>
      </w:pPr>
      <w:r w:rsidRPr="006921BA">
        <w:rPr>
          <w:rFonts w:ascii="Aptos" w:eastAsia="Aptos" w:hAnsi="Aptos" w:cs="Arial"/>
          <w:kern w:val="2"/>
          <w:sz w:val="22"/>
          <w:szCs w:val="22"/>
          <w:u w:val="single"/>
          <w:lang w:eastAsia="en-US"/>
          <w14:ligatures w14:val="standardContextual"/>
        </w:rPr>
        <w:t>De quelles façons les personnes âgées avec des difficultés cognitives ne sont pas reconnues ou sont exclues d’une participation significative dans la vie de tous les jours ?</w:t>
      </w:r>
    </w:p>
    <w:p w14:paraId="6BDF27A9" w14:textId="1297333D" w:rsidR="006921BA" w:rsidRPr="006921BA" w:rsidRDefault="006921BA" w:rsidP="00E04D38">
      <w:pPr>
        <w:tabs>
          <w:tab w:val="num" w:pos="2160"/>
        </w:tabs>
        <w:spacing w:before="100" w:beforeAutospacing="1"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Les représentations sur la maladie changent les relations avec la personne avec des troubles cognitifs. Souvent, pour la protéger, pour ne pas la blesser, les rapports évoluent et la personne voit son rôle diminuer. </w:t>
      </w:r>
    </w:p>
    <w:p w14:paraId="6B01639F"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Le monde actuel va extrêmement vite. Or, prendre le temps de se mettre au rythme de la personne avec des troubles cognitifs est essentiel. En ne le faisant pas, la personne est peu à peu écartée des conversations, ce qui augmente son isolement et diminue sa qualité de vie.</w:t>
      </w:r>
    </w:p>
    <w:p w14:paraId="2F57B3E3" w14:textId="77777777" w:rsidR="006921BA" w:rsidRPr="006921BA" w:rsidRDefault="006921BA" w:rsidP="006921BA">
      <w:pPr>
        <w:tabs>
          <w:tab w:val="num" w:pos="2160"/>
        </w:tabs>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La stigmatisation des maladies occasionnant des difficultés cognitives constitue un obstacle supplémentaire pour rendre les activités inclusives. Elle peut aussi représenter un frein à la mobilisation de bénévoles ou de pairs aidants car le diagnostic de ces maladies fait encore peur.</w:t>
      </w:r>
    </w:p>
    <w:p w14:paraId="07D09B6F" w14:textId="77777777" w:rsidR="00813BDC" w:rsidRDefault="006921BA" w:rsidP="00813BDC">
      <w:pPr>
        <w:spacing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Par manque de connaissance, l’environnement public n’est pas toujours prêt à s’ouvrir à la différence et est réticent à accepter des personnes avec des difficultés cognitives, qui pourraient perturber une activité, un lieu. </w:t>
      </w:r>
    </w:p>
    <w:p w14:paraId="4CC9E5FC" w14:textId="77777777" w:rsidR="00236601" w:rsidRDefault="00236601" w:rsidP="00813BDC">
      <w:pPr>
        <w:spacing w:line="259" w:lineRule="auto"/>
        <w:jc w:val="both"/>
        <w:rPr>
          <w:rFonts w:ascii="Aptos" w:eastAsia="Aptos" w:hAnsi="Aptos" w:cs="Arial"/>
          <w:kern w:val="2"/>
          <w:sz w:val="22"/>
          <w:szCs w:val="22"/>
          <w:lang w:eastAsia="en-US"/>
          <w14:ligatures w14:val="standardContextual"/>
        </w:rPr>
      </w:pPr>
    </w:p>
    <w:p w14:paraId="672FBD5A" w14:textId="302EA083" w:rsidR="006921BA" w:rsidRPr="006921BA" w:rsidRDefault="006921BA" w:rsidP="002E6C7E">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lastRenderedPageBreak/>
        <w:t>Les personnes âgées présentant des difficultés cognitives se voient donc rapidement exclues de leurs activités de loisirs car celles-ci deviennent moins accessibles ou plus complexes à réaliser (trajet autonome, besoin de rappel, présence rassurante).</w:t>
      </w:r>
    </w:p>
    <w:p w14:paraId="2D8015DD" w14:textId="77777777" w:rsidR="006921BA" w:rsidRPr="006921BA" w:rsidRDefault="006921BA" w:rsidP="006921BA">
      <w:pPr>
        <w:tabs>
          <w:tab w:val="num" w:pos="2160"/>
        </w:tabs>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Nous constatons aussi une perte de rôle social, qui intervient assez rapidement, a fortiori lorsqu’un diagnostic est posé. Certaines personnes préfèrent d’ailleurs cacher leur maladie pour ne pas voir leurs relations avec les autres changer.</w:t>
      </w:r>
    </w:p>
    <w:p w14:paraId="25D395E7" w14:textId="77777777" w:rsidR="006921BA" w:rsidRPr="006921BA" w:rsidRDefault="006921BA" w:rsidP="006921BA">
      <w:pPr>
        <w:tabs>
          <w:tab w:val="num" w:pos="2160"/>
        </w:tabs>
        <w:spacing w:after="160" w:line="259" w:lineRule="auto"/>
        <w:jc w:val="both"/>
        <w:rPr>
          <w:rFonts w:ascii="Aptos" w:eastAsia="Aptos" w:hAnsi="Aptos" w:cs="Arial"/>
          <w:strike/>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Concernant les prises de décisions importantes, comme le choix des aides à domicile, le choix de fréquenter un centre de jour, l’entrée en maison de repos, voire le choix de celle-ci, les personnes âgées avec des troubles cognitifs en sont trop souvent exclues. </w:t>
      </w:r>
    </w:p>
    <w:p w14:paraId="412A97DC" w14:textId="77777777" w:rsidR="006921BA" w:rsidRPr="006921BA" w:rsidRDefault="006921BA" w:rsidP="006921BA">
      <w:pPr>
        <w:tabs>
          <w:tab w:val="num" w:pos="2160"/>
        </w:tabs>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En cas d’hospitalisation, les difficultés cognitives ne sont pas prises en compte : environnement peu sécurisant, peu d’aides externes permettant d’apporter des repères (pictogrammes, explication des horaires de visites, etc.), pas de personnel soignant supplémentaire, ce qui amène à recourir trop rapidement à l’utilisation de la camisole physique et chimique.</w:t>
      </w:r>
    </w:p>
    <w:p w14:paraId="1A109DB4" w14:textId="77777777" w:rsidR="006921BA" w:rsidRPr="006921BA" w:rsidRDefault="006921BA" w:rsidP="006921BA">
      <w:pPr>
        <w:numPr>
          <w:ilvl w:val="1"/>
          <w:numId w:val="9"/>
        </w:numPr>
        <w:spacing w:after="160" w:line="259" w:lineRule="auto"/>
        <w:contextualSpacing/>
        <w:jc w:val="both"/>
        <w:rPr>
          <w:rFonts w:ascii="Aptos" w:eastAsia="Aptos" w:hAnsi="Aptos" w:cs="Arial"/>
          <w:kern w:val="2"/>
          <w:sz w:val="22"/>
          <w:szCs w:val="22"/>
          <w:u w:val="single"/>
          <w:lang w:eastAsia="en-US"/>
          <w14:ligatures w14:val="standardContextual"/>
        </w:rPr>
      </w:pPr>
      <w:r w:rsidRPr="006921BA">
        <w:rPr>
          <w:rFonts w:ascii="Aptos" w:eastAsia="Aptos" w:hAnsi="Aptos" w:cs="Arial"/>
          <w:kern w:val="2"/>
          <w:sz w:val="22"/>
          <w:szCs w:val="22"/>
          <w:u w:val="single"/>
          <w:lang w:eastAsia="en-US"/>
          <w14:ligatures w14:val="standardContextual"/>
        </w:rPr>
        <w:t>Comment les souhaits, émotions, préférences et valeurs des personnes âgées qui présentent des difficultés cognitives identifiées, sont-ils interprétés et respectés lorsque la communication est altérée ou fluctuante ?</w:t>
      </w:r>
    </w:p>
    <w:p w14:paraId="0A7EC083" w14:textId="77777777" w:rsidR="006921BA" w:rsidRPr="006921BA" w:rsidRDefault="006921BA" w:rsidP="00E04D38">
      <w:pPr>
        <w:spacing w:before="100" w:beforeAutospacing="1"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Il faut d’abord signaler les situations dans lesquelles la personne âgée est exclue de l’annonce du diagnostic et par conséquent des décisions qui en découlent. Des réflexions éthiques et des règles de bonne conduite devraient être édictées afin de rassurer les proches mais aussi les professionnels sur l’importance d’inclure la personne âgée avec des troubles cognitifs dans les décisions qui la concernent. </w:t>
      </w:r>
    </w:p>
    <w:p w14:paraId="3BAC04F5"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Beaucoup de freins existent au recueil de ses souhaits : </w:t>
      </w:r>
    </w:p>
    <w:p w14:paraId="5146FAA7" w14:textId="77777777" w:rsidR="006921BA" w:rsidRPr="006921BA" w:rsidRDefault="006921BA"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La peur de heurter ou de blesser, qui conduit à privilégier de ne pas ouvrir le dialogue, </w:t>
      </w:r>
    </w:p>
    <w:p w14:paraId="2B0AB5BB" w14:textId="77777777" w:rsidR="006921BA" w:rsidRPr="006921BA" w:rsidRDefault="006921BA"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Des décisions souvent prises en urgence, en raison d’un changement soudain de situation, </w:t>
      </w:r>
    </w:p>
    <w:p w14:paraId="54EA9156" w14:textId="77777777" w:rsidR="006921BA" w:rsidRPr="006921BA" w:rsidRDefault="006921BA"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L’anosognosie (la non-conscience de son état cognitif), qui, en créant une différence de réalité, complique la communication et abime la relation avec les personnes de confiance,</w:t>
      </w:r>
    </w:p>
    <w:p w14:paraId="45D6783E" w14:textId="77777777" w:rsidR="006921BA" w:rsidRPr="006921BA" w:rsidRDefault="006921BA"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Des connaissances insuffisantes sur les solutions à mettre en place pour créer un contexte permettent à la personne de rester active de sa vie (adapter sa vitesse de parole, privilégier un environnement calme, rester centré sur les capacités préservées...).</w:t>
      </w:r>
    </w:p>
    <w:p w14:paraId="4FCFC0DC" w14:textId="77777777" w:rsidR="006921BA" w:rsidRPr="006921BA" w:rsidRDefault="006921BA" w:rsidP="00E04D38">
      <w:pPr>
        <w:spacing w:before="100" w:beforeAutospacing="1"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Lors de décisions concernant la personne âgée avec des troubles cognitifs, il n’y a pas toujours de représentants, notamment à l’hôpital ou en maison de repos, qui peuvent appuyer ses souhaits. </w:t>
      </w:r>
    </w:p>
    <w:p w14:paraId="5F7EE62A" w14:textId="3155D633" w:rsidR="00CB0E98"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Bien connaître la personne et les choix qu’elle a pu faire tout au long de sa vie, permet de continuer à la mettre au centre des décisions. En effet, il est indispensable d’adopter une approche individualisée : prendre le temps, accorder de l’attention, décoder, analyser à tous les moments, observer ce qui convient à la personne à travers notamment le non-verbal, son comportement (l’agitation, le retrait ou au contraire le calme, la « joie » dégagée) et partager ces observations en équipe (familiale ou professionnelle ou mixte).</w:t>
      </w:r>
    </w:p>
    <w:p w14:paraId="5476309A" w14:textId="77777777" w:rsidR="00A81CF2" w:rsidRDefault="00A81CF2" w:rsidP="006921BA">
      <w:pPr>
        <w:spacing w:after="160" w:line="259" w:lineRule="auto"/>
        <w:jc w:val="both"/>
        <w:rPr>
          <w:rFonts w:ascii="Aptos" w:eastAsia="Aptos" w:hAnsi="Aptos" w:cs="Arial"/>
          <w:kern w:val="2"/>
          <w:sz w:val="22"/>
          <w:szCs w:val="22"/>
          <w:lang w:eastAsia="en-US"/>
          <w14:ligatures w14:val="standardContextual"/>
        </w:rPr>
      </w:pPr>
    </w:p>
    <w:p w14:paraId="2F11D4A6" w14:textId="77777777" w:rsidR="00A81CF2" w:rsidRDefault="00A81CF2" w:rsidP="006921BA">
      <w:pPr>
        <w:spacing w:after="160" w:line="259" w:lineRule="auto"/>
        <w:jc w:val="both"/>
        <w:rPr>
          <w:rFonts w:ascii="Aptos" w:eastAsia="Aptos" w:hAnsi="Aptos" w:cs="Arial"/>
          <w:kern w:val="2"/>
          <w:sz w:val="22"/>
          <w:szCs w:val="22"/>
          <w:lang w:eastAsia="en-US"/>
          <w14:ligatures w14:val="standardContextual"/>
        </w:rPr>
      </w:pPr>
    </w:p>
    <w:p w14:paraId="5ABE506F" w14:textId="77777777" w:rsidR="00A81CF2" w:rsidRDefault="00A81CF2" w:rsidP="006921BA">
      <w:pPr>
        <w:spacing w:after="160" w:line="259" w:lineRule="auto"/>
        <w:jc w:val="both"/>
        <w:rPr>
          <w:rFonts w:ascii="Aptos" w:eastAsia="Aptos" w:hAnsi="Aptos" w:cs="Arial"/>
          <w:kern w:val="2"/>
          <w:sz w:val="22"/>
          <w:szCs w:val="22"/>
          <w:lang w:eastAsia="en-US"/>
          <w14:ligatures w14:val="standardContextual"/>
        </w:rPr>
      </w:pPr>
    </w:p>
    <w:p w14:paraId="45FB9570" w14:textId="77777777" w:rsidR="00A81CF2" w:rsidRPr="006921BA" w:rsidRDefault="00A81CF2" w:rsidP="006921BA">
      <w:pPr>
        <w:spacing w:after="160" w:line="259" w:lineRule="auto"/>
        <w:jc w:val="both"/>
        <w:rPr>
          <w:rFonts w:ascii="Aptos" w:eastAsia="Aptos" w:hAnsi="Aptos" w:cs="Arial"/>
          <w:kern w:val="2"/>
          <w:sz w:val="22"/>
          <w:szCs w:val="22"/>
          <w:lang w:eastAsia="en-US"/>
          <w14:ligatures w14:val="standardContextual"/>
        </w:rPr>
      </w:pPr>
    </w:p>
    <w:p w14:paraId="5D8BDBA2" w14:textId="77777777" w:rsidR="006921BA" w:rsidRPr="006921BA" w:rsidRDefault="006921BA" w:rsidP="006921BA">
      <w:pPr>
        <w:numPr>
          <w:ilvl w:val="0"/>
          <w:numId w:val="9"/>
        </w:numPr>
        <w:spacing w:after="160" w:line="259" w:lineRule="auto"/>
        <w:rPr>
          <w:rFonts w:ascii="Aptos" w:eastAsia="Aptos" w:hAnsi="Aptos" w:cs="Arial"/>
          <w:kern w:val="2"/>
          <w:sz w:val="22"/>
          <w:szCs w:val="22"/>
          <w:lang w:eastAsia="en-US"/>
          <w14:ligatures w14:val="standardContextual"/>
        </w:rPr>
      </w:pPr>
      <w:r w:rsidRPr="006921BA">
        <w:rPr>
          <w:rFonts w:ascii="Aptos" w:eastAsia="Aptos" w:hAnsi="Aptos" w:cs="Arial"/>
          <w:b/>
          <w:bCs/>
          <w:kern w:val="2"/>
          <w:sz w:val="22"/>
          <w:szCs w:val="22"/>
          <w:lang w:eastAsia="en-US"/>
          <w14:ligatures w14:val="standardContextual"/>
        </w:rPr>
        <w:lastRenderedPageBreak/>
        <w:t>Autonomie et participation</w:t>
      </w:r>
    </w:p>
    <w:p w14:paraId="5975BB61" w14:textId="77777777" w:rsidR="006921BA" w:rsidRPr="006921BA" w:rsidRDefault="006921BA" w:rsidP="006921BA">
      <w:pPr>
        <w:numPr>
          <w:ilvl w:val="0"/>
          <w:numId w:val="12"/>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u w:val="single"/>
          <w:lang w:eastAsia="en-US"/>
          <w14:ligatures w14:val="standardContextual"/>
        </w:rPr>
        <w:t>Dans quelles situations est-ce que les soins, la protection ou les pratiques professionnelles prennent la main pour les décisions ou taisent la participation des personnes avec des difficultés cognitives de façon de non intentionnelle ?</w:t>
      </w:r>
    </w:p>
    <w:p w14:paraId="14A256CD" w14:textId="77777777" w:rsidR="006921BA" w:rsidRPr="006921BA" w:rsidRDefault="006921BA" w:rsidP="00E04D38">
      <w:pPr>
        <w:spacing w:before="100" w:beforeAutospacing="1"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Au quotidien, l’aidant va préférer faire « à la place de » car il est épuisé et manque de ressources, de connaissances ou de soutien pour faire « avec ».</w:t>
      </w:r>
    </w:p>
    <w:p w14:paraId="32E8B2CB"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En matière de protection juridique, c’est souvent tout ou rien, sans possibilité d’adaptation et sans prise en compte des « paliers » dans l’évolution des difficultés cognitives : être capable ou non capable, alors qu’un entre deux est à construire.</w:t>
      </w:r>
    </w:p>
    <w:p w14:paraId="241FD1B1"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D’expérience, les mandataires extra judiciaires ou les administrateurs des biens et de la personne informent insuffisamment, ne communiquent pas toujours assez, n’observent plus et ne s’adaptent pas toujours aux besoins de la personne.</w:t>
      </w:r>
    </w:p>
    <w:p w14:paraId="73BC32C3"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À l’hôpital ou en maison de repos et de soin, l’organisation, comme celle du déroulé de la journée, est trop rigide pour répondre aux besoins individuels et spécifiques liés aux difficultés cognitives. Dans ces structures collectives, force est de constater que, trop souvent, les réalités des organisations priment sur les besoins de l’individu, qui peine à les exprimer ou à les faire respecter.</w:t>
      </w:r>
    </w:p>
    <w:p w14:paraId="15F45D47"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De façon générale, il est fréquent de partir du principe qu’une personne âgée avec des difficultés cognitives n’est plus capable de décider : présomption d’incapacité plutôt que de capacité.</w:t>
      </w:r>
    </w:p>
    <w:p w14:paraId="5AAB18C6" w14:textId="77777777" w:rsidR="006921BA" w:rsidRPr="006921BA" w:rsidRDefault="006921BA" w:rsidP="006921BA">
      <w:pPr>
        <w:numPr>
          <w:ilvl w:val="0"/>
          <w:numId w:val="12"/>
        </w:numPr>
        <w:spacing w:after="160" w:line="259" w:lineRule="auto"/>
        <w:contextualSpacing/>
        <w:jc w:val="both"/>
        <w:rPr>
          <w:rFonts w:ascii="Aptos" w:eastAsia="Aptos" w:hAnsi="Aptos" w:cs="Arial"/>
          <w:kern w:val="2"/>
          <w:sz w:val="22"/>
          <w:szCs w:val="22"/>
          <w:u w:val="single"/>
          <w:lang w:eastAsia="en-US"/>
          <w14:ligatures w14:val="standardContextual"/>
        </w:rPr>
      </w:pPr>
      <w:r w:rsidRPr="006921BA">
        <w:rPr>
          <w:rFonts w:ascii="Aptos" w:eastAsia="Aptos" w:hAnsi="Aptos" w:cs="Arial"/>
          <w:kern w:val="2"/>
          <w:sz w:val="22"/>
          <w:szCs w:val="22"/>
          <w:u w:val="single"/>
          <w:lang w:eastAsia="en-US"/>
          <w14:ligatures w14:val="standardContextual"/>
        </w:rPr>
        <w:t>Comment est-ce que l’autonomie peut être soutenue quand les capacités cognitives sont fluctuantes, partielles ou changeantes à travers le temps ?</w:t>
      </w:r>
    </w:p>
    <w:p w14:paraId="70E255AB" w14:textId="77777777" w:rsidR="006921BA" w:rsidRPr="006921BA" w:rsidRDefault="006921BA" w:rsidP="00E04D38">
      <w:pPr>
        <w:spacing w:before="100" w:beforeAutospacing="1"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Il est intéressant ici d’évoquer le « concept d’autonomie relationnelle » mis en avant par l’association « Le Bien Vieillir ». Il s’agit de créer un contexte encapacitant pour la personne qui nécessite :</w:t>
      </w:r>
    </w:p>
    <w:p w14:paraId="35FD76FC" w14:textId="7909EBA9" w:rsidR="006921BA" w:rsidRPr="006921BA" w:rsidRDefault="00532EAC"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Une</w:t>
      </w:r>
      <w:r w:rsidR="006921BA" w:rsidRPr="006921BA">
        <w:rPr>
          <w:rFonts w:ascii="Aptos" w:eastAsia="Aptos" w:hAnsi="Aptos" w:cs="Arial"/>
          <w:kern w:val="2"/>
          <w:sz w:val="22"/>
          <w:szCs w:val="22"/>
          <w:lang w:eastAsia="en-US"/>
          <w14:ligatures w14:val="standardContextual"/>
        </w:rPr>
        <w:t xml:space="preserve"> réelle attitude d’écoute, c’est-à-dire une disponibilité émotionnelle et intellectuelle,</w:t>
      </w:r>
    </w:p>
    <w:p w14:paraId="57CA70BF" w14:textId="55493054" w:rsidR="006921BA" w:rsidRPr="006921BA" w:rsidRDefault="00532EAC"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De</w:t>
      </w:r>
      <w:r w:rsidR="006921BA" w:rsidRPr="006921BA">
        <w:rPr>
          <w:rFonts w:ascii="Aptos" w:eastAsia="Aptos" w:hAnsi="Aptos" w:cs="Arial"/>
          <w:kern w:val="2"/>
          <w:sz w:val="22"/>
          <w:szCs w:val="22"/>
          <w:lang w:eastAsia="en-US"/>
          <w14:ligatures w14:val="standardContextual"/>
        </w:rPr>
        <w:t xml:space="preserve"> se poser, d’accorder du temps et de se mettre en empathie, </w:t>
      </w:r>
    </w:p>
    <w:p w14:paraId="0C542901" w14:textId="0CCFC757" w:rsidR="006921BA" w:rsidRPr="006921BA" w:rsidRDefault="00532EAC"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De</w:t>
      </w:r>
      <w:r w:rsidR="006921BA" w:rsidRPr="006921BA">
        <w:rPr>
          <w:rFonts w:ascii="Aptos" w:eastAsia="Aptos" w:hAnsi="Aptos" w:cs="Arial"/>
          <w:kern w:val="2"/>
          <w:sz w:val="22"/>
          <w:szCs w:val="22"/>
          <w:lang w:eastAsia="en-US"/>
          <w14:ligatures w14:val="standardContextual"/>
        </w:rPr>
        <w:t xml:space="preserve"> choisir le lieu et le moment, </w:t>
      </w:r>
    </w:p>
    <w:p w14:paraId="13B5C822" w14:textId="35298C6C" w:rsidR="006921BA" w:rsidRPr="006921BA" w:rsidRDefault="00532EAC"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D’utiliser</w:t>
      </w:r>
      <w:r w:rsidR="006921BA" w:rsidRPr="006921BA">
        <w:rPr>
          <w:rFonts w:ascii="Aptos" w:eastAsia="Aptos" w:hAnsi="Aptos" w:cs="Arial"/>
          <w:kern w:val="2"/>
          <w:sz w:val="22"/>
          <w:szCs w:val="22"/>
          <w:lang w:eastAsia="en-US"/>
          <w14:ligatures w14:val="standardContextual"/>
        </w:rPr>
        <w:t xml:space="preserve"> un vocabulaire adapté, un ton, des mots, </w:t>
      </w:r>
    </w:p>
    <w:p w14:paraId="3FCB7FBE" w14:textId="1DED899E" w:rsidR="006921BA" w:rsidRPr="006921BA" w:rsidRDefault="00532EAC"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De</w:t>
      </w:r>
      <w:r w:rsidR="006921BA" w:rsidRPr="006921BA">
        <w:rPr>
          <w:rFonts w:ascii="Aptos" w:eastAsia="Aptos" w:hAnsi="Aptos" w:cs="Arial"/>
          <w:kern w:val="2"/>
          <w:sz w:val="22"/>
          <w:szCs w:val="22"/>
          <w:lang w:eastAsia="en-US"/>
          <w14:ligatures w14:val="standardContextual"/>
        </w:rPr>
        <w:t xml:space="preserve"> mobiliser ses ressources.</w:t>
      </w:r>
    </w:p>
    <w:p w14:paraId="7CF0691F" w14:textId="50948C6E" w:rsidR="006921BA" w:rsidRPr="006921BA" w:rsidRDefault="006921BA" w:rsidP="00F16566">
      <w:pPr>
        <w:tabs>
          <w:tab w:val="num" w:pos="2160"/>
        </w:tabs>
        <w:spacing w:before="100" w:beforeAutospacing="1"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Soutenir la capacité pour maintenir des activités de loisirs est souvent possible moyennant de légers aménagements ou la présence d’une personne pouvant superviser l’activité.</w:t>
      </w:r>
    </w:p>
    <w:p w14:paraId="2DFDC6F2" w14:textId="77777777" w:rsidR="006921BA" w:rsidRPr="006921BA" w:rsidRDefault="006921BA" w:rsidP="006921BA">
      <w:pPr>
        <w:numPr>
          <w:ilvl w:val="0"/>
          <w:numId w:val="9"/>
        </w:numPr>
        <w:spacing w:after="160" w:line="259" w:lineRule="auto"/>
        <w:rPr>
          <w:rFonts w:ascii="Aptos" w:eastAsia="Aptos" w:hAnsi="Aptos" w:cs="Arial"/>
          <w:kern w:val="2"/>
          <w:sz w:val="22"/>
          <w:szCs w:val="22"/>
          <w:lang w:eastAsia="en-US"/>
          <w14:ligatures w14:val="standardContextual"/>
        </w:rPr>
      </w:pPr>
      <w:r w:rsidRPr="006921BA">
        <w:rPr>
          <w:rFonts w:ascii="Aptos" w:eastAsia="Aptos" w:hAnsi="Aptos" w:cs="Arial"/>
          <w:b/>
          <w:bCs/>
          <w:kern w:val="2"/>
          <w:sz w:val="22"/>
          <w:szCs w:val="22"/>
          <w:lang w:eastAsia="en-US"/>
          <w14:ligatures w14:val="standardContextual"/>
        </w:rPr>
        <w:t>Personnalité, relations et appartenance</w:t>
      </w:r>
    </w:p>
    <w:p w14:paraId="7BC5EEFA" w14:textId="77777777" w:rsidR="006921BA" w:rsidRPr="006921BA" w:rsidRDefault="006921BA" w:rsidP="006921BA">
      <w:pPr>
        <w:numPr>
          <w:ilvl w:val="0"/>
          <w:numId w:val="10"/>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u w:val="single"/>
          <w:lang w:eastAsia="en-US"/>
          <w14:ligatures w14:val="standardContextual"/>
        </w:rPr>
        <w:t>Comment est-ce que les troubles cognitifs affectent les personnes âgées dans leurs rôles, identité, relations et sentiment d’appartenance au sein de leur famille, communauté et vie sociale ?</w:t>
      </w:r>
    </w:p>
    <w:p w14:paraId="64ABCB09" w14:textId="26EE251B" w:rsidR="00FA61A6" w:rsidRPr="006921BA" w:rsidRDefault="006921BA" w:rsidP="00E04D38">
      <w:pPr>
        <w:spacing w:before="100" w:beforeAutospacing="1"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Avec les troubles cognitifs, les rôles familiaux changent, parfois s’inversent (parent-enfant). On ne demande plus de conseils, voire d’avis. Parfois la famille, les amis s’éloignent car les troubles cognitifs leur font peur ou parce qu’ils craignent de mal agir. </w:t>
      </w:r>
    </w:p>
    <w:p w14:paraId="5B616E8B" w14:textId="1F5027D1"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lI faut aussi reconnaitre que les besoins de l’aidant-proche sont parfois en contradiction avec les besoins de la personne malade :</w:t>
      </w:r>
    </w:p>
    <w:p w14:paraId="43DAB053" w14:textId="739E04C9" w:rsidR="006921BA" w:rsidRPr="006921BA" w:rsidRDefault="00532EAC"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L’aidant</w:t>
      </w:r>
      <w:r w:rsidR="006921BA" w:rsidRPr="006921BA">
        <w:rPr>
          <w:rFonts w:ascii="Aptos" w:eastAsia="Aptos" w:hAnsi="Aptos" w:cs="Arial"/>
          <w:kern w:val="2"/>
          <w:sz w:val="22"/>
          <w:szCs w:val="22"/>
          <w:lang w:eastAsia="en-US"/>
          <w14:ligatures w14:val="standardContextual"/>
        </w:rPr>
        <w:t>-proche a besoin de répit et la personne âgée avec des troubles cognitifs a besoin de repères, de routine et de sécurité ;</w:t>
      </w:r>
    </w:p>
    <w:p w14:paraId="37AB3439" w14:textId="486AF0FA" w:rsidR="006921BA" w:rsidRPr="006921BA" w:rsidRDefault="00532EAC"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lastRenderedPageBreak/>
        <w:t>L’aidant</w:t>
      </w:r>
      <w:r w:rsidR="006921BA" w:rsidRPr="006921BA">
        <w:rPr>
          <w:rFonts w:ascii="Aptos" w:eastAsia="Aptos" w:hAnsi="Aptos" w:cs="Arial"/>
          <w:kern w:val="2"/>
          <w:sz w:val="22"/>
          <w:szCs w:val="22"/>
          <w:lang w:eastAsia="en-US"/>
          <w14:ligatures w14:val="standardContextual"/>
        </w:rPr>
        <w:t xml:space="preserve">-proche a besoin de reconnaissance quant à son rôle et à l’aide supplémentaire apportés en raison des changements d’autonomie et la personne âgée avec des troubles cognitifs a besoin de voir de ses capacités préservées valorisées, </w:t>
      </w:r>
    </w:p>
    <w:p w14:paraId="3DFF40E7" w14:textId="77777777" w:rsidR="006921BA" w:rsidRPr="006921BA" w:rsidRDefault="006921BA"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L’aidant-proche a besoin de sécurité, craint qu’il arrive quelque chose à la personne âgée et cette dernière a besoin de liberté. </w:t>
      </w:r>
    </w:p>
    <w:p w14:paraId="0469C1BA" w14:textId="77777777" w:rsidR="006921BA" w:rsidRPr="006921BA" w:rsidRDefault="006921BA" w:rsidP="00E04D38">
      <w:pPr>
        <w:spacing w:before="100" w:beforeAutospacing="1"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Il est souvent difficile de faire des choix qui respectent les besoins de chacun.</w:t>
      </w:r>
    </w:p>
    <w:p w14:paraId="6839ADF2" w14:textId="77777777" w:rsidR="006921BA" w:rsidRPr="006921BA" w:rsidRDefault="006921BA" w:rsidP="006921BA">
      <w:pPr>
        <w:numPr>
          <w:ilvl w:val="0"/>
          <w:numId w:val="10"/>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u w:val="single"/>
          <w:lang w:eastAsia="en-US"/>
          <w14:ligatures w14:val="standardContextual"/>
        </w:rPr>
        <w:t>Quels stéréotypes, peurs ou attitudes sociales conduisent le plus souvent à une perte de dignité, une exclusion ou une réduction des attentes envers les personnes âgées avec des difficultés cognitives</w:t>
      </w:r>
      <w:r w:rsidRPr="006921BA">
        <w:rPr>
          <w:rFonts w:ascii="Aptos" w:eastAsia="Aptos" w:hAnsi="Aptos" w:cs="Arial"/>
          <w:kern w:val="2"/>
          <w:sz w:val="22"/>
          <w:szCs w:val="22"/>
          <w:lang w:eastAsia="en-US"/>
          <w14:ligatures w14:val="standardContextual"/>
        </w:rPr>
        <w:t> ?</w:t>
      </w:r>
    </w:p>
    <w:p w14:paraId="07D311A8" w14:textId="77777777" w:rsidR="006921BA" w:rsidRPr="006921BA" w:rsidRDefault="006921BA" w:rsidP="00E04D38">
      <w:pPr>
        <w:spacing w:before="100" w:beforeAutospacing="1"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Comme indiqué ci-dessus, la société stigmatise les troubles cognitifs, qui lui font peur à plusieurs niveaux :</w:t>
      </w:r>
    </w:p>
    <w:p w14:paraId="47590D5B" w14:textId="77777777" w:rsidR="006921BA" w:rsidRPr="006921BA" w:rsidRDefault="006921BA"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Peur de ne pas savoir comment réagir face à un comportement inapproprié, </w:t>
      </w:r>
    </w:p>
    <w:p w14:paraId="3E624628" w14:textId="77777777" w:rsidR="006921BA" w:rsidRPr="006921BA" w:rsidRDefault="006921BA"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Peur du regard des autres, surtout si un comportement inapproprié a lieu en public, </w:t>
      </w:r>
    </w:p>
    <w:p w14:paraId="5B2A4E29" w14:textId="77777777" w:rsidR="006921BA" w:rsidRPr="006921BA" w:rsidRDefault="006921BA"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Peur de faire des choses qui ne servent à rien car c’est une maladie de l’oubli. Il y a parfois une minimisation de « ce qui reste » (la mémoire affective, sens, la relation non-verbal),</w:t>
      </w:r>
    </w:p>
    <w:p w14:paraId="01056EBD" w14:textId="77777777" w:rsidR="006921BA" w:rsidRPr="006921BA" w:rsidRDefault="006921BA"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Peur qu’il arrive quelque chose à la personne âgée avec des troubles cognitifs, </w:t>
      </w:r>
    </w:p>
    <w:p w14:paraId="4875F518" w14:textId="77777777" w:rsidR="006921BA" w:rsidRPr="006921BA" w:rsidRDefault="006921BA"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Peur d’être accusé de non-assistance à personne en danger.</w:t>
      </w:r>
    </w:p>
    <w:p w14:paraId="7048688B" w14:textId="77777777" w:rsidR="006921BA" w:rsidRPr="006921BA" w:rsidRDefault="006921BA" w:rsidP="00E04D38">
      <w:pPr>
        <w:numPr>
          <w:ilvl w:val="1"/>
          <w:numId w:val="8"/>
        </w:numPr>
        <w:spacing w:before="100" w:beforeAutospacing="1"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Nous pouvons également interroger le rôle de nos sociétés occidentales :</w:t>
      </w:r>
    </w:p>
    <w:p w14:paraId="24DF8519" w14:textId="5359C63B" w:rsidR="006921BA" w:rsidRPr="006921BA" w:rsidRDefault="00532EAC"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Nos</w:t>
      </w:r>
      <w:r w:rsidR="006921BA" w:rsidRPr="006921BA">
        <w:rPr>
          <w:rFonts w:ascii="Aptos" w:eastAsia="Aptos" w:hAnsi="Aptos" w:cs="Arial"/>
          <w:kern w:val="2"/>
          <w:sz w:val="22"/>
          <w:szCs w:val="22"/>
          <w:lang w:eastAsia="en-US"/>
          <w14:ligatures w14:val="standardContextual"/>
        </w:rPr>
        <w:t xml:space="preserve"> sociétés sont individualistes et leurs manques de communautés, d’entraide conduit à l’isolement ;</w:t>
      </w:r>
    </w:p>
    <w:p w14:paraId="2E01D970" w14:textId="1CA6F514" w:rsidR="006921BA" w:rsidRPr="006921BA" w:rsidRDefault="00532EAC"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Nos</w:t>
      </w:r>
      <w:r w:rsidR="006921BA" w:rsidRPr="006921BA">
        <w:rPr>
          <w:rFonts w:ascii="Aptos" w:eastAsia="Aptos" w:hAnsi="Aptos" w:cs="Arial"/>
          <w:kern w:val="2"/>
          <w:sz w:val="22"/>
          <w:szCs w:val="22"/>
          <w:lang w:eastAsia="en-US"/>
          <w14:ligatures w14:val="standardContextual"/>
        </w:rPr>
        <w:t xml:space="preserve"> sociétés visent la performance, la production, ce qui entraîne un manque de valorisation de l’être versus le faire/ le produire avec un rejet de la vulnérabilité et des fragilités. Si l’on ne produit plus, si l’on ne sait plus, où est notre place ? </w:t>
      </w:r>
    </w:p>
    <w:p w14:paraId="17FF70DC" w14:textId="53E3D34E" w:rsidR="006921BA" w:rsidRPr="006921BA" w:rsidRDefault="00532EAC"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Nos</w:t>
      </w:r>
      <w:r w:rsidR="006921BA" w:rsidRPr="006921BA">
        <w:rPr>
          <w:rFonts w:ascii="Aptos" w:eastAsia="Aptos" w:hAnsi="Aptos" w:cs="Arial"/>
          <w:kern w:val="2"/>
          <w:sz w:val="22"/>
          <w:szCs w:val="22"/>
          <w:lang w:eastAsia="en-US"/>
          <w14:ligatures w14:val="standardContextual"/>
        </w:rPr>
        <w:t xml:space="preserve"> sociétés sont basées sur la rentabilité : rentabilité des institutions de soins et optimisation des ressources, qui ne permettent pas de privilégier le temps de la relation. </w:t>
      </w:r>
    </w:p>
    <w:p w14:paraId="3D99733A" w14:textId="13A8CDF7" w:rsidR="006921BA" w:rsidRDefault="00532EAC" w:rsidP="006921BA">
      <w:pPr>
        <w:numPr>
          <w:ilvl w:val="0"/>
          <w:numId w:val="13"/>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Nos</w:t>
      </w:r>
      <w:r w:rsidR="006921BA" w:rsidRPr="006921BA">
        <w:rPr>
          <w:rFonts w:ascii="Aptos" w:eastAsia="Aptos" w:hAnsi="Aptos" w:cs="Arial"/>
          <w:kern w:val="2"/>
          <w:sz w:val="22"/>
          <w:szCs w:val="22"/>
          <w:lang w:eastAsia="en-US"/>
          <w14:ligatures w14:val="standardContextual"/>
        </w:rPr>
        <w:t xml:space="preserve"> sociétés sont consensuelles et ne laissent pas de place à la différence dans des lieux publics comme le théâtre, le cinéma, les restaurants</w:t>
      </w:r>
      <w:r w:rsidR="00E04D38">
        <w:rPr>
          <w:rFonts w:ascii="Aptos" w:eastAsia="Aptos" w:hAnsi="Aptos" w:cs="Arial"/>
          <w:kern w:val="2"/>
          <w:sz w:val="22"/>
          <w:szCs w:val="22"/>
          <w:lang w:eastAsia="en-US"/>
          <w14:ligatures w14:val="standardContextual"/>
        </w:rPr>
        <w:t>.</w:t>
      </w:r>
    </w:p>
    <w:p w14:paraId="32162827" w14:textId="77777777" w:rsidR="00E04D38" w:rsidRPr="006921BA" w:rsidRDefault="00E04D38" w:rsidP="00E04D38">
      <w:pPr>
        <w:spacing w:after="160" w:line="259" w:lineRule="auto"/>
        <w:ind w:left="720"/>
        <w:contextualSpacing/>
        <w:jc w:val="both"/>
        <w:rPr>
          <w:rFonts w:ascii="Aptos" w:eastAsia="Aptos" w:hAnsi="Aptos" w:cs="Arial"/>
          <w:kern w:val="2"/>
          <w:sz w:val="22"/>
          <w:szCs w:val="22"/>
          <w:lang w:eastAsia="en-US"/>
          <w14:ligatures w14:val="standardContextual"/>
        </w:rPr>
      </w:pPr>
    </w:p>
    <w:p w14:paraId="42E6409A" w14:textId="77777777" w:rsidR="006921BA" w:rsidRPr="006921BA" w:rsidRDefault="006921BA" w:rsidP="006921BA">
      <w:pPr>
        <w:numPr>
          <w:ilvl w:val="0"/>
          <w:numId w:val="9"/>
        </w:numPr>
        <w:spacing w:after="160" w:line="259" w:lineRule="auto"/>
        <w:rPr>
          <w:rFonts w:ascii="Aptos" w:eastAsia="Aptos" w:hAnsi="Aptos" w:cs="Arial"/>
          <w:kern w:val="2"/>
          <w:sz w:val="22"/>
          <w:szCs w:val="22"/>
          <w:lang w:eastAsia="en-US"/>
          <w14:ligatures w14:val="standardContextual"/>
        </w:rPr>
      </w:pPr>
      <w:r w:rsidRPr="006921BA">
        <w:rPr>
          <w:rFonts w:ascii="Aptos" w:eastAsia="Aptos" w:hAnsi="Aptos" w:cs="Arial"/>
          <w:b/>
          <w:bCs/>
          <w:kern w:val="2"/>
          <w:sz w:val="22"/>
          <w:szCs w:val="22"/>
          <w:lang w:eastAsia="en-US"/>
          <w14:ligatures w14:val="standardContextual"/>
        </w:rPr>
        <w:t>Bonnes pratiques et recommandations</w:t>
      </w:r>
    </w:p>
    <w:p w14:paraId="16492732" w14:textId="77777777" w:rsidR="006921BA" w:rsidRPr="006921BA" w:rsidRDefault="006921BA" w:rsidP="006921BA">
      <w:pPr>
        <w:numPr>
          <w:ilvl w:val="0"/>
          <w:numId w:val="11"/>
        </w:numPr>
        <w:spacing w:after="160" w:line="259" w:lineRule="auto"/>
        <w:contextualSpacing/>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u w:val="single"/>
          <w:lang w:eastAsia="en-US"/>
          <w14:ligatures w14:val="standardContextual"/>
        </w:rPr>
        <w:t>Quels lois, politiques, institutions, approches, pratiques ou environnements favorables ont aidé les personnes âgées avec des difficultés cognitives à demeurer entendues, impliquées, respectées et connectées socialement ?</w:t>
      </w:r>
    </w:p>
    <w:p w14:paraId="0F715513" w14:textId="77777777" w:rsidR="006921BA" w:rsidRPr="006921BA" w:rsidRDefault="006921BA" w:rsidP="00E04D38">
      <w:pPr>
        <w:spacing w:before="100" w:beforeAutospacing="1"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Pour favoriser le maintien à domicile en conservant une certaine qualité de vie, notre association expérimente depuis 15 ans un dispositif d’accompagnement à domicile. Il permet de mobiliser un case-manager, un ergothérapeute ou un psychologue. Des aides formelles et informelles de proximité peuvent ainsi être proposées et mises en place. Le fait de se rendre à domicile, présente l’avantage d’évaluer la situation au plus près de la réalité, d’apporter des réponses justes et adéquates et de favoriser le maintien des activités sociales.</w:t>
      </w:r>
    </w:p>
    <w:p w14:paraId="09D97E51"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Certaines villes se sont lancées dans le projet des prescriptions muséales, ce qui a permis d’ouvrir les lieux culturels aux personnes âgées avec des difficultés cognitives et, encore une fois de valoriser les personnes âgées avec des difficultés cognitives et de maintenir des activités.</w:t>
      </w:r>
    </w:p>
    <w:p w14:paraId="77CF96AE" w14:textId="1A6F0D7D"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Le baluchonnage (</w:t>
      </w:r>
      <w:hyperlink r:id="rId11" w:history="1">
        <w:r w:rsidRPr="006921BA">
          <w:rPr>
            <w:rFonts w:ascii="Aptos" w:eastAsia="Aptos" w:hAnsi="Aptos" w:cs="Arial"/>
            <w:kern w:val="2"/>
            <w:sz w:val="22"/>
            <w:szCs w:val="22"/>
            <w:lang w:eastAsia="en-US"/>
            <w14:ligatures w14:val="standardContextual"/>
          </w:rPr>
          <w:t>https://baluchon-alzheimer.be/</w:t>
        </w:r>
      </w:hyperlink>
      <w:r w:rsidRPr="006921BA">
        <w:rPr>
          <w:rFonts w:ascii="Aptos" w:eastAsia="Aptos" w:hAnsi="Aptos" w:cs="Arial"/>
          <w:kern w:val="2"/>
          <w:sz w:val="22"/>
          <w:szCs w:val="22"/>
          <w:lang w:eastAsia="en-US"/>
          <w14:ligatures w14:val="standardContextual"/>
        </w:rPr>
        <w:t xml:space="preserve">), qui donne du répit à l’aidant-proche tout en maintenant la personne âgée dans son lieu de vie, existe en Belgique mais il ne bénéficie pas d’une </w:t>
      </w:r>
      <w:r w:rsidRPr="006921BA">
        <w:rPr>
          <w:rFonts w:ascii="Aptos" w:eastAsia="Aptos" w:hAnsi="Aptos" w:cs="Arial"/>
          <w:kern w:val="2"/>
          <w:sz w:val="22"/>
          <w:szCs w:val="22"/>
          <w:lang w:eastAsia="en-US"/>
          <w14:ligatures w14:val="standardContextual"/>
        </w:rPr>
        <w:lastRenderedPageBreak/>
        <w:t xml:space="preserve">reconnaissance au niveau de notre organisme de sécurité social (INAMI), ce qui nuit à son accessibilité et à son développement. </w:t>
      </w:r>
    </w:p>
    <w:p w14:paraId="71D48652"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Il existe également certains lieux communautaires, encore trop peu nombreux, comme Atoll (</w:t>
      </w:r>
      <w:hyperlink r:id="rId12" w:history="1">
        <w:r w:rsidRPr="006921BA">
          <w:rPr>
            <w:rFonts w:ascii="Aptos" w:eastAsia="Aptos" w:hAnsi="Aptos" w:cs="Arial"/>
            <w:color w:val="467886"/>
            <w:kern w:val="2"/>
            <w:sz w:val="22"/>
            <w:szCs w:val="22"/>
            <w:u w:val="single"/>
            <w:lang w:eastAsia="en-US"/>
            <w14:ligatures w14:val="standardContextual"/>
          </w:rPr>
          <w:t>https://www.atoll.be/</w:t>
        </w:r>
      </w:hyperlink>
      <w:r w:rsidRPr="006921BA">
        <w:rPr>
          <w:rFonts w:ascii="Aptos" w:eastAsia="Aptos" w:hAnsi="Aptos" w:cs="Arial"/>
          <w:kern w:val="2"/>
          <w:sz w:val="22"/>
          <w:szCs w:val="22"/>
          <w:lang w:eastAsia="en-US"/>
          <w14:ligatures w14:val="standardContextual"/>
        </w:rPr>
        <w:t xml:space="preserve">), qui permettent un accueil non-médicalisé des personnes âgées, avec ou sans difficultés cognitives et, proposent des activités sociales et inclusives. </w:t>
      </w:r>
    </w:p>
    <w:p w14:paraId="0131F466"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Le Projet de Soins Personnalisé et Anticipé (</w:t>
      </w:r>
      <w:hyperlink r:id="rId13" w:history="1">
        <w:r w:rsidRPr="006921BA">
          <w:rPr>
            <w:rFonts w:ascii="Aptos" w:eastAsia="Aptos" w:hAnsi="Aptos" w:cs="Arial"/>
            <w:color w:val="467886"/>
            <w:kern w:val="2"/>
            <w:sz w:val="22"/>
            <w:szCs w:val="22"/>
            <w:u w:val="single"/>
            <w:lang w:eastAsia="en-US"/>
            <w14:ligatures w14:val="standardContextual"/>
          </w:rPr>
          <w:t>https://www.pspa.be/</w:t>
        </w:r>
      </w:hyperlink>
      <w:r w:rsidRPr="006921BA">
        <w:rPr>
          <w:rFonts w:ascii="Aptos" w:eastAsia="Aptos" w:hAnsi="Aptos" w:cs="Arial"/>
          <w:kern w:val="2"/>
          <w:sz w:val="22"/>
          <w:szCs w:val="22"/>
          <w:lang w:eastAsia="en-US"/>
          <w14:ligatures w14:val="standardContextual"/>
        </w:rPr>
        <w:t>), support de réflexion à la fin de vie, est un outil belge intéressant pour ouvrir la discussion sur l’importance d’être acteur de ses choix de vie. La Fondation Roi Baudouin a d’ailleurs rédigé une brochure portant une attention particulière accordée aux personnes atteintes d’une maladie de type Alzheimer (</w:t>
      </w:r>
      <w:hyperlink r:id="rId14" w:history="1">
        <w:r w:rsidRPr="006921BA">
          <w:rPr>
            <w:rFonts w:ascii="Aptos" w:eastAsia="Aptos" w:hAnsi="Aptos" w:cs="Arial"/>
            <w:color w:val="467886"/>
            <w:kern w:val="2"/>
            <w:sz w:val="22"/>
            <w:szCs w:val="22"/>
            <w:u w:val="single"/>
            <w:lang w:eastAsia="en-US"/>
            <w14:ligatures w14:val="standardContextual"/>
          </w:rPr>
          <w:t>https://kbs-frb.be/fr/osez-le-dialogue-le-projet-de-soins-personnalise-et-anticipe</w:t>
        </w:r>
      </w:hyperlink>
      <w:r w:rsidRPr="006921BA">
        <w:rPr>
          <w:rFonts w:ascii="Aptos" w:eastAsia="Aptos" w:hAnsi="Aptos" w:cs="Arial"/>
          <w:kern w:val="2"/>
          <w:sz w:val="22"/>
          <w:szCs w:val="22"/>
          <w:lang w:eastAsia="en-US"/>
          <w14:ligatures w14:val="standardContextual"/>
        </w:rPr>
        <w:t xml:space="preserve">). Néanmoins, une version spécifique de l’outil pourrait être développée pour favoriser le recueil des souhaits de la personne âgée avec des troubles cognitifs. </w:t>
      </w:r>
    </w:p>
    <w:p w14:paraId="7479A33A" w14:textId="77777777" w:rsidR="006921BA" w:rsidRPr="006921BA" w:rsidRDefault="006921BA" w:rsidP="006921BA">
      <w:pPr>
        <w:numPr>
          <w:ilvl w:val="0"/>
          <w:numId w:val="11"/>
        </w:numPr>
        <w:spacing w:after="160" w:line="259" w:lineRule="auto"/>
        <w:contextualSpacing/>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u w:val="single"/>
          <w:lang w:eastAsia="en-US"/>
          <w14:ligatures w14:val="standardContextual"/>
        </w:rPr>
        <w:t>Quels changements légaux, professionnels ou communautaires sont nécessaires pour mieux protéger l’autonomie et la dignité des personnes âgées avec des difficultés cognitives ?</w:t>
      </w:r>
    </w:p>
    <w:p w14:paraId="7977CE6C" w14:textId="77777777" w:rsidR="006921BA" w:rsidRPr="006921BA" w:rsidRDefault="006921BA" w:rsidP="00E04D38">
      <w:pPr>
        <w:spacing w:before="100" w:beforeAutospacing="1"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Avec un diagnostic de plus en plus précoce, il manque des lieux inclusifs, valorisants et sécurisants, comme des lieux communautaires pour proposer des activités variées avec des horaires flexibles, non médicalisées, soutenus par un personnel formé à une approche centrée sur la valorisation des capacités préservées et à l’adaptation de l’environnement. Plus globalement, il faudrait rendre accessibles les formations à toutes les personnes qui souhaitent accueillir des personnes âgées avec des troubles cognitifs.</w:t>
      </w:r>
    </w:p>
    <w:p w14:paraId="0436EF43"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Il serait pertinent d’identifier des professionnels du domicile « spécialisés dans l’accompagnement des personnes avec des troubles cognitifs » à travers une certification ou un diplôme spécifique : case manager, accompagnateurs du quotidien, référents du domicile. En Belgique, il existe les accompagnatrices à domicile Alzheimer (</w:t>
      </w:r>
      <w:hyperlink r:id="rId15" w:history="1">
        <w:r w:rsidRPr="006921BA">
          <w:rPr>
            <w:rFonts w:ascii="Aptos" w:eastAsia="Aptos" w:hAnsi="Aptos" w:cs="Arial"/>
            <w:kern w:val="2"/>
            <w:sz w:val="22"/>
            <w:szCs w:val="22"/>
            <w:lang w:eastAsia="en-US"/>
            <w14:ligatures w14:val="standardContextual"/>
          </w:rPr>
          <w:t>https://spaf.be/services/garde-a-domicile-alzheimer/</w:t>
        </w:r>
      </w:hyperlink>
      <w:r w:rsidRPr="006921BA">
        <w:rPr>
          <w:rFonts w:ascii="Aptos" w:eastAsia="Aptos" w:hAnsi="Aptos" w:cs="Arial"/>
          <w:kern w:val="2"/>
          <w:sz w:val="22"/>
          <w:szCs w:val="22"/>
          <w:lang w:eastAsia="en-US"/>
          <w14:ligatures w14:val="standardContextual"/>
        </w:rPr>
        <w:t>) mais, cette initiative de la Province de Namur, n’a pas été généralisée.</w:t>
      </w:r>
    </w:p>
    <w:p w14:paraId="4A8591B7"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Il faudrait pérenniser le projet d’interventions ponctuelles au domicile des personnes âgées vivant avec des difficultés cognitives, afin d’identifier les besoins réels et pouvoir mobiliser les ressources de proximité adéquates.</w:t>
      </w:r>
    </w:p>
    <w:p w14:paraId="0133F20D"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Les formations des aidants-proches sont importantes mais elles ne suffisent pas : elles devraient être complétées par des temps de rencontre au domicile, pour confronter la théorie à la réalité des vécus. </w:t>
      </w:r>
    </w:p>
    <w:p w14:paraId="40D984A9" w14:textId="77777777" w:rsidR="006921BA" w:rsidRPr="006921BA" w:rsidRDefault="006921BA" w:rsidP="006921BA">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 xml:space="preserve">Concernant les intervenants du soin il faudrait permettre plus de flexibilité dans leur manière de travailler, en insistant sur la relation plus que sur les tâches à accomplir. Pour certaines tâches, une posture de type « supervision » permettrait de maintenir la personne active plus longtemps et de conserver la relation avec son proche. </w:t>
      </w:r>
    </w:p>
    <w:p w14:paraId="3DCECE99" w14:textId="7F120D20" w:rsidR="00EC776F" w:rsidRPr="00CB0E98" w:rsidRDefault="006921BA" w:rsidP="00CB0E98">
      <w:pPr>
        <w:spacing w:after="160" w:line="259" w:lineRule="auto"/>
        <w:jc w:val="both"/>
        <w:rPr>
          <w:rFonts w:ascii="Aptos" w:eastAsia="Aptos" w:hAnsi="Aptos" w:cs="Arial"/>
          <w:kern w:val="2"/>
          <w:sz w:val="22"/>
          <w:szCs w:val="22"/>
          <w:lang w:eastAsia="en-US"/>
          <w14:ligatures w14:val="standardContextual"/>
        </w:rPr>
      </w:pPr>
      <w:r w:rsidRPr="006921BA">
        <w:rPr>
          <w:rFonts w:ascii="Aptos" w:eastAsia="Aptos" w:hAnsi="Aptos" w:cs="Arial"/>
          <w:kern w:val="2"/>
          <w:sz w:val="22"/>
          <w:szCs w:val="22"/>
          <w:lang w:eastAsia="en-US"/>
          <w14:ligatures w14:val="standardContextual"/>
        </w:rPr>
        <w:t>Les personnes âgées doivent continuer à tenir un rôle social en leur permettant, par exemple, d’endosser plus facilement des rôles de bénévolat (chenils, crèches, écoles).</w:t>
      </w:r>
    </w:p>
    <w:sectPr w:rsidR="00EC776F" w:rsidRPr="00CB0E98" w:rsidSect="00236601">
      <w:headerReference w:type="default" r:id="rId16"/>
      <w:footerReference w:type="default" r:id="rId17"/>
      <w:pgSz w:w="11906" w:h="16838"/>
      <w:pgMar w:top="1418" w:right="1134" w:bottom="1134" w:left="1134" w:header="709" w:footer="3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EFF2E" w14:textId="77777777" w:rsidR="002C79C4" w:rsidRPr="005867F4" w:rsidRDefault="002C79C4" w:rsidP="0032682A">
      <w:r w:rsidRPr="005867F4">
        <w:separator/>
      </w:r>
    </w:p>
  </w:endnote>
  <w:endnote w:type="continuationSeparator" w:id="0">
    <w:p w14:paraId="06682044" w14:textId="77777777" w:rsidR="002C79C4" w:rsidRPr="005867F4" w:rsidRDefault="002C79C4" w:rsidP="0032682A">
      <w:r w:rsidRPr="005867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panose1 w:val="000004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35DEF" w14:textId="60767F65" w:rsidR="008A609C" w:rsidRPr="00212AB3" w:rsidRDefault="008A609C" w:rsidP="008A609C">
    <w:pPr>
      <w:pStyle w:val="Pieddepage"/>
      <w:rPr>
        <w:rFonts w:ascii="Montserrat Light" w:hAnsi="Montserrat Light"/>
        <w:color w:val="666666"/>
        <w:sz w:val="20"/>
        <w:szCs w:val="20"/>
        <w:u w:val="single"/>
      </w:rPr>
    </w:pPr>
    <w:hyperlink r:id="rId1" w:history="1">
      <w:r w:rsidRPr="00212AB3">
        <w:rPr>
          <w:rStyle w:val="Lienhypertexte"/>
          <w:rFonts w:ascii="Montserrat Light" w:hAnsi="Montserrat Light"/>
          <w:sz w:val="20"/>
          <w:szCs w:val="20"/>
        </w:rPr>
        <w:t>http://www.aalz.be</w:t>
      </w:r>
    </w:hyperlink>
    <w:r w:rsidR="0032682A" w:rsidRPr="00212AB3">
      <w:rPr>
        <w:rFonts w:ascii="Montserrat Light" w:hAnsi="Montserrat Light"/>
        <w:noProof/>
        <w:color w:val="666666"/>
        <w:sz w:val="20"/>
        <w:szCs w:val="20"/>
        <w:lang w:eastAsia="fr-BE"/>
      </w:rPr>
      <mc:AlternateContent>
        <mc:Choice Requires="wps">
          <w:drawing>
            <wp:anchor distT="0" distB="0" distL="114300" distR="114300" simplePos="0" relativeHeight="251663360" behindDoc="0" locked="0" layoutInCell="1" allowOverlap="1" wp14:anchorId="6B181436" wp14:editId="15CC5CB9">
              <wp:simplePos x="0" y="0"/>
              <wp:positionH relativeFrom="column">
                <wp:posOffset>0</wp:posOffset>
              </wp:positionH>
              <wp:positionV relativeFrom="paragraph">
                <wp:posOffset>-50800</wp:posOffset>
              </wp:positionV>
              <wp:extent cx="4572000" cy="0"/>
              <wp:effectExtent l="0" t="0" r="19050" b="19050"/>
              <wp:wrapNone/>
              <wp:docPr id="5" name="Connecteur droit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25400">
                        <a:solidFill>
                          <a:srgbClr val="6666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506AD" id="Connecteur droit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pt" to="5in,-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" strokecolor="#666" strokeweight="2pt"/>
          </w:pict>
        </mc:Fallback>
      </mc:AlternateContent>
    </w:r>
    <w:r w:rsidR="008C633F">
      <w:rPr>
        <w:rFonts w:ascii="Montserrat Light" w:hAnsi="Montserrat Light"/>
        <w:b/>
        <w:bCs/>
        <w:color w:val="666666"/>
        <w:sz w:val="20"/>
        <w:szCs w:val="20"/>
      </w:rPr>
      <w:t xml:space="preserve">, </w:t>
    </w:r>
    <w:r w:rsidR="00B27EA9" w:rsidRPr="00212AB3">
      <w:rPr>
        <w:rFonts w:ascii="Montserrat Light" w:hAnsi="Montserrat Light"/>
        <w:b/>
        <w:bCs/>
        <w:color w:val="666666"/>
        <w:sz w:val="20"/>
        <w:szCs w:val="20"/>
      </w:rPr>
      <w:t>C</w:t>
    </w:r>
    <w:r w:rsidR="008C633F">
      <w:rPr>
        <w:rFonts w:ascii="Montserrat Light" w:hAnsi="Montserrat Light"/>
        <w:b/>
        <w:bCs/>
        <w:color w:val="666666"/>
        <w:sz w:val="20"/>
        <w:szCs w:val="20"/>
      </w:rPr>
      <w:t>ou</w:t>
    </w:r>
    <w:r w:rsidR="00B27EA9" w:rsidRPr="00212AB3">
      <w:rPr>
        <w:rFonts w:ascii="Montserrat Light" w:hAnsi="Montserrat Light"/>
        <w:b/>
        <w:bCs/>
        <w:color w:val="666666"/>
        <w:sz w:val="20"/>
        <w:szCs w:val="20"/>
      </w:rPr>
      <w:t>rs St Michel 100 Bte 9</w:t>
    </w:r>
    <w:r w:rsidR="00897874" w:rsidRPr="00212AB3">
      <w:rPr>
        <w:rFonts w:ascii="Montserrat Light" w:hAnsi="Montserrat Light"/>
        <w:b/>
        <w:bCs/>
        <w:color w:val="666666"/>
        <w:sz w:val="20"/>
        <w:szCs w:val="20"/>
      </w:rPr>
      <w:t>,</w:t>
    </w:r>
    <w:r w:rsidR="00F35353" w:rsidRPr="00212AB3">
      <w:rPr>
        <w:rFonts w:ascii="Montserrat Light" w:hAnsi="Montserrat Light"/>
        <w:b/>
        <w:bCs/>
        <w:color w:val="666666"/>
        <w:sz w:val="20"/>
        <w:szCs w:val="20"/>
      </w:rPr>
      <w:t xml:space="preserve"> </w:t>
    </w:r>
    <w:r w:rsidR="0032682A" w:rsidRPr="00212AB3">
      <w:rPr>
        <w:rFonts w:ascii="Montserrat Light" w:hAnsi="Montserrat Light"/>
        <w:b/>
        <w:bCs/>
        <w:color w:val="666666"/>
        <w:sz w:val="20"/>
        <w:szCs w:val="20"/>
      </w:rPr>
      <w:t>10</w:t>
    </w:r>
    <w:r w:rsidR="00B27EA9" w:rsidRPr="00212AB3">
      <w:rPr>
        <w:rFonts w:ascii="Montserrat Light" w:hAnsi="Montserrat Light"/>
        <w:b/>
        <w:bCs/>
        <w:color w:val="666666"/>
        <w:sz w:val="20"/>
        <w:szCs w:val="20"/>
      </w:rPr>
      <w:t>4</w:t>
    </w:r>
    <w:r w:rsidR="0032682A" w:rsidRPr="00212AB3">
      <w:rPr>
        <w:rFonts w:ascii="Montserrat Light" w:hAnsi="Montserrat Light"/>
        <w:b/>
        <w:bCs/>
        <w:color w:val="666666"/>
        <w:sz w:val="20"/>
        <w:szCs w:val="20"/>
      </w:rPr>
      <w:t>0 Bruxelles</w:t>
    </w:r>
    <w:r w:rsidR="00AF0338" w:rsidRPr="00212AB3">
      <w:rPr>
        <w:rFonts w:ascii="Montserrat Light" w:hAnsi="Montserrat Light"/>
        <w:b/>
        <w:bCs/>
        <w:color w:val="666666"/>
        <w:sz w:val="20"/>
        <w:szCs w:val="20"/>
      </w:rPr>
      <w:t xml:space="preserve">, </w:t>
    </w:r>
    <w:r w:rsidR="008C633F">
      <w:rPr>
        <w:rFonts w:ascii="Montserrat Light" w:hAnsi="Montserrat Light"/>
        <w:b/>
        <w:bCs/>
        <w:color w:val="666666"/>
        <w:sz w:val="20"/>
        <w:szCs w:val="20"/>
      </w:rPr>
      <w:br/>
    </w:r>
    <w:hyperlink r:id="rId2" w:history="1">
      <w:r w:rsidR="008C633F" w:rsidRPr="00136831">
        <w:rPr>
          <w:rStyle w:val="Lienhypertexte"/>
          <w:rFonts w:ascii="Montserrat Light" w:hAnsi="Montserrat Light"/>
          <w:sz w:val="20"/>
          <w:szCs w:val="20"/>
        </w:rPr>
        <w:t>info@aalz.be</w:t>
      </w:r>
    </w:hyperlink>
    <w:r w:rsidR="008C633F">
      <w:rPr>
        <w:rFonts w:ascii="Montserrat Light" w:hAnsi="Montserrat Light"/>
        <w:color w:val="666666"/>
        <w:sz w:val="20"/>
        <w:szCs w:val="20"/>
      </w:rPr>
      <w:t xml:space="preserve">, </w:t>
    </w:r>
    <w:r w:rsidR="0032682A" w:rsidRPr="00212AB3">
      <w:rPr>
        <w:rFonts w:ascii="Montserrat Light" w:hAnsi="Montserrat Light"/>
        <w:color w:val="666666"/>
        <w:sz w:val="20"/>
        <w:szCs w:val="20"/>
      </w:rPr>
      <w:sym w:font="Wingdings" w:char="F028"/>
    </w:r>
    <w:r w:rsidR="0032682A" w:rsidRPr="00212AB3">
      <w:rPr>
        <w:rFonts w:ascii="Montserrat Light" w:hAnsi="Montserrat Light"/>
        <w:color w:val="666666"/>
        <w:sz w:val="20"/>
        <w:szCs w:val="20"/>
      </w:rPr>
      <w:t> :</w:t>
    </w:r>
    <w:r w:rsidR="00212AB3">
      <w:rPr>
        <w:rFonts w:ascii="Montserrat Light" w:hAnsi="Montserrat Light"/>
        <w:color w:val="666666"/>
        <w:sz w:val="20"/>
        <w:szCs w:val="20"/>
      </w:rPr>
      <w:t xml:space="preserve"> </w:t>
    </w:r>
    <w:r w:rsidR="00F34E26" w:rsidRPr="00212AB3">
      <w:rPr>
        <w:rFonts w:ascii="Montserrat Light" w:hAnsi="Montserrat Light"/>
        <w:b/>
        <w:bCs/>
        <w:color w:val="666666"/>
        <w:sz w:val="20"/>
        <w:szCs w:val="20"/>
      </w:rPr>
      <w:t>02/428.28.10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7CB36" w14:textId="77777777" w:rsidR="002C79C4" w:rsidRPr="005867F4" w:rsidRDefault="002C79C4" w:rsidP="0032682A">
      <w:r w:rsidRPr="005867F4">
        <w:separator/>
      </w:r>
    </w:p>
  </w:footnote>
  <w:footnote w:type="continuationSeparator" w:id="0">
    <w:p w14:paraId="000B58AA" w14:textId="77777777" w:rsidR="002C79C4" w:rsidRPr="005867F4" w:rsidRDefault="002C79C4" w:rsidP="0032682A">
      <w:r w:rsidRPr="005867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651CE" w14:textId="77777777" w:rsidR="00FB2CE9" w:rsidRPr="005867F4" w:rsidRDefault="00F34E26" w:rsidP="00FB2CE9">
    <w:pPr>
      <w:pStyle w:val="En-tte"/>
      <w:tabs>
        <w:tab w:val="clear" w:pos="9072"/>
      </w:tabs>
      <w:ind w:left="1418" w:right="70"/>
      <w:jc w:val="center"/>
      <w:rPr>
        <w:rFonts w:ascii="Montserrat Light" w:hAnsi="Montserrat Light"/>
        <w:b/>
        <w:bCs/>
        <w:iCs/>
        <w:color w:val="666666"/>
        <w:sz w:val="24"/>
        <w:szCs w:val="24"/>
      </w:rPr>
    </w:pPr>
    <w:r w:rsidRPr="005867F4">
      <w:rPr>
        <w:rFonts w:ascii="Calibri" w:hAnsi="Calibri"/>
        <w:noProof/>
        <w:color w:val="666666"/>
        <w:lang w:eastAsia="fr-BE"/>
      </w:rPr>
      <w:drawing>
        <wp:anchor distT="0" distB="0" distL="114300" distR="114300" simplePos="0" relativeHeight="251670528" behindDoc="0" locked="0" layoutInCell="1" allowOverlap="1" wp14:anchorId="6E39E8BE" wp14:editId="3EA2A6DA">
          <wp:simplePos x="0" y="0"/>
          <wp:positionH relativeFrom="column">
            <wp:posOffset>-681990</wp:posOffset>
          </wp:positionH>
          <wp:positionV relativeFrom="paragraph">
            <wp:posOffset>-389890</wp:posOffset>
          </wp:positionV>
          <wp:extent cx="1546210" cy="1197634"/>
          <wp:effectExtent l="0" t="0" r="0" b="254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final bonshomm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46210" cy="1197634"/>
                  </a:xfrm>
                  <a:prstGeom prst="rect">
                    <a:avLst/>
                  </a:prstGeom>
                </pic:spPr>
              </pic:pic>
            </a:graphicData>
          </a:graphic>
        </wp:anchor>
      </w:drawing>
    </w:r>
    <w:r w:rsidR="00FB2CE9" w:rsidRPr="005867F4">
      <w:rPr>
        <w:rFonts w:ascii="Montserrat Light" w:hAnsi="Montserrat Light"/>
        <w:noProof/>
        <w:color w:val="666666"/>
        <w:sz w:val="28"/>
        <w:szCs w:val="28"/>
        <w:lang w:eastAsia="fr-BE"/>
      </w:rPr>
      <mc:AlternateContent>
        <mc:Choice Requires="wps">
          <w:drawing>
            <wp:anchor distT="4294967295" distB="4294967295" distL="114300" distR="114300" simplePos="0" relativeHeight="251668480" behindDoc="0" locked="0" layoutInCell="1" allowOverlap="1" wp14:anchorId="00E7CD58" wp14:editId="57BD5BC5">
              <wp:simplePos x="0" y="0"/>
              <wp:positionH relativeFrom="column">
                <wp:posOffset>715993</wp:posOffset>
              </wp:positionH>
              <wp:positionV relativeFrom="paragraph">
                <wp:posOffset>-40592</wp:posOffset>
              </wp:positionV>
              <wp:extent cx="5128260" cy="0"/>
              <wp:effectExtent l="0" t="0" r="34290" b="19050"/>
              <wp:wrapNone/>
              <wp:docPr id="4"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28260" cy="0"/>
                      </a:xfrm>
                      <a:prstGeom prst="line">
                        <a:avLst/>
                      </a:prstGeom>
                      <a:noFill/>
                      <a:ln w="25400">
                        <a:solidFill>
                          <a:srgbClr val="6666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658417" id="Connecteur droit 3"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4pt,-3.2pt" to="460.2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" strokecolor="#666" strokeweight="2pt"/>
          </w:pict>
        </mc:Fallback>
      </mc:AlternateContent>
    </w:r>
    <w:r w:rsidRPr="005867F4">
      <w:rPr>
        <w:rFonts w:ascii="Montserrat Light" w:hAnsi="Montserrat Light"/>
        <w:b/>
        <w:bCs/>
        <w:iCs/>
        <w:color w:val="666666"/>
        <w:sz w:val="28"/>
        <w:szCs w:val="28"/>
      </w:rPr>
      <w:t>I</w:t>
    </w:r>
    <w:r w:rsidRPr="005867F4">
      <w:rPr>
        <w:rFonts w:ascii="Montserrat Light" w:hAnsi="Montserrat Light"/>
        <w:b/>
        <w:bCs/>
        <w:iCs/>
        <w:color w:val="666666"/>
        <w:sz w:val="24"/>
        <w:szCs w:val="24"/>
      </w:rPr>
      <w:t>nforme</w:t>
    </w:r>
    <w:r w:rsidR="00FB2CE9" w:rsidRPr="005867F4">
      <w:rPr>
        <w:rFonts w:ascii="Montserrat Light" w:hAnsi="Montserrat Light"/>
        <w:b/>
        <w:bCs/>
        <w:iCs/>
        <w:color w:val="666666"/>
        <w:sz w:val="24"/>
        <w:szCs w:val="24"/>
      </w:rPr>
      <w:t>, sout</w:t>
    </w:r>
    <w:r w:rsidRPr="005867F4">
      <w:rPr>
        <w:rFonts w:ascii="Montserrat Light" w:hAnsi="Montserrat Light"/>
        <w:b/>
        <w:bCs/>
        <w:iCs/>
        <w:color w:val="666666"/>
        <w:sz w:val="24"/>
        <w:szCs w:val="24"/>
      </w:rPr>
      <w:t>ient et accompagne</w:t>
    </w:r>
    <w:r w:rsidR="00FB2CE9" w:rsidRPr="005867F4">
      <w:rPr>
        <w:rFonts w:ascii="Montserrat Light" w:hAnsi="Montserrat Light"/>
        <w:b/>
        <w:bCs/>
        <w:iCs/>
        <w:color w:val="666666"/>
        <w:sz w:val="24"/>
        <w:szCs w:val="24"/>
      </w:rPr>
      <w:t xml:space="preserve"> les </w:t>
    </w:r>
    <w:r w:rsidRPr="005867F4">
      <w:rPr>
        <w:rFonts w:ascii="Montserrat Light" w:hAnsi="Montserrat Light"/>
        <w:b/>
        <w:bCs/>
        <w:iCs/>
        <w:color w:val="666666"/>
        <w:sz w:val="24"/>
        <w:szCs w:val="24"/>
      </w:rPr>
      <w:t>proches</w:t>
    </w:r>
    <w:r w:rsidR="00FB2CE9" w:rsidRPr="005867F4">
      <w:rPr>
        <w:rFonts w:ascii="Montserrat Light" w:hAnsi="Montserrat Light"/>
        <w:b/>
        <w:bCs/>
        <w:iCs/>
        <w:color w:val="666666"/>
        <w:sz w:val="24"/>
        <w:szCs w:val="24"/>
      </w:rPr>
      <w:t xml:space="preserve"> et les </w:t>
    </w:r>
    <w:r w:rsidRPr="005867F4">
      <w:rPr>
        <w:rFonts w:ascii="Montserrat Light" w:hAnsi="Montserrat Light"/>
        <w:b/>
        <w:bCs/>
        <w:iCs/>
        <w:color w:val="666666"/>
        <w:sz w:val="24"/>
        <w:szCs w:val="24"/>
      </w:rPr>
      <w:t>personnes</w:t>
    </w:r>
    <w:r w:rsidR="00FB2CE9" w:rsidRPr="005867F4">
      <w:rPr>
        <w:rFonts w:ascii="Montserrat Light" w:hAnsi="Montserrat Light"/>
        <w:b/>
        <w:bCs/>
        <w:iCs/>
        <w:color w:val="666666"/>
        <w:sz w:val="24"/>
        <w:szCs w:val="24"/>
      </w:rPr>
      <w:t xml:space="preserve"> atteint</w:t>
    </w:r>
    <w:r w:rsidRPr="005867F4">
      <w:rPr>
        <w:rFonts w:ascii="Montserrat Light" w:hAnsi="Montserrat Light"/>
        <w:b/>
        <w:bCs/>
        <w:iCs/>
        <w:color w:val="666666"/>
        <w:sz w:val="24"/>
        <w:szCs w:val="24"/>
      </w:rPr>
      <w:t>e</w:t>
    </w:r>
    <w:r w:rsidR="00FB2CE9" w:rsidRPr="005867F4">
      <w:rPr>
        <w:rFonts w:ascii="Montserrat Light" w:hAnsi="Montserrat Light"/>
        <w:b/>
        <w:bCs/>
        <w:iCs/>
        <w:color w:val="666666"/>
        <w:sz w:val="24"/>
        <w:szCs w:val="24"/>
      </w:rPr>
      <w:t xml:space="preserve">s d’Alzheimer ou </w:t>
    </w:r>
    <w:r w:rsidRPr="005867F4">
      <w:rPr>
        <w:rFonts w:ascii="Montserrat Light" w:hAnsi="Montserrat Light"/>
        <w:b/>
        <w:bCs/>
        <w:iCs/>
        <w:color w:val="666666"/>
        <w:sz w:val="24"/>
        <w:szCs w:val="24"/>
      </w:rPr>
      <w:t>troubles apparentés</w:t>
    </w:r>
  </w:p>
  <w:p w14:paraId="5E9D2081" w14:textId="77777777" w:rsidR="00FD56C1" w:rsidRPr="005867F4" w:rsidRDefault="00F34E26" w:rsidP="00FD56C1">
    <w:pPr>
      <w:pStyle w:val="En-tte"/>
      <w:rPr>
        <w:color w:val="177358"/>
      </w:rPr>
    </w:pPr>
    <w:r w:rsidRPr="005867F4">
      <w:rPr>
        <w:rFonts w:ascii="Montserrat Light" w:hAnsi="Montserrat Light"/>
        <w:noProof/>
        <w:color w:val="177358"/>
        <w:lang w:eastAsia="fr-BE"/>
      </w:rPr>
      <mc:AlternateContent>
        <mc:Choice Requires="wps">
          <w:drawing>
            <wp:anchor distT="0" distB="0" distL="114300" distR="114300" simplePos="0" relativeHeight="251669504" behindDoc="0" locked="0" layoutInCell="1" allowOverlap="1" wp14:anchorId="16767441" wp14:editId="59569ED4">
              <wp:simplePos x="0" y="0"/>
              <wp:positionH relativeFrom="column">
                <wp:posOffset>638810</wp:posOffset>
              </wp:positionH>
              <wp:positionV relativeFrom="paragraph">
                <wp:posOffset>92075</wp:posOffset>
              </wp:positionV>
              <wp:extent cx="5240404" cy="8627"/>
              <wp:effectExtent l="0" t="0" r="36830" b="29845"/>
              <wp:wrapNone/>
              <wp:docPr id="3" name="Connecteur droi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40404" cy="8627"/>
                      </a:xfrm>
                      <a:prstGeom prst="line">
                        <a:avLst/>
                      </a:prstGeom>
                      <a:noFill/>
                      <a:ln w="25400">
                        <a:solidFill>
                          <a:srgbClr val="6666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FEFBDF" id="Connecteur droit 1"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3pt,7.25pt" to="462.9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" strokecolor="#666" strokeweight="2pt"/>
          </w:pict>
        </mc:Fallback>
      </mc:AlternateContent>
    </w:r>
  </w:p>
  <w:p w14:paraId="4CF4D871" w14:textId="77777777" w:rsidR="0032682A" w:rsidRPr="008C633F" w:rsidRDefault="0032682A" w:rsidP="00FD56C1">
    <w:pPr>
      <w:pStyle w:val="En-tte"/>
      <w:rPr>
        <w:color w:val="666666"/>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51EC"/>
    <w:multiLevelType w:val="hybridMultilevel"/>
    <w:tmpl w:val="863E9F6E"/>
    <w:lvl w:ilvl="0" w:tplc="B35EBCA0">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73D1C9A"/>
    <w:multiLevelType w:val="hybridMultilevel"/>
    <w:tmpl w:val="8E641848"/>
    <w:lvl w:ilvl="0" w:tplc="FFFFFFFF">
      <w:start w:val="1"/>
      <w:numFmt w:val="ideographDigital"/>
      <w:lvlText w:val=""/>
      <w:lvlJc w:val="left"/>
    </w:lvl>
    <w:lvl w:ilvl="1" w:tplc="FFFFFFFF">
      <w:start w:val="1"/>
      <w:numFmt w:val="decimal"/>
      <w:lvlText w:val=""/>
      <w:lvlJc w:val="left"/>
    </w:lvl>
    <w:lvl w:ilvl="2" w:tplc="0B66AD18">
      <w:start w:val="4"/>
      <w:numFmt w:val="bullet"/>
      <w:lvlText w:val="-"/>
      <w:lvlJc w:val="left"/>
      <w:pPr>
        <w:ind w:left="720" w:hanging="360"/>
      </w:pPr>
      <w:rPr>
        <w:rFonts w:ascii="Aptos" w:eastAsiaTheme="minorHAnsi" w:hAnsi="Aptos" w:cstheme="minorBidi"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8B5F68"/>
    <w:multiLevelType w:val="multilevel"/>
    <w:tmpl w:val="EB722C9A"/>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145C51D4"/>
    <w:multiLevelType w:val="hybridMultilevel"/>
    <w:tmpl w:val="17C64A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85A79B4"/>
    <w:multiLevelType w:val="hybridMultilevel"/>
    <w:tmpl w:val="3752D3FE"/>
    <w:lvl w:ilvl="0" w:tplc="7AEC17D2">
      <w:start w:val="25"/>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99B7E2D"/>
    <w:multiLevelType w:val="multilevel"/>
    <w:tmpl w:val="949A4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56B2D"/>
    <w:multiLevelType w:val="hybridMultilevel"/>
    <w:tmpl w:val="F2CAC706"/>
    <w:lvl w:ilvl="0" w:tplc="0B66AD18">
      <w:start w:val="4"/>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E9E28E3"/>
    <w:multiLevelType w:val="hybridMultilevel"/>
    <w:tmpl w:val="96B88352"/>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8" w15:restartNumberingAfterBreak="0">
    <w:nsid w:val="324F46F8"/>
    <w:multiLevelType w:val="multilevel"/>
    <w:tmpl w:val="A7EEF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D643A4"/>
    <w:multiLevelType w:val="hybridMultilevel"/>
    <w:tmpl w:val="3EDAC5C8"/>
    <w:lvl w:ilvl="0" w:tplc="080C000D">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61316358"/>
    <w:multiLevelType w:val="hybridMultilevel"/>
    <w:tmpl w:val="31923B50"/>
    <w:lvl w:ilvl="0" w:tplc="F84C2646">
      <w:start w:val="1"/>
      <w:numFmt w:val="bullet"/>
      <w:lvlText w:val=""/>
      <w:lvlJc w:val="left"/>
      <w:pPr>
        <w:ind w:left="720" w:hanging="360"/>
      </w:pPr>
      <w:rPr>
        <w:rFonts w:ascii="Courier New" w:hAnsi="Courier New" w:hint="default"/>
        <w:sz w:val="32"/>
        <w:szCs w:val="32"/>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727A6FC3"/>
    <w:multiLevelType w:val="hybridMultilevel"/>
    <w:tmpl w:val="583453E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2E6234F"/>
    <w:multiLevelType w:val="hybridMultilevel"/>
    <w:tmpl w:val="D4B6C1D2"/>
    <w:lvl w:ilvl="0" w:tplc="83E67E34">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646938378">
    <w:abstractNumId w:val="4"/>
  </w:num>
  <w:num w:numId="2" w16cid:durableId="1446660432">
    <w:abstractNumId w:val="7"/>
  </w:num>
  <w:num w:numId="3" w16cid:durableId="1575168634">
    <w:abstractNumId w:val="3"/>
  </w:num>
  <w:num w:numId="4" w16cid:durableId="1293634857">
    <w:abstractNumId w:val="10"/>
  </w:num>
  <w:num w:numId="5" w16cid:durableId="374232719">
    <w:abstractNumId w:val="9"/>
  </w:num>
  <w:num w:numId="6" w16cid:durableId="48962332">
    <w:abstractNumId w:val="5"/>
  </w:num>
  <w:num w:numId="7" w16cid:durableId="1402754637">
    <w:abstractNumId w:val="8"/>
  </w:num>
  <w:num w:numId="8" w16cid:durableId="1193155380">
    <w:abstractNumId w:val="1"/>
  </w:num>
  <w:num w:numId="9" w16cid:durableId="1213420856">
    <w:abstractNumId w:val="2"/>
  </w:num>
  <w:num w:numId="10" w16cid:durableId="1736590690">
    <w:abstractNumId w:val="0"/>
  </w:num>
  <w:num w:numId="11" w16cid:durableId="2037610563">
    <w:abstractNumId w:val="12"/>
  </w:num>
  <w:num w:numId="12" w16cid:durableId="2088064919">
    <w:abstractNumId w:val="11"/>
  </w:num>
  <w:num w:numId="13" w16cid:durableId="20913455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82A"/>
    <w:rsid w:val="00011C73"/>
    <w:rsid w:val="000120B4"/>
    <w:rsid w:val="00041A2C"/>
    <w:rsid w:val="00056E65"/>
    <w:rsid w:val="00063F6A"/>
    <w:rsid w:val="00075382"/>
    <w:rsid w:val="000A6452"/>
    <w:rsid w:val="000C2A84"/>
    <w:rsid w:val="000E114D"/>
    <w:rsid w:val="000E6C60"/>
    <w:rsid w:val="000F20AC"/>
    <w:rsid w:val="0010704E"/>
    <w:rsid w:val="00115089"/>
    <w:rsid w:val="001410B4"/>
    <w:rsid w:val="00143FAD"/>
    <w:rsid w:val="00162B0C"/>
    <w:rsid w:val="001902D6"/>
    <w:rsid w:val="001C6066"/>
    <w:rsid w:val="001D06D6"/>
    <w:rsid w:val="001F371E"/>
    <w:rsid w:val="00200695"/>
    <w:rsid w:val="00210452"/>
    <w:rsid w:val="00212AB3"/>
    <w:rsid w:val="0021394C"/>
    <w:rsid w:val="002233B4"/>
    <w:rsid w:val="00236601"/>
    <w:rsid w:val="002425F7"/>
    <w:rsid w:val="002617EA"/>
    <w:rsid w:val="00263012"/>
    <w:rsid w:val="00285A47"/>
    <w:rsid w:val="0028620D"/>
    <w:rsid w:val="002C54FE"/>
    <w:rsid w:val="002C79C4"/>
    <w:rsid w:val="002D1994"/>
    <w:rsid w:val="002D3D17"/>
    <w:rsid w:val="002E6C7E"/>
    <w:rsid w:val="002F57D2"/>
    <w:rsid w:val="0030639F"/>
    <w:rsid w:val="00306D5F"/>
    <w:rsid w:val="00320C08"/>
    <w:rsid w:val="0032682A"/>
    <w:rsid w:val="00327526"/>
    <w:rsid w:val="00333781"/>
    <w:rsid w:val="00341183"/>
    <w:rsid w:val="00357507"/>
    <w:rsid w:val="00362436"/>
    <w:rsid w:val="003650C7"/>
    <w:rsid w:val="00367D60"/>
    <w:rsid w:val="0037426C"/>
    <w:rsid w:val="00376A43"/>
    <w:rsid w:val="00383AEB"/>
    <w:rsid w:val="003A02BD"/>
    <w:rsid w:val="003A32A2"/>
    <w:rsid w:val="003F1720"/>
    <w:rsid w:val="003F54E6"/>
    <w:rsid w:val="00434861"/>
    <w:rsid w:val="0043508F"/>
    <w:rsid w:val="00441F71"/>
    <w:rsid w:val="004509E9"/>
    <w:rsid w:val="00453C15"/>
    <w:rsid w:val="00460D57"/>
    <w:rsid w:val="00472908"/>
    <w:rsid w:val="00476F3F"/>
    <w:rsid w:val="00486082"/>
    <w:rsid w:val="0049442D"/>
    <w:rsid w:val="004A2D08"/>
    <w:rsid w:val="004C60DB"/>
    <w:rsid w:val="004E2AA9"/>
    <w:rsid w:val="004E3713"/>
    <w:rsid w:val="004E7496"/>
    <w:rsid w:val="00524938"/>
    <w:rsid w:val="005327F6"/>
    <w:rsid w:val="00532EAC"/>
    <w:rsid w:val="005371CC"/>
    <w:rsid w:val="005406BA"/>
    <w:rsid w:val="00541794"/>
    <w:rsid w:val="00565404"/>
    <w:rsid w:val="00566099"/>
    <w:rsid w:val="00581A60"/>
    <w:rsid w:val="0058571D"/>
    <w:rsid w:val="005867F4"/>
    <w:rsid w:val="005918DB"/>
    <w:rsid w:val="005A2AF7"/>
    <w:rsid w:val="005A2FC6"/>
    <w:rsid w:val="005A5DC9"/>
    <w:rsid w:val="005B0AEE"/>
    <w:rsid w:val="005B104F"/>
    <w:rsid w:val="005B7DBE"/>
    <w:rsid w:val="005C3D3B"/>
    <w:rsid w:val="005D7E19"/>
    <w:rsid w:val="005E701F"/>
    <w:rsid w:val="005F0038"/>
    <w:rsid w:val="006562FB"/>
    <w:rsid w:val="006620E3"/>
    <w:rsid w:val="00681E47"/>
    <w:rsid w:val="00682A63"/>
    <w:rsid w:val="00685DC0"/>
    <w:rsid w:val="006921BA"/>
    <w:rsid w:val="006B1671"/>
    <w:rsid w:val="006B2A19"/>
    <w:rsid w:val="006B73FC"/>
    <w:rsid w:val="006B7C25"/>
    <w:rsid w:val="006C5107"/>
    <w:rsid w:val="006D155C"/>
    <w:rsid w:val="006D2860"/>
    <w:rsid w:val="006F4BCD"/>
    <w:rsid w:val="006F4C55"/>
    <w:rsid w:val="00702356"/>
    <w:rsid w:val="00772E9E"/>
    <w:rsid w:val="007B0983"/>
    <w:rsid w:val="007B3100"/>
    <w:rsid w:val="007C23D2"/>
    <w:rsid w:val="007D6F90"/>
    <w:rsid w:val="007E26FC"/>
    <w:rsid w:val="007F0E85"/>
    <w:rsid w:val="007F4597"/>
    <w:rsid w:val="00811DD0"/>
    <w:rsid w:val="00813BDC"/>
    <w:rsid w:val="00821533"/>
    <w:rsid w:val="0083103C"/>
    <w:rsid w:val="00831EAB"/>
    <w:rsid w:val="00837009"/>
    <w:rsid w:val="00871CC1"/>
    <w:rsid w:val="008727EB"/>
    <w:rsid w:val="00882631"/>
    <w:rsid w:val="00897874"/>
    <w:rsid w:val="008A609C"/>
    <w:rsid w:val="008B543A"/>
    <w:rsid w:val="008C633F"/>
    <w:rsid w:val="008C6A4E"/>
    <w:rsid w:val="008D50EF"/>
    <w:rsid w:val="008E2D88"/>
    <w:rsid w:val="008E5B90"/>
    <w:rsid w:val="008E649F"/>
    <w:rsid w:val="008F2E4B"/>
    <w:rsid w:val="008F3D40"/>
    <w:rsid w:val="008F4118"/>
    <w:rsid w:val="0090152D"/>
    <w:rsid w:val="00911F81"/>
    <w:rsid w:val="009161AF"/>
    <w:rsid w:val="00923010"/>
    <w:rsid w:val="00935C89"/>
    <w:rsid w:val="00951781"/>
    <w:rsid w:val="00952CBB"/>
    <w:rsid w:val="00966D84"/>
    <w:rsid w:val="00970BEF"/>
    <w:rsid w:val="00975F39"/>
    <w:rsid w:val="009C3F1A"/>
    <w:rsid w:val="009D072E"/>
    <w:rsid w:val="009D2FF3"/>
    <w:rsid w:val="009E10BA"/>
    <w:rsid w:val="00A00E9C"/>
    <w:rsid w:val="00A01FAF"/>
    <w:rsid w:val="00A20AC8"/>
    <w:rsid w:val="00A2164B"/>
    <w:rsid w:val="00A36194"/>
    <w:rsid w:val="00A805BF"/>
    <w:rsid w:val="00A81CF2"/>
    <w:rsid w:val="00A84E64"/>
    <w:rsid w:val="00A85D28"/>
    <w:rsid w:val="00A920C3"/>
    <w:rsid w:val="00AA27B0"/>
    <w:rsid w:val="00AA6A03"/>
    <w:rsid w:val="00AF0338"/>
    <w:rsid w:val="00AF503F"/>
    <w:rsid w:val="00B154DF"/>
    <w:rsid w:val="00B17229"/>
    <w:rsid w:val="00B27EA9"/>
    <w:rsid w:val="00B40DEC"/>
    <w:rsid w:val="00B57207"/>
    <w:rsid w:val="00B66F9A"/>
    <w:rsid w:val="00B855E9"/>
    <w:rsid w:val="00B85A04"/>
    <w:rsid w:val="00B932C2"/>
    <w:rsid w:val="00BA6BC3"/>
    <w:rsid w:val="00BB3C8E"/>
    <w:rsid w:val="00C01EBC"/>
    <w:rsid w:val="00C12331"/>
    <w:rsid w:val="00C12A35"/>
    <w:rsid w:val="00C33EF0"/>
    <w:rsid w:val="00C34899"/>
    <w:rsid w:val="00C51015"/>
    <w:rsid w:val="00C64815"/>
    <w:rsid w:val="00CA3B9C"/>
    <w:rsid w:val="00CB0E98"/>
    <w:rsid w:val="00CC6BA9"/>
    <w:rsid w:val="00CE0284"/>
    <w:rsid w:val="00D1432F"/>
    <w:rsid w:val="00D1632E"/>
    <w:rsid w:val="00D168C6"/>
    <w:rsid w:val="00D2007F"/>
    <w:rsid w:val="00D22142"/>
    <w:rsid w:val="00D22BF6"/>
    <w:rsid w:val="00D37A09"/>
    <w:rsid w:val="00D4170C"/>
    <w:rsid w:val="00D43F36"/>
    <w:rsid w:val="00D57167"/>
    <w:rsid w:val="00D80D3A"/>
    <w:rsid w:val="00D82C34"/>
    <w:rsid w:val="00D95D69"/>
    <w:rsid w:val="00D97396"/>
    <w:rsid w:val="00DD0C8F"/>
    <w:rsid w:val="00E04D38"/>
    <w:rsid w:val="00E066D5"/>
    <w:rsid w:val="00E359AD"/>
    <w:rsid w:val="00E36FD1"/>
    <w:rsid w:val="00E41C67"/>
    <w:rsid w:val="00E47F38"/>
    <w:rsid w:val="00E56AEE"/>
    <w:rsid w:val="00E602D6"/>
    <w:rsid w:val="00E71EB3"/>
    <w:rsid w:val="00E80347"/>
    <w:rsid w:val="00E9312F"/>
    <w:rsid w:val="00E95E29"/>
    <w:rsid w:val="00E977D2"/>
    <w:rsid w:val="00EA4350"/>
    <w:rsid w:val="00EA5E9C"/>
    <w:rsid w:val="00EB1FC8"/>
    <w:rsid w:val="00EB39CF"/>
    <w:rsid w:val="00EC48CE"/>
    <w:rsid w:val="00EC776F"/>
    <w:rsid w:val="00ED07E4"/>
    <w:rsid w:val="00ED0F43"/>
    <w:rsid w:val="00ED3691"/>
    <w:rsid w:val="00F01B95"/>
    <w:rsid w:val="00F12764"/>
    <w:rsid w:val="00F1410F"/>
    <w:rsid w:val="00F16566"/>
    <w:rsid w:val="00F2153D"/>
    <w:rsid w:val="00F23DCC"/>
    <w:rsid w:val="00F34E26"/>
    <w:rsid w:val="00F35353"/>
    <w:rsid w:val="00F76FBF"/>
    <w:rsid w:val="00F86D8B"/>
    <w:rsid w:val="00F93732"/>
    <w:rsid w:val="00FA61A6"/>
    <w:rsid w:val="00FB2CE9"/>
    <w:rsid w:val="00FC39BC"/>
    <w:rsid w:val="00FC6C9B"/>
    <w:rsid w:val="00FD036A"/>
    <w:rsid w:val="00FD56C1"/>
    <w:rsid w:val="00FD62FD"/>
    <w:rsid w:val="00FF1114"/>
    <w:rsid w:val="00FF333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08551"/>
  <w15:chartTrackingRefBased/>
  <w15:docId w15:val="{102B96B3-5B00-4632-91E3-CC8790869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03C"/>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2682A"/>
    <w:pPr>
      <w:tabs>
        <w:tab w:val="center" w:pos="4536"/>
        <w:tab w:val="right" w:pos="9072"/>
      </w:tabs>
    </w:pPr>
    <w:rPr>
      <w:rFonts w:asciiTheme="minorHAnsi" w:eastAsiaTheme="minorHAnsi" w:hAnsiTheme="minorHAnsi" w:cstheme="minorBidi"/>
      <w:sz w:val="22"/>
      <w:szCs w:val="22"/>
      <w:lang w:eastAsia="en-US"/>
    </w:rPr>
  </w:style>
  <w:style w:type="character" w:customStyle="1" w:styleId="En-tteCar">
    <w:name w:val="En-tête Car"/>
    <w:basedOn w:val="Policepardfaut"/>
    <w:link w:val="En-tte"/>
    <w:uiPriority w:val="99"/>
    <w:rsid w:val="0032682A"/>
  </w:style>
  <w:style w:type="paragraph" w:styleId="Pieddepage">
    <w:name w:val="footer"/>
    <w:basedOn w:val="Normal"/>
    <w:link w:val="PieddepageCar"/>
    <w:uiPriority w:val="99"/>
    <w:unhideWhenUsed/>
    <w:rsid w:val="0032682A"/>
    <w:pPr>
      <w:tabs>
        <w:tab w:val="center" w:pos="4536"/>
        <w:tab w:val="right" w:pos="9072"/>
      </w:tabs>
    </w:pPr>
    <w:rPr>
      <w:rFonts w:asciiTheme="minorHAnsi" w:eastAsiaTheme="minorHAnsi" w:hAnsiTheme="minorHAnsi" w:cstheme="minorBidi"/>
      <w:sz w:val="22"/>
      <w:szCs w:val="22"/>
      <w:lang w:eastAsia="en-US"/>
    </w:rPr>
  </w:style>
  <w:style w:type="character" w:customStyle="1" w:styleId="PieddepageCar">
    <w:name w:val="Pied de page Car"/>
    <w:basedOn w:val="Policepardfaut"/>
    <w:link w:val="Pieddepage"/>
    <w:uiPriority w:val="99"/>
    <w:rsid w:val="0032682A"/>
  </w:style>
  <w:style w:type="character" w:styleId="Lienhypertexte">
    <w:name w:val="Hyperlink"/>
    <w:rsid w:val="0032682A"/>
    <w:rPr>
      <w:color w:val="0000FF"/>
      <w:u w:val="single"/>
    </w:rPr>
  </w:style>
  <w:style w:type="character" w:customStyle="1" w:styleId="Style2">
    <w:name w:val="Style2"/>
    <w:uiPriority w:val="1"/>
    <w:rsid w:val="0083103C"/>
    <w:rPr>
      <w:rFonts w:ascii="Calibri" w:hAnsi="Calibri"/>
      <w:i w:val="0"/>
      <w:iCs w:val="0"/>
      <w:sz w:val="24"/>
    </w:rPr>
  </w:style>
  <w:style w:type="character" w:customStyle="1" w:styleId="Style3">
    <w:name w:val="Style3"/>
    <w:uiPriority w:val="1"/>
    <w:rsid w:val="0083103C"/>
    <w:rPr>
      <w:rFonts w:ascii="Calibri" w:hAnsi="Calibri"/>
      <w:sz w:val="24"/>
    </w:rPr>
  </w:style>
  <w:style w:type="paragraph" w:styleId="Textedebulles">
    <w:name w:val="Balloon Text"/>
    <w:basedOn w:val="Normal"/>
    <w:link w:val="TextedebullesCar"/>
    <w:uiPriority w:val="99"/>
    <w:semiHidden/>
    <w:unhideWhenUsed/>
    <w:rsid w:val="003742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37426C"/>
    <w:rPr>
      <w:rFonts w:ascii="Segoe UI" w:eastAsia="Times New Roman" w:hAnsi="Segoe UI" w:cs="Segoe UI"/>
      <w:sz w:val="18"/>
      <w:szCs w:val="18"/>
      <w:lang w:val="fr-FR" w:eastAsia="fr-FR"/>
    </w:rPr>
  </w:style>
  <w:style w:type="paragraph" w:styleId="Paragraphedeliste">
    <w:name w:val="List Paragraph"/>
    <w:basedOn w:val="Normal"/>
    <w:uiPriority w:val="34"/>
    <w:qFormat/>
    <w:rsid w:val="003650C7"/>
    <w:pPr>
      <w:ind w:left="720"/>
      <w:contextualSpacing/>
    </w:pPr>
  </w:style>
  <w:style w:type="character" w:styleId="Mentionnonrsolue">
    <w:name w:val="Unresolved Mention"/>
    <w:basedOn w:val="Policepardfaut"/>
    <w:uiPriority w:val="99"/>
    <w:semiHidden/>
    <w:unhideWhenUsed/>
    <w:rsid w:val="00E977D2"/>
    <w:rPr>
      <w:color w:val="605E5C"/>
      <w:shd w:val="clear" w:color="auto" w:fill="E1DFDD"/>
    </w:rPr>
  </w:style>
  <w:style w:type="paragraph" w:customStyle="1" w:styleId="ydp35d42519yiv5321793387msonormal">
    <w:name w:val="ydp35d42519yiv5321793387msonormal"/>
    <w:basedOn w:val="Normal"/>
    <w:rsid w:val="005A2AF7"/>
    <w:pPr>
      <w:spacing w:before="100" w:beforeAutospacing="1" w:after="100" w:afterAutospacing="1"/>
    </w:pPr>
    <w:rPr>
      <w:rFonts w:eastAsiaTheme="minorHAnsi"/>
      <w:lang w:eastAsia="fr-BE"/>
    </w:rPr>
  </w:style>
  <w:style w:type="table" w:styleId="Grilledutableau">
    <w:name w:val="Table Grid"/>
    <w:basedOn w:val="TableauNormal"/>
    <w:uiPriority w:val="39"/>
    <w:rsid w:val="00A36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93741">
      <w:bodyDiv w:val="1"/>
      <w:marLeft w:val="0"/>
      <w:marRight w:val="0"/>
      <w:marTop w:val="0"/>
      <w:marBottom w:val="0"/>
      <w:divBdr>
        <w:top w:val="none" w:sz="0" w:space="0" w:color="auto"/>
        <w:left w:val="none" w:sz="0" w:space="0" w:color="auto"/>
        <w:bottom w:val="none" w:sz="0" w:space="0" w:color="auto"/>
        <w:right w:val="none" w:sz="0" w:space="0" w:color="auto"/>
      </w:divBdr>
      <w:divsChild>
        <w:div w:id="2097706724">
          <w:marLeft w:val="0"/>
          <w:marRight w:val="0"/>
          <w:marTop w:val="0"/>
          <w:marBottom w:val="0"/>
          <w:divBdr>
            <w:top w:val="none" w:sz="0" w:space="0" w:color="auto"/>
            <w:left w:val="none" w:sz="0" w:space="0" w:color="auto"/>
            <w:bottom w:val="none" w:sz="0" w:space="0" w:color="auto"/>
            <w:right w:val="none" w:sz="0" w:space="0" w:color="auto"/>
          </w:divBdr>
        </w:div>
      </w:divsChild>
    </w:div>
    <w:div w:id="375857762">
      <w:bodyDiv w:val="1"/>
      <w:marLeft w:val="0"/>
      <w:marRight w:val="0"/>
      <w:marTop w:val="0"/>
      <w:marBottom w:val="0"/>
      <w:divBdr>
        <w:top w:val="none" w:sz="0" w:space="0" w:color="auto"/>
        <w:left w:val="none" w:sz="0" w:space="0" w:color="auto"/>
        <w:bottom w:val="none" w:sz="0" w:space="0" w:color="auto"/>
        <w:right w:val="none" w:sz="0" w:space="0" w:color="auto"/>
      </w:divBdr>
    </w:div>
    <w:div w:id="607154281">
      <w:bodyDiv w:val="1"/>
      <w:marLeft w:val="0"/>
      <w:marRight w:val="0"/>
      <w:marTop w:val="0"/>
      <w:marBottom w:val="0"/>
      <w:divBdr>
        <w:top w:val="none" w:sz="0" w:space="0" w:color="auto"/>
        <w:left w:val="none" w:sz="0" w:space="0" w:color="auto"/>
        <w:bottom w:val="none" w:sz="0" w:space="0" w:color="auto"/>
        <w:right w:val="none" w:sz="0" w:space="0" w:color="auto"/>
      </w:divBdr>
    </w:div>
    <w:div w:id="742262132">
      <w:bodyDiv w:val="1"/>
      <w:marLeft w:val="0"/>
      <w:marRight w:val="0"/>
      <w:marTop w:val="0"/>
      <w:marBottom w:val="0"/>
      <w:divBdr>
        <w:top w:val="none" w:sz="0" w:space="0" w:color="auto"/>
        <w:left w:val="none" w:sz="0" w:space="0" w:color="auto"/>
        <w:bottom w:val="none" w:sz="0" w:space="0" w:color="auto"/>
        <w:right w:val="none" w:sz="0" w:space="0" w:color="auto"/>
      </w:divBdr>
      <w:divsChild>
        <w:div w:id="1112936364">
          <w:marLeft w:val="0"/>
          <w:marRight w:val="0"/>
          <w:marTop w:val="240"/>
          <w:marBottom w:val="240"/>
          <w:divBdr>
            <w:top w:val="none" w:sz="0" w:space="0" w:color="auto"/>
            <w:left w:val="none" w:sz="0" w:space="0" w:color="auto"/>
            <w:bottom w:val="none" w:sz="0" w:space="0" w:color="auto"/>
            <w:right w:val="none" w:sz="0" w:space="0" w:color="auto"/>
          </w:divBdr>
        </w:div>
        <w:div w:id="1310523650">
          <w:marLeft w:val="0"/>
          <w:marRight w:val="0"/>
          <w:marTop w:val="240"/>
          <w:marBottom w:val="240"/>
          <w:divBdr>
            <w:top w:val="none" w:sz="0" w:space="0" w:color="auto"/>
            <w:left w:val="none" w:sz="0" w:space="0" w:color="auto"/>
            <w:bottom w:val="none" w:sz="0" w:space="0" w:color="auto"/>
            <w:right w:val="none" w:sz="0" w:space="0" w:color="auto"/>
          </w:divBdr>
        </w:div>
        <w:div w:id="771434481">
          <w:marLeft w:val="0"/>
          <w:marRight w:val="0"/>
          <w:marTop w:val="240"/>
          <w:marBottom w:val="240"/>
          <w:divBdr>
            <w:top w:val="none" w:sz="0" w:space="0" w:color="auto"/>
            <w:left w:val="none" w:sz="0" w:space="0" w:color="auto"/>
            <w:bottom w:val="none" w:sz="0" w:space="0" w:color="auto"/>
            <w:right w:val="none" w:sz="0" w:space="0" w:color="auto"/>
          </w:divBdr>
        </w:div>
        <w:div w:id="1670911381">
          <w:marLeft w:val="0"/>
          <w:marRight w:val="0"/>
          <w:marTop w:val="0"/>
          <w:marBottom w:val="0"/>
          <w:divBdr>
            <w:top w:val="none" w:sz="0" w:space="0" w:color="auto"/>
            <w:left w:val="none" w:sz="0" w:space="0" w:color="auto"/>
            <w:bottom w:val="none" w:sz="0" w:space="0" w:color="auto"/>
            <w:right w:val="none" w:sz="0" w:space="0" w:color="auto"/>
          </w:divBdr>
        </w:div>
        <w:div w:id="216012066">
          <w:marLeft w:val="0"/>
          <w:marRight w:val="0"/>
          <w:marTop w:val="0"/>
          <w:marBottom w:val="0"/>
          <w:divBdr>
            <w:top w:val="none" w:sz="0" w:space="0" w:color="auto"/>
            <w:left w:val="none" w:sz="0" w:space="0" w:color="auto"/>
            <w:bottom w:val="none" w:sz="0" w:space="0" w:color="auto"/>
            <w:right w:val="none" w:sz="0" w:space="0" w:color="auto"/>
          </w:divBdr>
        </w:div>
        <w:div w:id="1163858885">
          <w:marLeft w:val="0"/>
          <w:marRight w:val="0"/>
          <w:marTop w:val="0"/>
          <w:marBottom w:val="0"/>
          <w:divBdr>
            <w:top w:val="none" w:sz="0" w:space="0" w:color="auto"/>
            <w:left w:val="none" w:sz="0" w:space="0" w:color="auto"/>
            <w:bottom w:val="none" w:sz="0" w:space="0" w:color="auto"/>
            <w:right w:val="none" w:sz="0" w:space="0" w:color="auto"/>
          </w:divBdr>
        </w:div>
        <w:div w:id="1904488003">
          <w:marLeft w:val="0"/>
          <w:marRight w:val="0"/>
          <w:marTop w:val="0"/>
          <w:marBottom w:val="0"/>
          <w:divBdr>
            <w:top w:val="none" w:sz="0" w:space="0" w:color="auto"/>
            <w:left w:val="none" w:sz="0" w:space="0" w:color="auto"/>
            <w:bottom w:val="none" w:sz="0" w:space="0" w:color="auto"/>
            <w:right w:val="none" w:sz="0" w:space="0" w:color="auto"/>
          </w:divBdr>
        </w:div>
        <w:div w:id="1126774079">
          <w:marLeft w:val="0"/>
          <w:marRight w:val="0"/>
          <w:marTop w:val="0"/>
          <w:marBottom w:val="0"/>
          <w:divBdr>
            <w:top w:val="none" w:sz="0" w:space="0" w:color="auto"/>
            <w:left w:val="none" w:sz="0" w:space="0" w:color="auto"/>
            <w:bottom w:val="none" w:sz="0" w:space="0" w:color="auto"/>
            <w:right w:val="none" w:sz="0" w:space="0" w:color="auto"/>
          </w:divBdr>
        </w:div>
        <w:div w:id="1354186430">
          <w:marLeft w:val="0"/>
          <w:marRight w:val="0"/>
          <w:marTop w:val="0"/>
          <w:marBottom w:val="0"/>
          <w:divBdr>
            <w:top w:val="none" w:sz="0" w:space="0" w:color="auto"/>
            <w:left w:val="none" w:sz="0" w:space="0" w:color="auto"/>
            <w:bottom w:val="none" w:sz="0" w:space="0" w:color="auto"/>
            <w:right w:val="none" w:sz="0" w:space="0" w:color="auto"/>
          </w:divBdr>
        </w:div>
        <w:div w:id="476845710">
          <w:marLeft w:val="0"/>
          <w:marRight w:val="0"/>
          <w:marTop w:val="0"/>
          <w:marBottom w:val="0"/>
          <w:divBdr>
            <w:top w:val="none" w:sz="0" w:space="0" w:color="auto"/>
            <w:left w:val="none" w:sz="0" w:space="0" w:color="auto"/>
            <w:bottom w:val="none" w:sz="0" w:space="0" w:color="auto"/>
            <w:right w:val="none" w:sz="0" w:space="0" w:color="auto"/>
          </w:divBdr>
        </w:div>
        <w:div w:id="1516918943">
          <w:marLeft w:val="0"/>
          <w:marRight w:val="0"/>
          <w:marTop w:val="0"/>
          <w:marBottom w:val="0"/>
          <w:divBdr>
            <w:top w:val="none" w:sz="0" w:space="0" w:color="auto"/>
            <w:left w:val="none" w:sz="0" w:space="0" w:color="auto"/>
            <w:bottom w:val="none" w:sz="0" w:space="0" w:color="auto"/>
            <w:right w:val="none" w:sz="0" w:space="0" w:color="auto"/>
          </w:divBdr>
        </w:div>
        <w:div w:id="1741559297">
          <w:marLeft w:val="0"/>
          <w:marRight w:val="0"/>
          <w:marTop w:val="0"/>
          <w:marBottom w:val="0"/>
          <w:divBdr>
            <w:top w:val="none" w:sz="0" w:space="0" w:color="auto"/>
            <w:left w:val="none" w:sz="0" w:space="0" w:color="auto"/>
            <w:bottom w:val="none" w:sz="0" w:space="0" w:color="auto"/>
            <w:right w:val="none" w:sz="0" w:space="0" w:color="auto"/>
          </w:divBdr>
        </w:div>
      </w:divsChild>
    </w:div>
    <w:div w:id="979462280">
      <w:bodyDiv w:val="1"/>
      <w:marLeft w:val="0"/>
      <w:marRight w:val="0"/>
      <w:marTop w:val="0"/>
      <w:marBottom w:val="0"/>
      <w:divBdr>
        <w:top w:val="none" w:sz="0" w:space="0" w:color="auto"/>
        <w:left w:val="none" w:sz="0" w:space="0" w:color="auto"/>
        <w:bottom w:val="none" w:sz="0" w:space="0" w:color="auto"/>
        <w:right w:val="none" w:sz="0" w:space="0" w:color="auto"/>
      </w:divBdr>
    </w:div>
    <w:div w:id="1197813407">
      <w:bodyDiv w:val="1"/>
      <w:marLeft w:val="0"/>
      <w:marRight w:val="0"/>
      <w:marTop w:val="0"/>
      <w:marBottom w:val="0"/>
      <w:divBdr>
        <w:top w:val="none" w:sz="0" w:space="0" w:color="auto"/>
        <w:left w:val="none" w:sz="0" w:space="0" w:color="auto"/>
        <w:bottom w:val="none" w:sz="0" w:space="0" w:color="auto"/>
        <w:right w:val="none" w:sz="0" w:space="0" w:color="auto"/>
      </w:divBdr>
      <w:divsChild>
        <w:div w:id="490684196">
          <w:marLeft w:val="0"/>
          <w:marRight w:val="0"/>
          <w:marTop w:val="0"/>
          <w:marBottom w:val="0"/>
          <w:divBdr>
            <w:top w:val="none" w:sz="0" w:space="0" w:color="auto"/>
            <w:left w:val="none" w:sz="0" w:space="0" w:color="auto"/>
            <w:bottom w:val="none" w:sz="0" w:space="0" w:color="auto"/>
            <w:right w:val="none" w:sz="0" w:space="0" w:color="auto"/>
          </w:divBdr>
        </w:div>
      </w:divsChild>
    </w:div>
    <w:div w:id="1597664467">
      <w:bodyDiv w:val="1"/>
      <w:marLeft w:val="0"/>
      <w:marRight w:val="0"/>
      <w:marTop w:val="0"/>
      <w:marBottom w:val="0"/>
      <w:divBdr>
        <w:top w:val="none" w:sz="0" w:space="0" w:color="auto"/>
        <w:left w:val="none" w:sz="0" w:space="0" w:color="auto"/>
        <w:bottom w:val="none" w:sz="0" w:space="0" w:color="auto"/>
        <w:right w:val="none" w:sz="0" w:space="0" w:color="auto"/>
      </w:divBdr>
    </w:div>
    <w:div w:id="1677726280">
      <w:bodyDiv w:val="1"/>
      <w:marLeft w:val="0"/>
      <w:marRight w:val="0"/>
      <w:marTop w:val="0"/>
      <w:marBottom w:val="0"/>
      <w:divBdr>
        <w:top w:val="none" w:sz="0" w:space="0" w:color="auto"/>
        <w:left w:val="none" w:sz="0" w:space="0" w:color="auto"/>
        <w:bottom w:val="none" w:sz="0" w:space="0" w:color="auto"/>
        <w:right w:val="none" w:sz="0" w:space="0" w:color="auto"/>
      </w:divBdr>
      <w:divsChild>
        <w:div w:id="1747802447">
          <w:marLeft w:val="30"/>
          <w:marRight w:val="30"/>
          <w:marTop w:val="30"/>
          <w:marBottom w:val="30"/>
          <w:divBdr>
            <w:top w:val="none" w:sz="0" w:space="0" w:color="auto"/>
            <w:left w:val="none" w:sz="0" w:space="0" w:color="auto"/>
            <w:bottom w:val="none" w:sz="0" w:space="0" w:color="auto"/>
            <w:right w:val="none" w:sz="0" w:space="0" w:color="auto"/>
          </w:divBdr>
        </w:div>
      </w:divsChild>
    </w:div>
    <w:div w:id="1700861209">
      <w:bodyDiv w:val="1"/>
      <w:marLeft w:val="0"/>
      <w:marRight w:val="0"/>
      <w:marTop w:val="0"/>
      <w:marBottom w:val="0"/>
      <w:divBdr>
        <w:top w:val="none" w:sz="0" w:space="0" w:color="auto"/>
        <w:left w:val="none" w:sz="0" w:space="0" w:color="auto"/>
        <w:bottom w:val="none" w:sz="0" w:space="0" w:color="auto"/>
        <w:right w:val="none" w:sz="0" w:space="0" w:color="auto"/>
      </w:divBdr>
      <w:divsChild>
        <w:div w:id="926420499">
          <w:marLeft w:val="0"/>
          <w:marRight w:val="0"/>
          <w:marTop w:val="0"/>
          <w:marBottom w:val="0"/>
          <w:divBdr>
            <w:top w:val="none" w:sz="0" w:space="0" w:color="auto"/>
            <w:left w:val="none" w:sz="0" w:space="0" w:color="auto"/>
            <w:bottom w:val="none" w:sz="0" w:space="0" w:color="auto"/>
            <w:right w:val="none" w:sz="0" w:space="0" w:color="auto"/>
          </w:divBdr>
        </w:div>
      </w:divsChild>
    </w:div>
    <w:div w:id="1991983105">
      <w:bodyDiv w:val="1"/>
      <w:marLeft w:val="0"/>
      <w:marRight w:val="0"/>
      <w:marTop w:val="0"/>
      <w:marBottom w:val="0"/>
      <w:divBdr>
        <w:top w:val="none" w:sz="0" w:space="0" w:color="auto"/>
        <w:left w:val="none" w:sz="0" w:space="0" w:color="auto"/>
        <w:bottom w:val="none" w:sz="0" w:space="0" w:color="auto"/>
        <w:right w:val="none" w:sz="0" w:space="0" w:color="auto"/>
      </w:divBdr>
      <w:divsChild>
        <w:div w:id="2035838508">
          <w:marLeft w:val="0"/>
          <w:marRight w:val="0"/>
          <w:marTop w:val="240"/>
          <w:marBottom w:val="240"/>
          <w:divBdr>
            <w:top w:val="none" w:sz="0" w:space="0" w:color="auto"/>
            <w:left w:val="none" w:sz="0" w:space="0" w:color="auto"/>
            <w:bottom w:val="none" w:sz="0" w:space="0" w:color="auto"/>
            <w:right w:val="none" w:sz="0" w:space="0" w:color="auto"/>
          </w:divBdr>
        </w:div>
        <w:div w:id="1118377597">
          <w:marLeft w:val="0"/>
          <w:marRight w:val="0"/>
          <w:marTop w:val="240"/>
          <w:marBottom w:val="240"/>
          <w:divBdr>
            <w:top w:val="none" w:sz="0" w:space="0" w:color="auto"/>
            <w:left w:val="none" w:sz="0" w:space="0" w:color="auto"/>
            <w:bottom w:val="none" w:sz="0" w:space="0" w:color="auto"/>
            <w:right w:val="none" w:sz="0" w:space="0" w:color="auto"/>
          </w:divBdr>
        </w:div>
        <w:div w:id="1103188016">
          <w:marLeft w:val="0"/>
          <w:marRight w:val="0"/>
          <w:marTop w:val="240"/>
          <w:marBottom w:val="240"/>
          <w:divBdr>
            <w:top w:val="none" w:sz="0" w:space="0" w:color="auto"/>
            <w:left w:val="none" w:sz="0" w:space="0" w:color="auto"/>
            <w:bottom w:val="none" w:sz="0" w:space="0" w:color="auto"/>
            <w:right w:val="none" w:sz="0" w:space="0" w:color="auto"/>
          </w:divBdr>
        </w:div>
        <w:div w:id="1583027820">
          <w:marLeft w:val="0"/>
          <w:marRight w:val="0"/>
          <w:marTop w:val="0"/>
          <w:marBottom w:val="0"/>
          <w:divBdr>
            <w:top w:val="none" w:sz="0" w:space="0" w:color="auto"/>
            <w:left w:val="none" w:sz="0" w:space="0" w:color="auto"/>
            <w:bottom w:val="none" w:sz="0" w:space="0" w:color="auto"/>
            <w:right w:val="none" w:sz="0" w:space="0" w:color="auto"/>
          </w:divBdr>
        </w:div>
        <w:div w:id="1018698010">
          <w:marLeft w:val="0"/>
          <w:marRight w:val="0"/>
          <w:marTop w:val="0"/>
          <w:marBottom w:val="0"/>
          <w:divBdr>
            <w:top w:val="none" w:sz="0" w:space="0" w:color="auto"/>
            <w:left w:val="none" w:sz="0" w:space="0" w:color="auto"/>
            <w:bottom w:val="none" w:sz="0" w:space="0" w:color="auto"/>
            <w:right w:val="none" w:sz="0" w:space="0" w:color="auto"/>
          </w:divBdr>
        </w:div>
        <w:div w:id="364451549">
          <w:marLeft w:val="0"/>
          <w:marRight w:val="0"/>
          <w:marTop w:val="0"/>
          <w:marBottom w:val="0"/>
          <w:divBdr>
            <w:top w:val="none" w:sz="0" w:space="0" w:color="auto"/>
            <w:left w:val="none" w:sz="0" w:space="0" w:color="auto"/>
            <w:bottom w:val="none" w:sz="0" w:space="0" w:color="auto"/>
            <w:right w:val="none" w:sz="0" w:space="0" w:color="auto"/>
          </w:divBdr>
        </w:div>
        <w:div w:id="843518757">
          <w:marLeft w:val="0"/>
          <w:marRight w:val="0"/>
          <w:marTop w:val="0"/>
          <w:marBottom w:val="0"/>
          <w:divBdr>
            <w:top w:val="none" w:sz="0" w:space="0" w:color="auto"/>
            <w:left w:val="none" w:sz="0" w:space="0" w:color="auto"/>
            <w:bottom w:val="none" w:sz="0" w:space="0" w:color="auto"/>
            <w:right w:val="none" w:sz="0" w:space="0" w:color="auto"/>
          </w:divBdr>
        </w:div>
        <w:div w:id="2051147696">
          <w:marLeft w:val="0"/>
          <w:marRight w:val="0"/>
          <w:marTop w:val="0"/>
          <w:marBottom w:val="0"/>
          <w:divBdr>
            <w:top w:val="none" w:sz="0" w:space="0" w:color="auto"/>
            <w:left w:val="none" w:sz="0" w:space="0" w:color="auto"/>
            <w:bottom w:val="none" w:sz="0" w:space="0" w:color="auto"/>
            <w:right w:val="none" w:sz="0" w:space="0" w:color="auto"/>
          </w:divBdr>
        </w:div>
        <w:div w:id="1816487040">
          <w:marLeft w:val="0"/>
          <w:marRight w:val="0"/>
          <w:marTop w:val="0"/>
          <w:marBottom w:val="0"/>
          <w:divBdr>
            <w:top w:val="none" w:sz="0" w:space="0" w:color="auto"/>
            <w:left w:val="none" w:sz="0" w:space="0" w:color="auto"/>
            <w:bottom w:val="none" w:sz="0" w:space="0" w:color="auto"/>
            <w:right w:val="none" w:sz="0" w:space="0" w:color="auto"/>
          </w:divBdr>
        </w:div>
        <w:div w:id="572546180">
          <w:marLeft w:val="0"/>
          <w:marRight w:val="0"/>
          <w:marTop w:val="0"/>
          <w:marBottom w:val="0"/>
          <w:divBdr>
            <w:top w:val="none" w:sz="0" w:space="0" w:color="auto"/>
            <w:left w:val="none" w:sz="0" w:space="0" w:color="auto"/>
            <w:bottom w:val="none" w:sz="0" w:space="0" w:color="auto"/>
            <w:right w:val="none" w:sz="0" w:space="0" w:color="auto"/>
          </w:divBdr>
        </w:div>
        <w:div w:id="1788620962">
          <w:marLeft w:val="0"/>
          <w:marRight w:val="0"/>
          <w:marTop w:val="0"/>
          <w:marBottom w:val="0"/>
          <w:divBdr>
            <w:top w:val="none" w:sz="0" w:space="0" w:color="auto"/>
            <w:left w:val="none" w:sz="0" w:space="0" w:color="auto"/>
            <w:bottom w:val="none" w:sz="0" w:space="0" w:color="auto"/>
            <w:right w:val="none" w:sz="0" w:space="0" w:color="auto"/>
          </w:divBdr>
        </w:div>
        <w:div w:id="1350595235">
          <w:marLeft w:val="0"/>
          <w:marRight w:val="0"/>
          <w:marTop w:val="0"/>
          <w:marBottom w:val="0"/>
          <w:divBdr>
            <w:top w:val="none" w:sz="0" w:space="0" w:color="auto"/>
            <w:left w:val="none" w:sz="0" w:space="0" w:color="auto"/>
            <w:bottom w:val="none" w:sz="0" w:space="0" w:color="auto"/>
            <w:right w:val="none" w:sz="0" w:space="0" w:color="auto"/>
          </w:divBdr>
        </w:div>
      </w:divsChild>
    </w:div>
    <w:div w:id="2086340107">
      <w:bodyDiv w:val="1"/>
      <w:marLeft w:val="0"/>
      <w:marRight w:val="0"/>
      <w:marTop w:val="0"/>
      <w:marBottom w:val="0"/>
      <w:divBdr>
        <w:top w:val="none" w:sz="0" w:space="0" w:color="auto"/>
        <w:left w:val="none" w:sz="0" w:space="0" w:color="auto"/>
        <w:bottom w:val="none" w:sz="0" w:space="0" w:color="auto"/>
        <w:right w:val="none" w:sz="0" w:space="0" w:color="auto"/>
      </w:divBdr>
      <w:divsChild>
        <w:div w:id="1686863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spa.b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toll.b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aluchon-alzheimer.be/" TargetMode="External"/><Relationship Id="rId5" Type="http://schemas.openxmlformats.org/officeDocument/2006/relationships/numbering" Target="numbering.xml"/><Relationship Id="rId15" Type="http://schemas.openxmlformats.org/officeDocument/2006/relationships/hyperlink" Target="https://spaf.be/services/garde-a-domicile-alzheimer/"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kbs-frb.be/fr/osez-le-dialogue-le-projet-de-soins-personnalise-et-anticip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info@aalz.be" TargetMode="External"/><Relationship Id="rId1" Type="http://schemas.openxmlformats.org/officeDocument/2006/relationships/hyperlink" Target="http://www.aalz.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42e65b2-cf21-49c1-b27d-d23f90380c0e">
      <Terms xmlns="http://schemas.microsoft.com/office/infopath/2007/PartnerControls"/>
    </lcf76f155ced4ddcb4097134ff3c332f>
    <TaxCatchAll xmlns="985ec44e-1bab-4c0b-9df0-6ba128686fc9" xsi:nil="true"/>
    <AIcounter xmlns="d42e65b2-cf21-49c1-b27d-d23f90380c0e">0</AIcounter>
    <Category xmlns="d42e65b2-cf21-49c1-b27d-d23f90380c0e">CSOs</Category>
    <Filename xmlns="d42e65b2-cf21-49c1-b27d-d23f90380c0e" xsi:nil="true"/>
    <FilePreview xmlns="d42e65b2-cf21-49c1-b27d-d23f90380c0e" xsi:nil="true"/>
    <Doctype xmlns="d42e65b2-cf21-49c1-b27d-d23f90380c0e">input</Doctype>
    <Contributor xmlns="d42e65b2-cf21-49c1-b27d-d23f90380c0e">Alzheimer Belgique Association</Contributor>
    <Status xmlns="d42e65b2-cf21-49c1-b27d-d23f90380c0e">Ready to publish</Status>
    <AItagger xmlns="d42e65b2-cf21-49c1-b27d-d23f90380c0e">false</AItagger>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7CFBB6-D75E-4BCC-98E2-937FEBD5BA05}">
  <ds:schemaRefs>
    <ds:schemaRef ds:uri="http://schemas.openxmlformats.org/officeDocument/2006/bibliography"/>
  </ds:schemaRefs>
</ds:datastoreItem>
</file>

<file path=customXml/itemProps2.xml><?xml version="1.0" encoding="utf-8"?>
<ds:datastoreItem xmlns:ds="http://schemas.openxmlformats.org/officeDocument/2006/customXml" ds:itemID="{76F32027-589F-49C6-BDDC-DDEC5AB2A774}">
  <ds:schemaRefs>
    <ds:schemaRef ds:uri="http://schemas.microsoft.com/sharepoint/v3/contenttype/forms"/>
  </ds:schemaRefs>
</ds:datastoreItem>
</file>

<file path=customXml/itemProps3.xml><?xml version="1.0" encoding="utf-8"?>
<ds:datastoreItem xmlns:ds="http://schemas.openxmlformats.org/officeDocument/2006/customXml" ds:itemID="{1E564B8D-9FA3-4EB5-AC07-21C7DCD09BC7}">
  <ds:schemaRefs>
    <ds:schemaRef ds:uri="http://schemas.microsoft.com/office/2006/metadata/properties"/>
    <ds:schemaRef ds:uri="http://schemas.microsoft.com/office/infopath/2007/PartnerControls"/>
    <ds:schemaRef ds:uri="601ad288-a230-4b68-a79f-03c4049bcb56"/>
    <ds:schemaRef ds:uri="a2e78184-3b8e-4bc6-9344-e3fd86d0c013"/>
  </ds:schemaRefs>
</ds:datastoreItem>
</file>

<file path=customXml/itemProps4.xml><?xml version="1.0" encoding="utf-8"?>
<ds:datastoreItem xmlns:ds="http://schemas.openxmlformats.org/officeDocument/2006/customXml" ds:itemID="{6771A8B8-FB66-49DB-B8E3-120E743F2E36}"/>
</file>

<file path=docProps/app.xml><?xml version="1.0" encoding="utf-8"?>
<Properties xmlns="http://schemas.openxmlformats.org/officeDocument/2006/extended-properties" xmlns:vt="http://schemas.openxmlformats.org/officeDocument/2006/docPropsVTypes">
  <Template>Normal</Template>
  <TotalTime>315</TotalTime>
  <Pages>5</Pages>
  <Words>2445</Words>
  <Characters>13452</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Alzheimer Belgique</Company>
  <LinksUpToDate>false</LinksUpToDate>
  <CharactersWithSpaces>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De Messter</dc:creator>
  <cp:keywords/>
  <dc:description/>
  <cp:lastModifiedBy>Marie Bourcy</cp:lastModifiedBy>
  <cp:revision>94</cp:revision>
  <cp:lastPrinted>2026-07-06T11:32:00Z</cp:lastPrinted>
  <dcterms:created xsi:type="dcterms:W3CDTF">2018-10-12T10:57:00Z</dcterms:created>
  <dcterms:modified xsi:type="dcterms:W3CDTF">2026-07-06T11:47:00Z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