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D92D" w14:textId="4F039286" w:rsidR="00546824" w:rsidRDefault="00125B95">
      <w:r>
        <w:t xml:space="preserve">17 </w:t>
      </w:r>
      <w:r w:rsidR="0059053C">
        <w:t>June 2026</w:t>
      </w:r>
    </w:p>
    <w:p w14:paraId="747CF7EC" w14:textId="77777777" w:rsidR="0059053C" w:rsidRPr="0059053C" w:rsidRDefault="0059053C" w:rsidP="0059053C">
      <w:pPr>
        <w:spacing w:after="0"/>
      </w:pPr>
      <w:r w:rsidRPr="0059053C">
        <w:t>Independent Expert on the enjoyment of all human rights by older persons</w:t>
      </w:r>
    </w:p>
    <w:p w14:paraId="3E4058BB" w14:textId="79400873" w:rsidR="00797D13" w:rsidRDefault="00797D13" w:rsidP="0059053C">
      <w:pPr>
        <w:spacing w:after="0"/>
      </w:pPr>
    </w:p>
    <w:p w14:paraId="7FF7D269" w14:textId="51402021" w:rsidR="0059053C" w:rsidRDefault="0059053C">
      <w:r>
        <w:t xml:space="preserve">Submitted by email: </w:t>
      </w:r>
      <w:hyperlink r:id="rId12" w:history="1">
        <w:r w:rsidRPr="0059053C">
          <w:rPr>
            <w:rStyle w:val="Hyperlink"/>
          </w:rPr>
          <w:t>hrc-ie-olderpersons@un.org</w:t>
        </w:r>
      </w:hyperlink>
    </w:p>
    <w:p w14:paraId="28CCADD3" w14:textId="77777777" w:rsidR="00EE3C94" w:rsidRPr="00EE3C94" w:rsidRDefault="0059053C" w:rsidP="00EE3C94">
      <w:pPr>
        <w:pStyle w:val="Heading1"/>
      </w:pPr>
      <w:r w:rsidRPr="0059053C">
        <w:t>Submission to I</w:t>
      </w:r>
      <w:r w:rsidR="003F470D">
        <w:t xml:space="preserve">ndependent </w:t>
      </w:r>
      <w:r w:rsidRPr="0059053C">
        <w:t>E</w:t>
      </w:r>
      <w:r w:rsidR="003F470D">
        <w:t>xpert’s</w:t>
      </w:r>
      <w:r w:rsidRPr="0059053C">
        <w:t xml:space="preserve"> call for inputs – 2026 </w:t>
      </w:r>
      <w:r w:rsidR="00EE3C94">
        <w:t>HRC</w:t>
      </w:r>
      <w:r w:rsidRPr="0059053C">
        <w:t xml:space="preserve"> report</w:t>
      </w:r>
      <w:r>
        <w:t xml:space="preserve">: </w:t>
      </w:r>
      <w:r w:rsidR="00EE3C94" w:rsidRPr="00EE3C94">
        <w:t>Autonomy, participation and human dignity of older persons with cognitive impairment</w:t>
      </w:r>
    </w:p>
    <w:p w14:paraId="6A0BA808" w14:textId="6DB42351" w:rsidR="003F6E39" w:rsidRDefault="004A3F73">
      <w:r>
        <w:t xml:space="preserve">Thank you for the opportunity to provide input on autonomy, dignity and human </w:t>
      </w:r>
      <w:r w:rsidR="003F6E39">
        <w:t>dignity of older persons with cognitive impairment</w:t>
      </w:r>
      <w:r>
        <w:t>.</w:t>
      </w:r>
      <w:r w:rsidR="007865B2">
        <w:t xml:space="preserve">  </w:t>
      </w:r>
      <w:r w:rsidR="003F6E39">
        <w:t xml:space="preserve">This submission should be read with our input responding to your inquiry into </w:t>
      </w:r>
      <w:r w:rsidR="003F6E39" w:rsidRPr="003F6E39">
        <w:rPr>
          <w:b/>
          <w:bCs/>
        </w:rPr>
        <w:t>Autonomy, dignity &amp; human rights in situations of dependency in older age</w:t>
      </w:r>
      <w:r w:rsidR="003F6E39">
        <w:rPr>
          <w:b/>
          <w:bCs/>
        </w:rPr>
        <w:t>,</w:t>
      </w:r>
      <w:r w:rsidR="003F6E39" w:rsidRPr="003F6E39">
        <w:t xml:space="preserve"> and the submissions referred to in that document</w:t>
      </w:r>
      <w:r w:rsidR="003F6E39">
        <w:t xml:space="preserve">.  While our </w:t>
      </w:r>
      <w:r w:rsidR="00020583">
        <w:t xml:space="preserve">responses to the illustrative questions, </w:t>
      </w:r>
      <w:r w:rsidR="003F6E39">
        <w:t>observations and recommendations in that submission also apply to older persons living with cognitive impairment, this submission focuses on issues that disproportionately affect those persons</w:t>
      </w:r>
      <w:r w:rsidR="00020583">
        <w:t xml:space="preserve">.  While guided by the questions on the inquiry homepage, we have chosen to highlight </w:t>
      </w:r>
      <w:proofErr w:type="gramStart"/>
      <w:r w:rsidR="00020583">
        <w:t>particular issues</w:t>
      </w:r>
      <w:proofErr w:type="gramEnd"/>
      <w:r w:rsidR="00020583">
        <w:t xml:space="preserve">, rather than to respond to those questions </w:t>
      </w:r>
      <w:r w:rsidR="007666D4" w:rsidRPr="007666D4">
        <w:rPr>
          <w:i/>
          <w:iCs/>
        </w:rPr>
        <w:t xml:space="preserve">ad </w:t>
      </w:r>
      <w:r w:rsidR="00020583" w:rsidRPr="007666D4">
        <w:rPr>
          <w:i/>
          <w:iCs/>
        </w:rPr>
        <w:t>seriatum</w:t>
      </w:r>
      <w:r w:rsidR="00020583">
        <w:t xml:space="preserve">. </w:t>
      </w:r>
    </w:p>
    <w:p w14:paraId="32E261A9" w14:textId="77777777" w:rsidR="009F6375" w:rsidRDefault="009F6375" w:rsidP="009F6375">
      <w:pPr>
        <w:pStyle w:val="Heading2"/>
      </w:pPr>
      <w:r w:rsidRPr="0035206B">
        <w:t xml:space="preserve">The work of Relationships Australia </w:t>
      </w:r>
    </w:p>
    <w:p w14:paraId="31C95E9F" w14:textId="4BE38D56" w:rsidR="009F6375" w:rsidRDefault="009F6375" w:rsidP="00CF0F34">
      <w:pPr>
        <w:spacing w:after="0"/>
      </w:pPr>
      <w:r w:rsidRPr="0035206B">
        <w:t xml:space="preserve">Relationships Australia is a federation of community-based, not-for-profit organisations with no religious affiliations. Our services are for all members of the community, regardless of religious belief, age, gender, sexual orientation, lifestyle choice, cultural background or economic circumstances. </w:t>
      </w:r>
      <w:r>
        <w:t xml:space="preserve">For over 75 years, </w:t>
      </w:r>
      <w:r w:rsidRPr="0035206B">
        <w:t xml:space="preserve">Relationships Australia </w:t>
      </w:r>
      <w:r>
        <w:t xml:space="preserve">has </w:t>
      </w:r>
      <w:r w:rsidRPr="0035206B">
        <w:t>provide</w:t>
      </w:r>
      <w:r>
        <w:t>d</w:t>
      </w:r>
      <w:r w:rsidRPr="0035206B">
        <w:t xml:space="preserve"> services including counselling, dispute resolution, </w:t>
      </w:r>
      <w:r w:rsidR="001A16CA" w:rsidRPr="0035206B">
        <w:t>services for older people</w:t>
      </w:r>
      <w:r w:rsidR="001A16CA">
        <w:t xml:space="preserve">, </w:t>
      </w:r>
      <w:r w:rsidRPr="0035206B">
        <w:t>children’s services, services for victims and perpetrators of family violence</w:t>
      </w:r>
      <w:r w:rsidR="001A16CA">
        <w:t xml:space="preserve"> and institutional abuse</w:t>
      </w:r>
      <w:r w:rsidRPr="0035206B">
        <w:t xml:space="preserve">, and relationship and professional education. We aim to support all </w:t>
      </w:r>
      <w:r w:rsidRPr="002822CA">
        <w:t xml:space="preserve">people in Australia to </w:t>
      </w:r>
      <w:r w:rsidR="001A16CA" w:rsidRPr="002822CA">
        <w:t>thrive in</w:t>
      </w:r>
      <w:r w:rsidRPr="002822CA">
        <w:t xml:space="preserve"> positive and respectful </w:t>
      </w:r>
      <w:proofErr w:type="gramStart"/>
      <w:r w:rsidRPr="002822CA">
        <w:t>relationships, and</w:t>
      </w:r>
      <w:proofErr w:type="gramEnd"/>
      <w:r w:rsidRPr="002822CA">
        <w:t xml:space="preserve"> believe that people have the capacity to change how they relate</w:t>
      </w:r>
      <w:r w:rsidRPr="0035206B">
        <w:t xml:space="preserve"> to others.</w:t>
      </w:r>
      <w:r w:rsidR="00CF0F34">
        <w:t xml:space="preserve"> </w:t>
      </w:r>
      <w:r w:rsidRPr="00E4203D">
        <w:t>This submission draws upon:</w:t>
      </w:r>
    </w:p>
    <w:p w14:paraId="153FC584" w14:textId="5E104E93" w:rsidR="009F6375" w:rsidRDefault="009F6375" w:rsidP="009F6375">
      <w:pPr>
        <w:pStyle w:val="ListParagraph"/>
        <w:numPr>
          <w:ilvl w:val="0"/>
          <w:numId w:val="3"/>
        </w:numPr>
      </w:pPr>
      <w:r w:rsidRPr="00E4203D">
        <w:t xml:space="preserve">our lengthy experience in </w:t>
      </w:r>
      <w:r w:rsidR="009748B7">
        <w:t xml:space="preserve">service </w:t>
      </w:r>
      <w:r w:rsidRPr="00E4203D">
        <w:t>deliver</w:t>
      </w:r>
      <w:r w:rsidR="009748B7">
        <w:t>y</w:t>
      </w:r>
    </w:p>
    <w:p w14:paraId="4A8924EE" w14:textId="77777777" w:rsidR="009F6375" w:rsidRDefault="009F6375" w:rsidP="009F6375">
      <w:pPr>
        <w:pStyle w:val="ListParagraph"/>
        <w:numPr>
          <w:ilvl w:val="0"/>
          <w:numId w:val="3"/>
        </w:numPr>
      </w:pPr>
      <w:r w:rsidRPr="00E4203D">
        <w:t>evidence-based programs and research, and</w:t>
      </w:r>
    </w:p>
    <w:p w14:paraId="5045D13D" w14:textId="1F584431" w:rsidR="0043442B" w:rsidRDefault="009F6375" w:rsidP="0043442B">
      <w:pPr>
        <w:pStyle w:val="ListParagraph"/>
        <w:numPr>
          <w:ilvl w:val="0"/>
          <w:numId w:val="3"/>
        </w:numPr>
      </w:pPr>
      <w:r w:rsidRPr="00E4203D">
        <w:t>our leadership and policy development experience.</w:t>
      </w:r>
    </w:p>
    <w:p w14:paraId="4DEBD0CE" w14:textId="77777777" w:rsidR="001A16CA" w:rsidRDefault="0043442B" w:rsidP="009A3451">
      <w:pPr>
        <w:keepNext/>
      </w:pPr>
      <w:r w:rsidRPr="0043442B">
        <w:t>Relationships Australia is a member organisation of</w:t>
      </w:r>
      <w:r w:rsidR="001A16CA">
        <w:t>:</w:t>
      </w:r>
    </w:p>
    <w:p w14:paraId="333CCBDE" w14:textId="77777777" w:rsidR="001A16CA" w:rsidRDefault="0043442B" w:rsidP="001A16CA">
      <w:pPr>
        <w:pStyle w:val="ListParagraph"/>
        <w:numPr>
          <w:ilvl w:val="0"/>
          <w:numId w:val="15"/>
        </w:numPr>
      </w:pPr>
      <w:r w:rsidRPr="0043442B">
        <w:t>the Rights of Older Persons Alliance Australia</w:t>
      </w:r>
      <w:r>
        <w:rPr>
          <w:rStyle w:val="FootnoteReference"/>
        </w:rPr>
        <w:footnoteReference w:id="1"/>
      </w:r>
      <w:r w:rsidRPr="0043442B">
        <w:t xml:space="preserve"> </w:t>
      </w:r>
    </w:p>
    <w:p w14:paraId="2E686BA8" w14:textId="77777777" w:rsidR="001A16CA" w:rsidRDefault="0043442B" w:rsidP="001A16CA">
      <w:pPr>
        <w:pStyle w:val="ListParagraph"/>
        <w:numPr>
          <w:ilvl w:val="0"/>
          <w:numId w:val="15"/>
        </w:numPr>
      </w:pPr>
      <w:r w:rsidRPr="0043442B">
        <w:t>EveryAGE Counts</w:t>
      </w:r>
      <w:r>
        <w:rPr>
          <w:rStyle w:val="FootnoteReference"/>
        </w:rPr>
        <w:footnoteReference w:id="2"/>
      </w:r>
    </w:p>
    <w:p w14:paraId="292878FB" w14:textId="77777777" w:rsidR="001A16CA" w:rsidRDefault="001A16CA" w:rsidP="001A16CA">
      <w:pPr>
        <w:pStyle w:val="ListParagraph"/>
        <w:numPr>
          <w:ilvl w:val="0"/>
          <w:numId w:val="15"/>
        </w:numPr>
      </w:pPr>
      <w:r>
        <w:t>E</w:t>
      </w:r>
      <w:r w:rsidR="0043442B" w:rsidRPr="0043442B">
        <w:t>lder Abuse Action Australia,</w:t>
      </w:r>
      <w:r w:rsidR="0043442B">
        <w:rPr>
          <w:rStyle w:val="FootnoteReference"/>
        </w:rPr>
        <w:footnoteReference w:id="3"/>
      </w:r>
      <w:r w:rsidR="0043442B" w:rsidRPr="0043442B">
        <w:t xml:space="preserve"> </w:t>
      </w:r>
      <w:r>
        <w:t>and</w:t>
      </w:r>
      <w:r w:rsidR="0043442B" w:rsidRPr="0043442B">
        <w:t xml:space="preserve"> </w:t>
      </w:r>
    </w:p>
    <w:p w14:paraId="702939F1" w14:textId="75E68FD3" w:rsidR="0043442B" w:rsidRDefault="0043442B" w:rsidP="001A16CA">
      <w:pPr>
        <w:pStyle w:val="ListParagraph"/>
        <w:numPr>
          <w:ilvl w:val="0"/>
          <w:numId w:val="15"/>
        </w:numPr>
      </w:pPr>
      <w:r w:rsidRPr="0043442B">
        <w:lastRenderedPageBreak/>
        <w:t>the Our Human Rights as We Age Network auspiced by the Australian Human Rights Commission</w:t>
      </w:r>
      <w:r>
        <w:t>.</w:t>
      </w:r>
    </w:p>
    <w:p w14:paraId="75EE4572" w14:textId="29C85DC3" w:rsidR="00544AF0" w:rsidRDefault="00B02C42" w:rsidP="00544AF0">
      <w:pPr>
        <w:pStyle w:val="Heading2"/>
      </w:pPr>
      <w:r>
        <w:t xml:space="preserve">Input in addition to observations in submission on </w:t>
      </w:r>
      <w:r w:rsidRPr="00B02C42">
        <w:rPr>
          <w:i/>
          <w:iCs/>
        </w:rPr>
        <w:t>Autonomy, dignity &amp; human rights in situations of dependency in older age</w:t>
      </w:r>
    </w:p>
    <w:p w14:paraId="458368B1" w14:textId="6519C8F5" w:rsidR="00B061F3" w:rsidRDefault="00B061F3" w:rsidP="00B061F3">
      <w:pPr>
        <w:pStyle w:val="Heading3"/>
      </w:pPr>
      <w:r>
        <w:t>Substitute decision-making</w:t>
      </w:r>
      <w:r w:rsidR="00E840BB">
        <w:t xml:space="preserve"> </w:t>
      </w:r>
      <w:r w:rsidR="00F208AB">
        <w:t>remain</w:t>
      </w:r>
      <w:r w:rsidR="00E840BB">
        <w:t>s the default</w:t>
      </w:r>
    </w:p>
    <w:p w14:paraId="77AED00D" w14:textId="77777777" w:rsidR="007314A4" w:rsidRDefault="003A5EBE" w:rsidP="00B061F3">
      <w:r>
        <w:t>Australian law reform bodie</w:t>
      </w:r>
      <w:r w:rsidR="00B05A30">
        <w:t>s and</w:t>
      </w:r>
      <w:r>
        <w:t xml:space="preserve"> Royal Commissions</w:t>
      </w:r>
      <w:r w:rsidR="00B05A30">
        <w:t xml:space="preserve"> </w:t>
      </w:r>
      <w:r w:rsidR="007314A4">
        <w:t xml:space="preserve">have </w:t>
      </w:r>
      <w:r>
        <w:t xml:space="preserve">consistently, and over decades, </w:t>
      </w:r>
      <w:r w:rsidR="00B05A30">
        <w:t>recommended</w:t>
      </w:r>
      <w:r>
        <w:t xml:space="preserve"> that substitute decision-making should be a last resort only, because of its potential to violate human rights and inability to accommodate the non-linear and non-binary concept of decision-making capacity.</w:t>
      </w:r>
      <w:r>
        <w:rPr>
          <w:rStyle w:val="FootnoteReference"/>
        </w:rPr>
        <w:footnoteReference w:id="4"/>
      </w:r>
      <w:r>
        <w:t xml:space="preserve"> </w:t>
      </w:r>
      <w:r w:rsidR="00811E02">
        <w:t>Australian governments have received</w:t>
      </w:r>
      <w:r>
        <w:t xml:space="preserve"> </w:t>
      </w:r>
      <w:r w:rsidR="007314A4">
        <w:t xml:space="preserve">a wealth of </w:t>
      </w:r>
      <w:r>
        <w:t>actionable recommendations to operationalise supported decision-making</w:t>
      </w:r>
      <w:r w:rsidR="00811E02">
        <w:t xml:space="preserve"> </w:t>
      </w:r>
      <w:r w:rsidR="003C4C9E">
        <w:t xml:space="preserve">to better support the human rights of people with </w:t>
      </w:r>
      <w:r w:rsidR="00161CF4">
        <w:t>cognitive impairment</w:t>
      </w:r>
      <w:r>
        <w:t>.  The</w:t>
      </w:r>
      <w:r w:rsidR="00B05A30">
        <w:t>se have not been acted upon, allowing</w:t>
      </w:r>
      <w:r>
        <w:t xml:space="preserve"> ongoing human rights violations.</w:t>
      </w:r>
      <w:r w:rsidR="00CA5F44">
        <w:t xml:space="preserve">  </w:t>
      </w:r>
    </w:p>
    <w:p w14:paraId="6A7CFBFB" w14:textId="167767BB" w:rsidR="00127262" w:rsidRDefault="00CA5F44" w:rsidP="00B061F3">
      <w:r>
        <w:t xml:space="preserve">For </w:t>
      </w:r>
      <w:r w:rsidR="006B2289">
        <w:t xml:space="preserve">example, across </w:t>
      </w:r>
      <w:r w:rsidR="001B4616">
        <w:t>nearly 20 years</w:t>
      </w:r>
      <w:r w:rsidR="00B05A30">
        <w:t>,</w:t>
      </w:r>
      <w:r w:rsidR="001B4616">
        <w:t xml:space="preserve"> </w:t>
      </w:r>
      <w:r w:rsidR="00B05A30">
        <w:t>inquiries have recommended harmonisation of geographically</w:t>
      </w:r>
      <w:r w:rsidR="00B05A30">
        <w:noBreakHyphen/>
        <w:t>fragmented laws</w:t>
      </w:r>
      <w:r w:rsidR="001B4616">
        <w:t xml:space="preserve"> about enduring powers of attorney and advance health car</w:t>
      </w:r>
      <w:r w:rsidR="00B05A30">
        <w:t>e, and establishment of</w:t>
      </w:r>
      <w:r w:rsidR="001B4616">
        <w:t xml:space="preserve"> a national, publicly</w:t>
      </w:r>
      <w:r w:rsidR="001B4616">
        <w:noBreakHyphen/>
      </w:r>
      <w:r w:rsidR="00B05A30">
        <w:t>searcha</w:t>
      </w:r>
      <w:r w:rsidR="001B4616">
        <w:t>ble register.</w:t>
      </w:r>
      <w:r w:rsidR="001B4616">
        <w:rPr>
          <w:rStyle w:val="FootnoteReference"/>
        </w:rPr>
        <w:footnoteReference w:id="5"/>
      </w:r>
      <w:r w:rsidR="00C34F83">
        <w:t xml:space="preserve">  </w:t>
      </w:r>
      <w:r w:rsidR="00B05A30">
        <w:t>Yet d</w:t>
      </w:r>
      <w:r w:rsidR="00C34F83">
        <w:t xml:space="preserve">espite a complete absence of opposition to these recommendations, they have </w:t>
      </w:r>
      <w:r w:rsidR="00B05A30">
        <w:t>stagnated</w:t>
      </w:r>
      <w:r w:rsidR="00C34F83">
        <w:t xml:space="preserve">.  </w:t>
      </w:r>
      <w:r w:rsidR="006077FB">
        <w:t>T</w:t>
      </w:r>
      <w:r w:rsidR="00C34F83">
        <w:t>he laws are being exploited to perpetrate abuse of older people who depend on others to manage their affairs from them, and the potential of well-regulated instruments to provide protection against abuse remains unrealised.</w:t>
      </w:r>
      <w:r w:rsidR="00B05A30">
        <w:t xml:space="preserve">  </w:t>
      </w:r>
    </w:p>
    <w:p w14:paraId="39245980" w14:textId="02A19665" w:rsidR="003976DA" w:rsidRDefault="003976DA" w:rsidP="003976DA">
      <w:pPr>
        <w:tabs>
          <w:tab w:val="num" w:pos="142"/>
        </w:tabs>
        <w:spacing w:after="0"/>
      </w:pPr>
      <w:r>
        <w:t>While supported decision-making remains the default, and Australian laws about advance planning instruments t</w:t>
      </w:r>
      <w:r w:rsidR="00321627">
        <w:t>hat</w:t>
      </w:r>
      <w:r>
        <w:t xml:space="preserve"> enable s</w:t>
      </w:r>
      <w:r w:rsidR="00321627">
        <w:t>upported</w:t>
      </w:r>
      <w:r>
        <w:t xml:space="preserve"> decision-making </w:t>
      </w:r>
      <w:proofErr w:type="gramStart"/>
      <w:r>
        <w:t>remain</w:t>
      </w:r>
      <w:proofErr w:type="gramEnd"/>
      <w:r>
        <w:t xml:space="preserve"> fragmented and inconsistent, caregivers and family members are left ill-equipped to provide human rights</w:t>
      </w:r>
      <w:r w:rsidR="00572D33">
        <w:noBreakHyphen/>
      </w:r>
      <w:r>
        <w:t>centred care.  While acting in good faith and out of love, inadvertent human rights violations arise from factors including lack of knowledge and understanding about:</w:t>
      </w:r>
    </w:p>
    <w:p w14:paraId="428A46DC" w14:textId="1785187C" w:rsidR="003976DA" w:rsidRDefault="003976DA" w:rsidP="003976DA">
      <w:pPr>
        <w:pStyle w:val="ListParagraph"/>
        <w:numPr>
          <w:ilvl w:val="0"/>
          <w:numId w:val="17"/>
        </w:numPr>
        <w:tabs>
          <w:tab w:val="num" w:pos="142"/>
        </w:tabs>
      </w:pPr>
      <w:r>
        <w:t>s</w:t>
      </w:r>
      <w:r w:rsidR="00A411F9">
        <w:t>upporte</w:t>
      </w:r>
      <w:r>
        <w:t>d decision-making, and the differences from substitute decision-making</w:t>
      </w:r>
    </w:p>
    <w:p w14:paraId="4DCD4B13" w14:textId="77777777" w:rsidR="003976DA" w:rsidRDefault="003976DA" w:rsidP="003976DA">
      <w:pPr>
        <w:pStyle w:val="ListParagraph"/>
        <w:numPr>
          <w:ilvl w:val="0"/>
          <w:numId w:val="17"/>
        </w:numPr>
        <w:tabs>
          <w:tab w:val="num" w:pos="142"/>
        </w:tabs>
      </w:pPr>
      <w:r>
        <w:t>the importance of respecting the will and preference of their loved one, and</w:t>
      </w:r>
    </w:p>
    <w:p w14:paraId="57C5F9FB" w14:textId="77777777" w:rsidR="003976DA" w:rsidRDefault="003976DA" w:rsidP="003976DA">
      <w:pPr>
        <w:pStyle w:val="ListParagraph"/>
        <w:numPr>
          <w:ilvl w:val="0"/>
          <w:numId w:val="17"/>
        </w:numPr>
        <w:tabs>
          <w:tab w:val="num" w:pos="142"/>
        </w:tabs>
      </w:pPr>
      <w:r>
        <w:t>dignity of risk.</w:t>
      </w:r>
    </w:p>
    <w:p w14:paraId="70298ECC" w14:textId="77777777" w:rsidR="008C7591" w:rsidRDefault="008C7591" w:rsidP="008C7591">
      <w:pPr>
        <w:tabs>
          <w:tab w:val="num" w:pos="142"/>
        </w:tabs>
      </w:pPr>
      <w:r>
        <w:t>Relationships Australia has made submissions to the Australian Government about how to better support the informal caregivers whose unnamed and unremunerated labour props up the health, aged care and disability sectors.</w:t>
      </w:r>
      <w:r>
        <w:rPr>
          <w:rStyle w:val="FootnoteReference"/>
        </w:rPr>
        <w:footnoteReference w:id="6"/>
      </w:r>
    </w:p>
    <w:p w14:paraId="73C475BE" w14:textId="4AB7B263" w:rsidR="00B061F3" w:rsidRDefault="00085B23" w:rsidP="00B061F3">
      <w:r>
        <w:lastRenderedPageBreak/>
        <w:t>Similarly</w:t>
      </w:r>
      <w:r w:rsidR="00B05A30">
        <w:t xml:space="preserve">, </w:t>
      </w:r>
      <w:r>
        <w:t>guardianship orders remain the default mechanism for establishing arrangements for individual older adults</w:t>
      </w:r>
      <w:r w:rsidR="00C448AC">
        <w:t>, as well as adults living with disability</w:t>
      </w:r>
      <w:r w:rsidR="00CD5727">
        <w:t>.</w:t>
      </w:r>
      <w:r w:rsidR="0004357A">
        <w:rPr>
          <w:rStyle w:val="FootnoteReference"/>
        </w:rPr>
        <w:footnoteReference w:id="7"/>
      </w:r>
      <w:r w:rsidR="00CD5727">
        <w:t xml:space="preserve"> R</w:t>
      </w:r>
      <w:r>
        <w:t>ights-based and person</w:t>
      </w:r>
      <w:r w:rsidR="00CD5727">
        <w:noBreakHyphen/>
      </w:r>
      <w:r>
        <w:t>centred approaches, such as family counselling and conferencing, and Eldercaring Coordination</w:t>
      </w:r>
      <w:r w:rsidR="00CD5727">
        <w:t>,</w:t>
      </w:r>
      <w:r>
        <w:rPr>
          <w:rStyle w:val="FootnoteReference"/>
        </w:rPr>
        <w:footnoteReference w:id="8"/>
      </w:r>
      <w:r>
        <w:t xml:space="preserve"> </w:t>
      </w:r>
      <w:r w:rsidR="00CD5727">
        <w:t>remain u</w:t>
      </w:r>
      <w:r>
        <w:t>nder-utilised because of resourcing considerations</w:t>
      </w:r>
      <w:r w:rsidR="00161CF4">
        <w:t xml:space="preserve"> and inhospitable authorising environments</w:t>
      </w:r>
      <w:r w:rsidR="00CD5727">
        <w:t>, and despite well</w:t>
      </w:r>
      <w:r w:rsidR="00551EF1">
        <w:noBreakHyphen/>
      </w:r>
      <w:r w:rsidR="00CD5727">
        <w:t>known concerns about</w:t>
      </w:r>
      <w:r w:rsidR="00551EF1">
        <w:t xml:space="preserve"> human rights breaches,</w:t>
      </w:r>
      <w:r w:rsidR="00CD5727">
        <w:t xml:space="preserve"> lack of transparency, </w:t>
      </w:r>
      <w:r w:rsidR="00551EF1">
        <w:t xml:space="preserve">and </w:t>
      </w:r>
      <w:r w:rsidR="00CD5727">
        <w:t>financial mismanagement</w:t>
      </w:r>
      <w:r w:rsidR="00551EF1">
        <w:t xml:space="preserve"> by Public Trustees.</w:t>
      </w:r>
      <w:r w:rsidR="00551EF1">
        <w:rPr>
          <w:rStyle w:val="FootnoteReference"/>
        </w:rPr>
        <w:footnoteReference w:id="9"/>
      </w:r>
      <w:r w:rsidR="00C8374A">
        <w:t xml:space="preserve">  </w:t>
      </w:r>
      <w:r w:rsidR="001760B3">
        <w:t>C</w:t>
      </w:r>
      <w:r w:rsidR="00C8374A">
        <w:t>lients are prevented from publicising their own concerns by gag laws</w:t>
      </w:r>
      <w:r w:rsidR="00890B6A">
        <w:t xml:space="preserve"> (ostensibly to protect their privacy)</w:t>
      </w:r>
      <w:r w:rsidR="00FA4BCB">
        <w:t>.</w:t>
      </w:r>
      <w:r w:rsidR="00890B6A">
        <w:rPr>
          <w:rStyle w:val="FootnoteReference"/>
        </w:rPr>
        <w:footnoteReference w:id="10"/>
      </w:r>
      <w:r w:rsidR="00C8374A">
        <w:t xml:space="preserve"> </w:t>
      </w:r>
    </w:p>
    <w:p w14:paraId="7C7F68EB" w14:textId="0167A1FC" w:rsidR="00602C96" w:rsidRDefault="00602C96" w:rsidP="00602C96">
      <w:pPr>
        <w:pStyle w:val="Heading3"/>
        <w:rPr>
          <w:rFonts w:eastAsia="Times New Roman"/>
          <w:lang w:eastAsia="en-AU"/>
        </w:rPr>
      </w:pPr>
      <w:r w:rsidRPr="00B13D02">
        <w:rPr>
          <w:rFonts w:eastAsia="Times New Roman"/>
          <w:lang w:eastAsia="en-AU"/>
        </w:rPr>
        <w:t>Overprotection, exclusion from everyday choices or conversations</w:t>
      </w:r>
    </w:p>
    <w:p w14:paraId="3EE8E799" w14:textId="4885BB7B" w:rsidR="00602C96" w:rsidRDefault="00602C96" w:rsidP="00602C96">
      <w:pPr>
        <w:rPr>
          <w:lang w:eastAsia="en-AU"/>
        </w:rPr>
      </w:pPr>
      <w:r>
        <w:rPr>
          <w:lang w:eastAsia="en-AU"/>
        </w:rPr>
        <w:t>Relationships Australia regularly contributes to the development of training and education materials for people working with older adults living with cognitive impairment.  We commonly encounter beliefs that undermine autonomy and dignity of risk, and that emerge from what is sometimes described as ‘benevolent ageism’.</w:t>
      </w:r>
      <w:r w:rsidR="000F2875">
        <w:rPr>
          <w:rStyle w:val="FootnoteReference"/>
          <w:lang w:eastAsia="en-AU"/>
        </w:rPr>
        <w:footnoteReference w:id="11"/>
      </w:r>
      <w:r>
        <w:rPr>
          <w:lang w:eastAsia="en-AU"/>
        </w:rPr>
        <w:t xml:space="preserve">  Health professionals, care workers and informal caregivers commonly articulate</w:t>
      </w:r>
      <w:r w:rsidR="007E218F">
        <w:rPr>
          <w:lang w:eastAsia="en-AU"/>
        </w:rPr>
        <w:t xml:space="preserve"> views</w:t>
      </w:r>
      <w:r>
        <w:rPr>
          <w:lang w:eastAsia="en-AU"/>
        </w:rPr>
        <w:t xml:space="preserve"> that the autonomy of an older adult, especially one living with impaired cognition, is limited to making decisions that are ‘safe’ or ‘good for them’.  </w:t>
      </w:r>
    </w:p>
    <w:p w14:paraId="0809A58A" w14:textId="3C1C6954" w:rsidR="00602C96" w:rsidRPr="00B13D02" w:rsidRDefault="00602C96" w:rsidP="00602C96">
      <w:pPr>
        <w:rPr>
          <w:lang w:eastAsia="en-AU"/>
        </w:rPr>
      </w:pPr>
      <w:r>
        <w:rPr>
          <w:lang w:eastAsia="en-AU"/>
        </w:rPr>
        <w:t xml:space="preserve">Such decisions may relate to daily habits (eg consuming alcohol, tobacco, or foods considered unhealthy), leisure and cultural pursuits, outings, engagement in sexual expression and intimacy, and medical care.  For example, a </w:t>
      </w:r>
      <w:proofErr w:type="gramStart"/>
      <w:r>
        <w:rPr>
          <w:lang w:eastAsia="en-AU"/>
        </w:rPr>
        <w:t>cognitively-impaired</w:t>
      </w:r>
      <w:proofErr w:type="gramEnd"/>
      <w:r>
        <w:rPr>
          <w:lang w:eastAsia="en-AU"/>
        </w:rPr>
        <w:t xml:space="preserve"> adult’s refusal of </w:t>
      </w:r>
      <w:proofErr w:type="gramStart"/>
      <w:r>
        <w:rPr>
          <w:lang w:eastAsia="en-AU"/>
        </w:rPr>
        <w:t>particular medical</w:t>
      </w:r>
      <w:proofErr w:type="gramEnd"/>
      <w:r>
        <w:rPr>
          <w:lang w:eastAsia="en-AU"/>
        </w:rPr>
        <w:t xml:space="preserve"> care (even if </w:t>
      </w:r>
      <w:r w:rsidR="00627843">
        <w:rPr>
          <w:lang w:eastAsia="en-AU"/>
        </w:rPr>
        <w:t>express</w:t>
      </w:r>
      <w:r>
        <w:rPr>
          <w:lang w:eastAsia="en-AU"/>
        </w:rPr>
        <w:t>ed when the adult’s cognition was unimpaired, through an advance decision instrument) is more likely to be over-ridden</w:t>
      </w:r>
      <w:r w:rsidR="00BC17B3">
        <w:rPr>
          <w:lang w:eastAsia="en-AU"/>
        </w:rPr>
        <w:t xml:space="preserve"> by family members, caregivers and health care providers</w:t>
      </w:r>
      <w:r>
        <w:rPr>
          <w:lang w:eastAsia="en-AU"/>
        </w:rPr>
        <w:t>,</w:t>
      </w:r>
      <w:r w:rsidR="00BC17B3">
        <w:rPr>
          <w:lang w:eastAsia="en-AU"/>
        </w:rPr>
        <w:t xml:space="preserve"> ‘</w:t>
      </w:r>
      <w:r>
        <w:rPr>
          <w:lang w:eastAsia="en-AU"/>
        </w:rPr>
        <w:t xml:space="preserve">for their own good’.  </w:t>
      </w:r>
      <w:r w:rsidR="00E25446">
        <w:rPr>
          <w:lang w:eastAsia="en-AU"/>
        </w:rPr>
        <w:t>W</w:t>
      </w:r>
      <w:r>
        <w:rPr>
          <w:lang w:eastAsia="en-AU"/>
        </w:rPr>
        <w:t>e are</w:t>
      </w:r>
      <w:r w:rsidR="0000294C">
        <w:rPr>
          <w:lang w:eastAsia="en-AU"/>
        </w:rPr>
        <w:t xml:space="preserve"> also</w:t>
      </w:r>
      <w:r>
        <w:rPr>
          <w:lang w:eastAsia="en-AU"/>
        </w:rPr>
        <w:t xml:space="preserve"> aware of instances where gender diverse older adults with impaired cognition have gender affirming care withheld</w:t>
      </w:r>
      <w:r w:rsidR="00E25446">
        <w:rPr>
          <w:lang w:eastAsia="en-AU"/>
        </w:rPr>
        <w:t xml:space="preserve"> at the behest of family members who </w:t>
      </w:r>
      <w:r w:rsidR="005455EF">
        <w:rPr>
          <w:lang w:eastAsia="en-AU"/>
        </w:rPr>
        <w:t>disapprove of such care.</w:t>
      </w:r>
    </w:p>
    <w:p w14:paraId="5A394633" w14:textId="7C04E5A7" w:rsidR="00B061F3" w:rsidRDefault="003608D0" w:rsidP="003608D0">
      <w:pPr>
        <w:pStyle w:val="Heading3"/>
      </w:pPr>
      <w:r>
        <w:t>Restrictive practices</w:t>
      </w:r>
    </w:p>
    <w:p w14:paraId="6C51F920" w14:textId="70EE1B67" w:rsidR="007F094D" w:rsidRDefault="007F094D" w:rsidP="007F094D">
      <w:r w:rsidRPr="00546CAB">
        <w:t xml:space="preserve">The use of restrictive practices as behavioural controls is </w:t>
      </w:r>
      <w:proofErr w:type="gramStart"/>
      <w:r w:rsidRPr="00546CAB">
        <w:t>abhorrent, and</w:t>
      </w:r>
      <w:proofErr w:type="gramEnd"/>
      <w:r w:rsidRPr="00546CAB">
        <w:t xml:space="preserve"> flagrantly violates long</w:t>
      </w:r>
      <w:r>
        <w:noBreakHyphen/>
      </w:r>
      <w:r w:rsidRPr="00546CAB">
        <w:t xml:space="preserve">established common law principles and our international obligations. Specifically, diagnosis of dementia or other cognitive impairment does not in any way diminish the entitlement of a person to enjoy all the human rights that attend on personhood. This was recognised nearly 30 years ago in the Burdekin </w:t>
      </w:r>
      <w:proofErr w:type="gramStart"/>
      <w:r w:rsidRPr="00546CAB">
        <w:t>Report :</w:t>
      </w:r>
      <w:proofErr w:type="gramEnd"/>
      <w:r w:rsidRPr="00546CAB">
        <w:t xml:space="preserve"> ‘...dementia, like other mental illnesses, can be managed successfully without compromising protection of human rights.’</w:t>
      </w:r>
      <w:r>
        <w:rPr>
          <w:rStyle w:val="FootnoteReference"/>
        </w:rPr>
        <w:footnoteReference w:id="12"/>
      </w:r>
      <w:r>
        <w:t xml:space="preserve"> </w:t>
      </w:r>
    </w:p>
    <w:p w14:paraId="1A3AA0E9" w14:textId="4A3BEF17" w:rsidR="00F420DA" w:rsidRPr="00CF7BF4" w:rsidRDefault="00EF22CA" w:rsidP="00C34F83">
      <w:r>
        <w:lastRenderedPageBreak/>
        <w:t xml:space="preserve">The dignity and bodily integrity of older adults living with cognitive impairment </w:t>
      </w:r>
      <w:r w:rsidR="001D4323">
        <w:t xml:space="preserve">is undermined by aged care legislation that facilitates the use of restrictive practices. </w:t>
      </w:r>
      <w:r w:rsidR="0090485B">
        <w:t>The application of restrictive practices</w:t>
      </w:r>
      <w:r w:rsidR="0090485B" w:rsidRPr="00006433">
        <w:t xml:space="preserve"> </w:t>
      </w:r>
      <w:r w:rsidR="0090485B">
        <w:t>to older adults with cognitive impairment</w:t>
      </w:r>
      <w:r w:rsidR="0078767F">
        <w:t xml:space="preserve"> r</w:t>
      </w:r>
      <w:r w:rsidR="0090485B" w:rsidRPr="00006433">
        <w:t>emains located in a medicalised ‘beneficence’ framework, rather than in a human rights framework that maximises autonomy</w:t>
      </w:r>
      <w:r w:rsidR="00675544">
        <w:t>.</w:t>
      </w:r>
      <w:r w:rsidR="00F420DA">
        <w:t xml:space="preserve"> </w:t>
      </w:r>
      <w:r w:rsidR="00C34F83" w:rsidRPr="00CF7BF4">
        <w:t xml:space="preserve">Australia’s </w:t>
      </w:r>
      <w:r w:rsidR="00C34F83" w:rsidRPr="00CF7BF4">
        <w:rPr>
          <w:i/>
          <w:iCs/>
        </w:rPr>
        <w:t>Aged Care Act 2024</w:t>
      </w:r>
      <w:r w:rsidR="00C34F83" w:rsidRPr="00CF7BF4">
        <w:t xml:space="preserve"> purport</w:t>
      </w:r>
      <w:r w:rsidR="007C2E4D" w:rsidRPr="00CF7BF4">
        <w:t>edly</w:t>
      </w:r>
      <w:r w:rsidR="00C34F83" w:rsidRPr="00CF7BF4">
        <w:t xml:space="preserve"> centre</w:t>
      </w:r>
      <w:r w:rsidR="007C2E4D" w:rsidRPr="00CF7BF4">
        <w:t xml:space="preserve">s </w:t>
      </w:r>
      <w:r w:rsidR="00C34F83" w:rsidRPr="00CF7BF4">
        <w:t>human rights of older people, including by ‘minimising the inappropriate use of restrictive practices’ so that they are a ‘last resort’.</w:t>
      </w:r>
      <w:r w:rsidR="00C34F83" w:rsidRPr="00CF7BF4">
        <w:rPr>
          <w:rStyle w:val="FootnoteReference"/>
        </w:rPr>
        <w:footnoteReference w:id="13"/>
      </w:r>
      <w:r w:rsidR="00C34F83" w:rsidRPr="00CF7BF4">
        <w:t xml:space="preserve">  </w:t>
      </w:r>
      <w:r w:rsidR="005D3EB2" w:rsidRPr="00CF7BF4">
        <w:t>As canvassed in our submissio</w:t>
      </w:r>
      <w:r w:rsidR="00E9396D" w:rsidRPr="00CF7BF4">
        <w:t>n to you about</w:t>
      </w:r>
      <w:r w:rsidR="005D3EB2" w:rsidRPr="00CF7BF4">
        <w:t xml:space="preserve"> </w:t>
      </w:r>
      <w:r w:rsidR="00E9396D" w:rsidRPr="00CF7BF4">
        <w:rPr>
          <w:b/>
          <w:bCs/>
        </w:rPr>
        <w:t>Autonomy, dignity &amp; human rights in situations of dependency in older age</w:t>
      </w:r>
      <w:r w:rsidR="00E9396D" w:rsidRPr="00CF7BF4">
        <w:t>,</w:t>
      </w:r>
      <w:r w:rsidR="00E9396D" w:rsidRPr="00CF7BF4">
        <w:rPr>
          <w:b/>
          <w:bCs/>
        </w:rPr>
        <w:t xml:space="preserve"> </w:t>
      </w:r>
      <w:r w:rsidR="00E9396D" w:rsidRPr="00CF7BF4">
        <w:t xml:space="preserve">the ‘rights’ of older adults enumerated in section 23 of Australia’s </w:t>
      </w:r>
      <w:r w:rsidR="00E9396D" w:rsidRPr="00CF7BF4">
        <w:rPr>
          <w:i/>
          <w:iCs/>
        </w:rPr>
        <w:t>Aged Care Act 2024</w:t>
      </w:r>
      <w:r w:rsidR="00E9396D" w:rsidRPr="00CF7BF4">
        <w:t xml:space="preserve"> </w:t>
      </w:r>
      <w:r w:rsidR="00F959D7" w:rsidRPr="00CF7BF4">
        <w:t>cannot be enforced by an individual (or their caregivers)</w:t>
      </w:r>
      <w:r w:rsidR="00E9396D" w:rsidRPr="00CF7BF4">
        <w:t xml:space="preserve"> in any court or tribunal.</w:t>
      </w:r>
      <w:r w:rsidR="009F1636" w:rsidRPr="00CF7BF4">
        <w:rPr>
          <w:rStyle w:val="FootnoteReference"/>
        </w:rPr>
        <w:footnoteReference w:id="14"/>
      </w:r>
      <w:r w:rsidR="00E9396D" w:rsidRPr="00CF7BF4">
        <w:t xml:space="preserve"> </w:t>
      </w:r>
      <w:r w:rsidR="00C34F83" w:rsidRPr="00CF7BF4">
        <w:t xml:space="preserve">There are </w:t>
      </w:r>
      <w:r w:rsidR="00E9396D" w:rsidRPr="00CF7BF4">
        <w:t xml:space="preserve">additional </w:t>
      </w:r>
      <w:r w:rsidR="00C34F83" w:rsidRPr="00CF7BF4">
        <w:t>problems with th</w:t>
      </w:r>
      <w:r w:rsidR="00662E42" w:rsidRPr="00CF7BF4">
        <w:t>e Act’s</w:t>
      </w:r>
      <w:r w:rsidR="00330CC0" w:rsidRPr="00CF7BF4">
        <w:t xml:space="preserve"> </w:t>
      </w:r>
      <w:r w:rsidR="00662E42" w:rsidRPr="00CF7BF4">
        <w:t>treatment of restrictive practices</w:t>
      </w:r>
      <w:r w:rsidR="00330CC0" w:rsidRPr="00CF7BF4">
        <w:t>, which focuses on authorisation and procedural safeguards, rather than genuine protection of autonomy and bodily integrity</w:t>
      </w:r>
      <w:r w:rsidR="00C34F83" w:rsidRPr="00CF7BF4">
        <w:t xml:space="preserve">.  </w:t>
      </w:r>
    </w:p>
    <w:p w14:paraId="12DFE81C" w14:textId="24720E71" w:rsidR="002C67D9" w:rsidRPr="00CF7BF4" w:rsidRDefault="002C67D9" w:rsidP="002C67D9">
      <w:pPr>
        <w:pStyle w:val="Heading4"/>
      </w:pPr>
      <w:r w:rsidRPr="00CF7BF4">
        <w:t>Practices applied not for the benefit of the individual to whom they are applied</w:t>
      </w:r>
    </w:p>
    <w:p w14:paraId="77CC5B6D" w14:textId="3C20EDEC" w:rsidR="00D46198" w:rsidRDefault="007C2E4D" w:rsidP="00C34F83">
      <w:r w:rsidRPr="00CF7BF4">
        <w:t xml:space="preserve">First, restrictive practices are applied less for the benefit of the person subjected to them and more for purpose of ‘managing behaviours’; </w:t>
      </w:r>
      <w:r w:rsidR="00533A6D" w:rsidRPr="00CF7BF4">
        <w:t xml:space="preserve">also, </w:t>
      </w:r>
      <w:r w:rsidRPr="00CF7BF4">
        <w:t xml:space="preserve">practices are </w:t>
      </w:r>
      <w:r w:rsidR="00533A6D" w:rsidRPr="00CF7BF4">
        <w:t>used</w:t>
      </w:r>
      <w:r w:rsidRPr="00CF7BF4">
        <w:t xml:space="preserve"> that not only have no therapeutic benefit, but are therapeutically contra-indicated.</w:t>
      </w:r>
      <w:r w:rsidR="009A6E63" w:rsidRPr="00CF7BF4">
        <w:rPr>
          <w:rStyle w:val="FootnoteReference"/>
        </w:rPr>
        <w:footnoteReference w:id="15"/>
      </w:r>
      <w:r w:rsidRPr="00CF7BF4">
        <w:t xml:space="preserve"> </w:t>
      </w:r>
      <w:r w:rsidR="006A7A7C" w:rsidRPr="00CF7BF4">
        <w:t>M</w:t>
      </w:r>
      <w:r w:rsidR="00E970E3" w:rsidRPr="00CF7BF4">
        <w:t>isuse of psychotropics</w:t>
      </w:r>
      <w:r w:rsidR="006A7A7C">
        <w:t xml:space="preserve"> </w:t>
      </w:r>
      <w:r w:rsidR="00971EDE">
        <w:t>remains persistent</w:t>
      </w:r>
      <w:r w:rsidR="00A24D11">
        <w:t>,</w:t>
      </w:r>
      <w:r w:rsidR="00971EDE">
        <w:rPr>
          <w:rStyle w:val="FootnoteReference"/>
        </w:rPr>
        <w:footnoteReference w:id="16"/>
      </w:r>
      <w:r w:rsidR="00E970E3">
        <w:t xml:space="preserve"> </w:t>
      </w:r>
      <w:r w:rsidR="00A24D11">
        <w:t>as does polypharmacy.</w:t>
      </w:r>
      <w:r w:rsidR="007F094D">
        <w:rPr>
          <w:rStyle w:val="FootnoteReference"/>
        </w:rPr>
        <w:footnoteReference w:id="17"/>
      </w:r>
      <w:r w:rsidR="00A24D11">
        <w:t xml:space="preserve"> </w:t>
      </w:r>
      <w:r w:rsidR="001B6150" w:rsidRPr="00455F8D">
        <w:t xml:space="preserve">The absence of therapeutic benefit (and, indeed, the experience of harm) for those subjected to restrictive practices has been plainly demonstrated, including in evidence to </w:t>
      </w:r>
      <w:r w:rsidR="00616274">
        <w:t>Australia’s aged care</w:t>
      </w:r>
      <w:r w:rsidR="001B6150" w:rsidRPr="00455F8D">
        <w:t xml:space="preserve"> Royal Commission, as has the use of restrictive practices to benefit persons other than the individual subjected to them. </w:t>
      </w:r>
    </w:p>
    <w:p w14:paraId="203B348D" w14:textId="77777777" w:rsidR="002C67D9" w:rsidRDefault="001B6150" w:rsidP="00D46198">
      <w:r w:rsidRPr="00455F8D">
        <w:t xml:space="preserve">Common law jurisdictions, including Australia, have long accepted that stricter criteria apply to establishing consent to </w:t>
      </w:r>
      <w:r w:rsidR="00A24D11">
        <w:t>infringements of bodily integrity</w:t>
      </w:r>
      <w:r w:rsidRPr="00455F8D">
        <w:t xml:space="preserve"> to benefit a third party, rather than the person subjected to them.</w:t>
      </w:r>
      <w:r>
        <w:rPr>
          <w:rStyle w:val="FootnoteReference"/>
        </w:rPr>
        <w:footnoteReference w:id="18"/>
      </w:r>
      <w:r w:rsidR="00BA747D">
        <w:t xml:space="preserve">  </w:t>
      </w:r>
      <w:r w:rsidR="00BA747D" w:rsidRPr="00455F8D">
        <w:t>It is important to recognise, too, that the rights violations and harms inflicted by the use of restrictive practices are not ameliorated by lack of malice. Benevolent intent does not cure infringement of bodily integrity, which is why medical treatment is, with limited exceptions, subject to a precondition of consent by the person receiving the treatment.</w:t>
      </w:r>
      <w:r w:rsidR="00BA747D">
        <w:rPr>
          <w:rStyle w:val="FootnoteReference"/>
        </w:rPr>
        <w:footnoteReference w:id="19"/>
      </w:r>
      <w:r w:rsidR="00D46198">
        <w:t xml:space="preserve"> </w:t>
      </w:r>
    </w:p>
    <w:p w14:paraId="4F027795" w14:textId="3B1F3290" w:rsidR="002C67D9" w:rsidRPr="00FE72BA" w:rsidRDefault="002C67D9" w:rsidP="002C67D9">
      <w:pPr>
        <w:pStyle w:val="Heading4"/>
      </w:pPr>
      <w:r w:rsidRPr="00FE72BA">
        <w:lastRenderedPageBreak/>
        <w:t>Misleading use of the term ‘informed consent’</w:t>
      </w:r>
    </w:p>
    <w:p w14:paraId="1FFA8D74" w14:textId="6FBB23E5" w:rsidR="00D46198" w:rsidRPr="00FE72BA" w:rsidRDefault="002C67D9" w:rsidP="00D46198">
      <w:r w:rsidRPr="00FE72BA">
        <w:t>T</w:t>
      </w:r>
      <w:r w:rsidR="00D46198" w:rsidRPr="00FE72BA">
        <w:t xml:space="preserve">he use of the term ‘informed consent’ in connection with restrictive practices egregiously misstates what is involved. In no way does the 2024 Act support anything that can properly be described as consent or that aligns with Australian jurisprudence on consent to care and treatment. At the very least, Relationships Australia recommends that reference to ‘informed consent’ to restrictive practices be abandoned for a term that more accurately reflects what happens – legislated authorisation for applying practices that would otherwise be assault or false imprisonment. </w:t>
      </w:r>
    </w:p>
    <w:p w14:paraId="361C053A" w14:textId="77777777" w:rsidR="003A0F4F" w:rsidRDefault="003A0F4F" w:rsidP="003A0F4F">
      <w:pPr>
        <w:pStyle w:val="Heading4"/>
      </w:pPr>
      <w:r w:rsidRPr="00FE72BA">
        <w:t>Perpetuation of substitute decision-making mechanisms that are not adequately scrutinised</w:t>
      </w:r>
    </w:p>
    <w:p w14:paraId="6C0157DC" w14:textId="3D8F5243" w:rsidR="003A0F4F" w:rsidRDefault="003A0F4F" w:rsidP="003A0F4F">
      <w:r>
        <w:t>The Act establishes a fragmented, complex and illogical substitute decision-making mechanism which enables the ongoing use of restrictive practices and perpetuates the violation of human rights.</w:t>
      </w:r>
      <w:r>
        <w:rPr>
          <w:rStyle w:val="FootnoteReference"/>
        </w:rPr>
        <w:footnoteReference w:id="20"/>
      </w:r>
      <w:r>
        <w:t xml:space="preserve">  This includes relegating </w:t>
      </w:r>
      <w:r w:rsidRPr="00B71130">
        <w:t>restrictive practices to be dealt with through subordinate legislation, thus minimising Parliamentary and public scrutiny</w:t>
      </w:r>
      <w:r>
        <w:t xml:space="preserve">. The web of legislation about the use of restrictive practices on older adults with cognitive impairment appears designed to facilitate and authorise their </w:t>
      </w:r>
      <w:proofErr w:type="gramStart"/>
      <w:r>
        <w:t>use, and</w:t>
      </w:r>
      <w:proofErr w:type="gramEnd"/>
      <w:r>
        <w:t xml:space="preserve"> indemnify those who do use them provided certain bureaucratic steps are completed.  T</w:t>
      </w:r>
      <w:r w:rsidRPr="002A5B8B">
        <w:t xml:space="preserve">he safeguards are </w:t>
      </w:r>
      <w:r>
        <w:t xml:space="preserve">heavily </w:t>
      </w:r>
      <w:r w:rsidRPr="002A5B8B">
        <w:t>process</w:t>
      </w:r>
      <w:r>
        <w:noBreakHyphen/>
      </w:r>
      <w:r w:rsidRPr="002A5B8B">
        <w:t>driven; they are about documentation, not achieving person-centred outcomes. The reliance on process-driven safeguards in aged care was demonstrated, in the Carnell</w:t>
      </w:r>
      <w:r>
        <w:noBreakHyphen/>
      </w:r>
      <w:r w:rsidRPr="002A5B8B">
        <w:t>Paterson Review, to be misconceived and utterly inadequate to protect residents’ rights</w:t>
      </w:r>
      <w:r>
        <w:t>.</w:t>
      </w:r>
    </w:p>
    <w:p w14:paraId="0A94924E" w14:textId="77777777" w:rsidR="003A0F4F" w:rsidRDefault="003A0F4F" w:rsidP="003A0F4F">
      <w:r>
        <w:t>While the Act and</w:t>
      </w:r>
      <w:r w:rsidRPr="00546CAB">
        <w:t xml:space="preserve"> Rules impose ‘strict requirements’ to employ </w:t>
      </w:r>
      <w:r>
        <w:t xml:space="preserve">restrictive </w:t>
      </w:r>
      <w:r w:rsidRPr="00546CAB">
        <w:t>practices as ‘a last resort</w:t>
      </w:r>
      <w:r>
        <w:t>’,</w:t>
      </w:r>
      <w:r w:rsidRPr="00546CAB">
        <w:t xml:space="preserve"> this is not how the Rules have ever worked in the past, and it is disingenuous to suggest that this will change in the absence of primary legislation that moves towards abolition of restrictive practices, complemented by meaningful safeguards and consequences for breaches. </w:t>
      </w:r>
    </w:p>
    <w:p w14:paraId="1A436811" w14:textId="789624E1" w:rsidR="002C67D9" w:rsidRDefault="002C67D9" w:rsidP="002C67D9">
      <w:pPr>
        <w:pStyle w:val="Heading4"/>
      </w:pPr>
      <w:r w:rsidRPr="00285901">
        <w:t>Older adults are less protected from restrictive practices than persons with disability</w:t>
      </w:r>
    </w:p>
    <w:p w14:paraId="4D9B84C8" w14:textId="77777777" w:rsidR="002C67D9" w:rsidRDefault="00EB278B" w:rsidP="00EB278B">
      <w:r w:rsidRPr="005C4857">
        <w:t xml:space="preserve">The protections </w:t>
      </w:r>
      <w:r w:rsidR="00B016B3">
        <w:t>afforded to</w:t>
      </w:r>
      <w:r w:rsidRPr="005C4857">
        <w:t xml:space="preserve"> older </w:t>
      </w:r>
      <w:r w:rsidR="00B016B3">
        <w:t>adults</w:t>
      </w:r>
      <w:r w:rsidRPr="005C4857">
        <w:t xml:space="preserve"> in respect of restrictive practices </w:t>
      </w:r>
      <w:r w:rsidR="00A67F26">
        <w:t>remain</w:t>
      </w:r>
      <w:r w:rsidRPr="005C4857">
        <w:t xml:space="preserve"> inferior to </w:t>
      </w:r>
      <w:r w:rsidR="00B016B3">
        <w:t>those afforded to</w:t>
      </w:r>
      <w:r w:rsidRPr="005C4857">
        <w:t xml:space="preserve"> people with disability which, given the prominence of the C</w:t>
      </w:r>
      <w:r>
        <w:t>onvention on the Rights of Persons with Disability as part of the Constitutional basis for the Act</w:t>
      </w:r>
      <w:r w:rsidRPr="005C4857">
        <w:t>,</w:t>
      </w:r>
      <w:r>
        <w:rPr>
          <w:rStyle w:val="FootnoteReference"/>
        </w:rPr>
        <w:footnoteReference w:id="21"/>
      </w:r>
      <w:r w:rsidRPr="005C4857">
        <w:t xml:space="preserve"> is incongruous. It is (or should be) self-evidently invidious that the protection of fundamental rights is weaker simply if one has attained an (arbitrarily determined) age. It is structural ageism and it is state-sanctioned elder abuse. </w:t>
      </w:r>
      <w:r>
        <w:t>Relationships Australia has</w:t>
      </w:r>
      <w:r w:rsidRPr="005C4857">
        <w:t xml:space="preserve"> </w:t>
      </w:r>
      <w:proofErr w:type="gramStart"/>
      <w:r w:rsidRPr="005C4857">
        <w:t>particular concerns</w:t>
      </w:r>
      <w:proofErr w:type="gramEnd"/>
      <w:r w:rsidRPr="005C4857">
        <w:t xml:space="preserve"> about the use of restrictive practices against older </w:t>
      </w:r>
      <w:r>
        <w:t>adults</w:t>
      </w:r>
      <w:r w:rsidRPr="005C4857">
        <w:t xml:space="preserve"> who are survivors of violence and trauma. </w:t>
      </w:r>
    </w:p>
    <w:p w14:paraId="11405E1D" w14:textId="4EEA818A" w:rsidR="002C67D9" w:rsidRDefault="002C67D9" w:rsidP="002C67D9">
      <w:pPr>
        <w:pStyle w:val="Heading4"/>
      </w:pPr>
      <w:r w:rsidRPr="00285901">
        <w:t>Heightened risks of re-traumatisation and compounding trauma</w:t>
      </w:r>
    </w:p>
    <w:p w14:paraId="7B3E7FD5" w14:textId="24311EE8" w:rsidR="00EB278B" w:rsidRDefault="00EB278B" w:rsidP="00EB278B">
      <w:r w:rsidRPr="005C4857">
        <w:t xml:space="preserve">Many of our clients have suffered previous trauma and abuse, including in institutional settings. This includes people who are Forgotten Australians, Child Migrants, members of the Stolen Generations, people affected by forced adoption, and survivors of institutional child sexual </w:t>
      </w:r>
      <w:r w:rsidRPr="005C4857">
        <w:lastRenderedPageBreak/>
        <w:t xml:space="preserve">abuse – and who, too often, belong to a combination of these groups. Relationships Australia clients who have had these experiences have told us of plans to kill themselves rather than enter institutional aged care, or anything that resembles the institutions where they were preyed upon. Relationships Australia is deeply mindful that, for people who have experienced perpetually compounding, life-long suffering </w:t>
      </w:r>
      <w:proofErr w:type="gramStart"/>
      <w:r w:rsidRPr="005C4857">
        <w:t>as a result of</w:t>
      </w:r>
      <w:proofErr w:type="gramEnd"/>
      <w:r w:rsidRPr="005C4857">
        <w:t xml:space="preserve"> institutional abuse, the prospect of being re-institutionalised is terrifying.</w:t>
      </w:r>
    </w:p>
    <w:p w14:paraId="10C0766B" w14:textId="53E234C5" w:rsidR="00DE6016" w:rsidRDefault="00906DF7" w:rsidP="00C34F83">
      <w:r>
        <w:t xml:space="preserve">Relationships Australia has consistently recommended that these arrangements be replaced by legislation that </w:t>
      </w:r>
      <w:r w:rsidR="00B71130" w:rsidRPr="00B71130">
        <w:t>take</w:t>
      </w:r>
      <w:r>
        <w:t>s</w:t>
      </w:r>
      <w:r w:rsidR="00B71130" w:rsidRPr="00B71130">
        <w:t xml:space="preserve"> human rights as a starting point, rather than assuming the necessity </w:t>
      </w:r>
      <w:r>
        <w:t xml:space="preserve">of restrictive practices </w:t>
      </w:r>
      <w:r w:rsidR="00B71130" w:rsidRPr="00B71130">
        <w:t>and normalising their use</w:t>
      </w:r>
      <w:r>
        <w:t>.</w:t>
      </w:r>
      <w:r w:rsidR="00B71130" w:rsidRPr="00B71130">
        <w:t xml:space="preserve"> </w:t>
      </w:r>
      <w:r w:rsidR="00DE6016" w:rsidRPr="00DE6016">
        <w:t xml:space="preserve">Relationships Australia acknowledges that a human rights-based approach to restrictive practices would have a substantial impact on the cost of providing aged care. </w:t>
      </w:r>
      <w:r w:rsidR="00A11282" w:rsidRPr="0083243A">
        <w:t>We further emphasise that restrictive practices can only be eradicated if caregivers are properly supported within a safe work environment.</w:t>
      </w:r>
      <w:r w:rsidR="00A11282">
        <w:t xml:space="preserve"> </w:t>
      </w:r>
      <w:r w:rsidR="00DE6016" w:rsidRPr="00DE6016">
        <w:t>Yet if Australia takes seriously its human rights obligations to our older community members, then this is what is required.</w:t>
      </w:r>
    </w:p>
    <w:p w14:paraId="003F4665" w14:textId="77777777" w:rsidR="00761EF1" w:rsidRDefault="00761EF1" w:rsidP="00761EF1">
      <w:pPr>
        <w:pStyle w:val="Heading3"/>
      </w:pPr>
      <w:r>
        <w:t>Digital exclusion and dependence</w:t>
      </w:r>
    </w:p>
    <w:p w14:paraId="167C4452" w14:textId="77777777" w:rsidR="00761EF1" w:rsidRDefault="00761EF1" w:rsidP="00761EF1">
      <w:r>
        <w:t>Older adults remain over-represented among cohorts who experience digital exclusion in Australia</w:t>
      </w:r>
      <w:r w:rsidRPr="00032A07">
        <w:t>.</w:t>
      </w:r>
      <w:r>
        <w:rPr>
          <w:rStyle w:val="FootnoteReference"/>
        </w:rPr>
        <w:footnoteReference w:id="22"/>
      </w:r>
      <w:r>
        <w:t xml:space="preserve">  Contributing factors include affordability of safe, private, reliable and </w:t>
      </w:r>
      <w:proofErr w:type="gramStart"/>
      <w:r>
        <w:t>high speed</w:t>
      </w:r>
      <w:proofErr w:type="gramEnd"/>
      <w:r>
        <w:t xml:space="preserve"> internet services, confidence and, increasingly, justifiable fears of being scammed.  While younger consumers in Australia appear to be scammed more frequently, older consumers bear the heaviest losses, from investment, romance, payment re-direction, betting and gambling (‘scambling’) frauds.</w:t>
      </w:r>
      <w:r>
        <w:rPr>
          <w:rStyle w:val="FootnoteReference"/>
        </w:rPr>
        <w:footnoteReference w:id="23"/>
      </w:r>
      <w:r>
        <w:t xml:space="preserve">  As access to government and commercial services and systems are increasingly moved online, limits on older adults’ confident use of technology have a compounding effect, as older adults turn to others to ‘do their tech’ for them.  This can entrench dependency and create or exacerbate risks of abuse.</w:t>
      </w:r>
    </w:p>
    <w:p w14:paraId="05FD8D15" w14:textId="77777777" w:rsidR="00602C96" w:rsidRDefault="00602C96" w:rsidP="00602C96">
      <w:pPr>
        <w:pStyle w:val="Heading3"/>
      </w:pPr>
      <w:r>
        <w:t>Support and care for older persons living with cognitive impairment</w:t>
      </w:r>
    </w:p>
    <w:p w14:paraId="6855CC21" w14:textId="30955C3A" w:rsidR="00761EF1" w:rsidRDefault="00262434" w:rsidP="00761EF1">
      <w:r w:rsidRPr="00285901">
        <w:t xml:space="preserve">Relationships Australia has made several submissions to the Australian Government about </w:t>
      </w:r>
      <w:r w:rsidR="00413279" w:rsidRPr="00285901">
        <w:t>how the social, health, financial and other needs of informal caregivers remain unmet</w:t>
      </w:r>
      <w:r w:rsidR="00212190" w:rsidRPr="00285901">
        <w:t>,</w:t>
      </w:r>
      <w:r w:rsidR="00413279" w:rsidRPr="00285901">
        <w:t xml:space="preserve"> lead</w:t>
      </w:r>
      <w:r w:rsidR="00212190" w:rsidRPr="00285901">
        <w:t>ing</w:t>
      </w:r>
      <w:r w:rsidR="00413279" w:rsidRPr="00285901">
        <w:t xml:space="preserve"> to harm to </w:t>
      </w:r>
      <w:r w:rsidR="00212190" w:rsidRPr="00285901">
        <w:t>carers</w:t>
      </w:r>
      <w:r w:rsidR="00413279" w:rsidRPr="00285901">
        <w:t>,</w:t>
      </w:r>
      <w:r w:rsidR="00212190" w:rsidRPr="00285901">
        <w:t xml:space="preserve"> and </w:t>
      </w:r>
      <w:r w:rsidR="00413279" w:rsidRPr="00285901">
        <w:t xml:space="preserve">those </w:t>
      </w:r>
      <w:r w:rsidR="00212190" w:rsidRPr="00285901">
        <w:t>for whom they</w:t>
      </w:r>
      <w:r w:rsidR="00413279" w:rsidRPr="00285901">
        <w:t xml:space="preserve"> care.</w:t>
      </w:r>
      <w:r w:rsidR="00413279" w:rsidRPr="00285901">
        <w:rPr>
          <w:rStyle w:val="FootnoteReference"/>
        </w:rPr>
        <w:footnoteReference w:id="24"/>
      </w:r>
    </w:p>
    <w:p w14:paraId="6F0DED6C" w14:textId="32118FFA" w:rsidR="00283A00" w:rsidRPr="00285901" w:rsidRDefault="006A0C64" w:rsidP="00761EF1">
      <w:r w:rsidRPr="00285901">
        <w:t>R</w:t>
      </w:r>
      <w:r w:rsidR="00283A00" w:rsidRPr="00285901">
        <w:t>esearch undertaken by Relationships Australia</w:t>
      </w:r>
      <w:r w:rsidRPr="00285901">
        <w:t xml:space="preserve"> in 2022</w:t>
      </w:r>
      <w:r w:rsidR="00283A00" w:rsidRPr="00285901">
        <w:t xml:space="preserve"> found that </w:t>
      </w:r>
    </w:p>
    <w:p w14:paraId="1C4BAF26" w14:textId="58DF68BD" w:rsidR="00283A00" w:rsidRPr="00285901" w:rsidRDefault="00283A00" w:rsidP="00283A00">
      <w:pPr>
        <w:pStyle w:val="Quote"/>
      </w:pPr>
      <w:r w:rsidRPr="00285901">
        <w:t xml:space="preserve">1.4 million (or 7.1% of Australians) identified themselves as a carer and an overwhelming 77.9% reported facing pressures in their important relationship, with 43.9% citing mental health and 37.1% citing money problems. Disturbingly, carers were more likely than the general population to experience multiple pressures at once. (Relationships Indicators, Fact Sheet on Carers, </w:t>
      </w:r>
      <w:hyperlink r:id="rId13" w:history="1">
        <w:r w:rsidRPr="00285901">
          <w:rPr>
            <w:rStyle w:val="Hyperlink"/>
          </w:rPr>
          <w:t>https://relationships.org.au/wp-content/uploads/Carers.pdf</w:t>
        </w:r>
      </w:hyperlink>
      <w:r w:rsidRPr="00285901">
        <w:t>)</w:t>
      </w:r>
      <w:r w:rsidRPr="00285901">
        <w:rPr>
          <w:rStyle w:val="FootnoteReference"/>
        </w:rPr>
        <w:footnoteReference w:id="25"/>
      </w:r>
    </w:p>
    <w:p w14:paraId="096F8431" w14:textId="32C7648E" w:rsidR="006A0C64" w:rsidRPr="0000062A" w:rsidRDefault="006A0C64" w:rsidP="00761EF1">
      <w:r w:rsidRPr="0000062A">
        <w:lastRenderedPageBreak/>
        <w:t xml:space="preserve">Follow up research undertaken in 2024 showed that carers reported less wellbeing, more stress and more loneliness than the general population. </w:t>
      </w:r>
    </w:p>
    <w:p w14:paraId="0CBC31CC" w14:textId="77777777" w:rsidR="000F795E" w:rsidRDefault="00283A00" w:rsidP="00761EF1">
      <w:r w:rsidRPr="0000062A">
        <w:t>These findings align with data from the Australian Bureau of Statistics, gathered through the Census and disability and carer surveys.</w:t>
      </w:r>
      <w:r w:rsidR="006A0C64" w:rsidRPr="0000062A">
        <w:rPr>
          <w:rStyle w:val="FootnoteReference"/>
        </w:rPr>
        <w:footnoteReference w:id="26"/>
      </w:r>
      <w:r w:rsidRPr="0000062A">
        <w:t xml:space="preserve"> Relationships Australia provides a range of services to carers. We consider that carers play a crucial role not only in sustaining the viability of the care and support economy</w:t>
      </w:r>
      <w:r w:rsidR="000F795E" w:rsidRPr="0000062A">
        <w:t xml:space="preserve">, </w:t>
      </w:r>
      <w:r w:rsidRPr="0000062A">
        <w:t xml:space="preserve">but also in sustaining the </w:t>
      </w:r>
      <w:proofErr w:type="gramStart"/>
      <w:r w:rsidRPr="0000062A">
        <w:t>economy as a whole</w:t>
      </w:r>
      <w:proofErr w:type="gramEnd"/>
      <w:r w:rsidRPr="0000062A">
        <w:t>.</w:t>
      </w:r>
      <w:r w:rsidRPr="00283A00">
        <w:t xml:space="preserve"> </w:t>
      </w:r>
    </w:p>
    <w:p w14:paraId="0E1A2688" w14:textId="526B2186" w:rsidR="00761EF1" w:rsidRDefault="00283A00" w:rsidP="00761EF1">
      <w:r w:rsidRPr="00283A00">
        <w:t xml:space="preserve">Despite this, carers are at heightened risk of living in poverty. In this regard, we refer to </w:t>
      </w:r>
      <w:r w:rsidR="000F795E">
        <w:t xml:space="preserve">Relationships Australia’s </w:t>
      </w:r>
      <w:r w:rsidRPr="00283A00">
        <w:t>submission to the inquiry by the Senate Standing Committee on Community Affairs into the nature and extent of poverty in Australia.</w:t>
      </w:r>
      <w:r w:rsidR="000F795E">
        <w:rPr>
          <w:rStyle w:val="FootnoteReference"/>
        </w:rPr>
        <w:footnoteReference w:id="27"/>
      </w:r>
      <w:r w:rsidRPr="00283A00">
        <w:t xml:space="preserve"> In working with carers of all ages, we see that caring can have serious adverse effects on caregivers’ capacity to maintain social connection, and to participate in Australia’s cultural, recreational and political life, as well as in employment and education. These are significant impacts for individuals and families directly concerned. They also deny our broader community access to the full social, cultural and economic resources that could be available if we appropriately valued and tangibly supported unpaid and informal carers.</w:t>
      </w:r>
    </w:p>
    <w:p w14:paraId="2CC91A51" w14:textId="7E703A28" w:rsidR="00283A00" w:rsidRDefault="002E7500" w:rsidP="002E7500">
      <w:r w:rsidRPr="002E7500">
        <w:t>While carers have very individual needs and aspirations, there are powerful structural and systemic factors that influence all carers and affect the quality of their lives. These are gendered,</w:t>
      </w:r>
      <w:r>
        <w:rPr>
          <w:rStyle w:val="FootnoteReference"/>
        </w:rPr>
        <w:footnoteReference w:id="28"/>
      </w:r>
      <w:r w:rsidRPr="002E7500">
        <w:t xml:space="preserve"> ageist and ableist stigma, stereotypes and prejudices that lead to, </w:t>
      </w:r>
      <w:r w:rsidRPr="002E7500">
        <w:rPr>
          <w:i/>
          <w:iCs/>
        </w:rPr>
        <w:t>inter alia</w:t>
      </w:r>
      <w:r w:rsidRPr="002E7500">
        <w:t>, the lack of visibility and lack of specific supports for unpaid carers, and poor pay and conditions for paid carers. These structural and systemic factors are more likely to be effectively addressed from an integrated perspective with cohesive leadership, rather than by discrete responses from disparate portfolio agencies. Equally, accountability measures for achieving outcomes to improve the lives of carers will be more effective if not dispersed across multiple portfolios.</w:t>
      </w:r>
    </w:p>
    <w:p w14:paraId="0E4554CF" w14:textId="77777777" w:rsidR="002E7500" w:rsidRDefault="002E7500" w:rsidP="002E7500">
      <w:pPr>
        <w:pStyle w:val="Heading4"/>
      </w:pPr>
      <w:r w:rsidRPr="002E7500">
        <w:t xml:space="preserve">Human rights – ageism, ableism, sexism and </w:t>
      </w:r>
      <w:proofErr w:type="gramStart"/>
      <w:r w:rsidRPr="002E7500">
        <w:t>care-giving</w:t>
      </w:r>
      <w:proofErr w:type="gramEnd"/>
      <w:r w:rsidRPr="002E7500">
        <w:t xml:space="preserve"> </w:t>
      </w:r>
    </w:p>
    <w:p w14:paraId="1F7AC44C" w14:textId="77777777" w:rsidR="002E7500" w:rsidRDefault="002E7500" w:rsidP="00761EF1">
      <w:r w:rsidRPr="002E7500">
        <w:t>In our practice experience, carers (and those for whom they care) are stigmatised through ageist, ableist and gendered beliefs, processes and systems. Government can do much through practical steps which show how it recognises and values the work done by carers. It should, for example:</w:t>
      </w:r>
    </w:p>
    <w:p w14:paraId="5C7C2DBE" w14:textId="77777777" w:rsidR="002E7500" w:rsidRDefault="002E7500" w:rsidP="002E7500">
      <w:pPr>
        <w:pStyle w:val="ListParagraph"/>
        <w:numPr>
          <w:ilvl w:val="0"/>
          <w:numId w:val="37"/>
        </w:numPr>
      </w:pPr>
      <w:r w:rsidRPr="002E7500">
        <w:t>mandate how it talks within and outside government about service users and service providers (including unpaid carers who receive income support) in legislation, policy and media:</w:t>
      </w:r>
    </w:p>
    <w:p w14:paraId="11A1E6D9" w14:textId="77777777" w:rsidR="002E7500" w:rsidRDefault="002E7500" w:rsidP="002E7500">
      <w:pPr>
        <w:pStyle w:val="ListParagraph"/>
        <w:numPr>
          <w:ilvl w:val="1"/>
          <w:numId w:val="37"/>
        </w:numPr>
      </w:pPr>
      <w:r w:rsidRPr="002E7500">
        <w:t>without stigma, without moral judgement, or othering</w:t>
      </w:r>
    </w:p>
    <w:p w14:paraId="4CE9FB70" w14:textId="4BC4D81D" w:rsidR="002E7500" w:rsidRDefault="002E7500" w:rsidP="002E7500">
      <w:pPr>
        <w:pStyle w:val="ListParagraph"/>
        <w:numPr>
          <w:ilvl w:val="1"/>
          <w:numId w:val="37"/>
        </w:numPr>
      </w:pPr>
      <w:r w:rsidRPr="002E7500">
        <w:lastRenderedPageBreak/>
        <w:t>without recourse to medicalising, criminalising, institutionalising or technocratic stereotypes</w:t>
      </w:r>
      <w:r>
        <w:t>, and</w:t>
      </w:r>
    </w:p>
    <w:p w14:paraId="63004233" w14:textId="657176DD" w:rsidR="002E7500" w:rsidRDefault="002E7500" w:rsidP="002E7500">
      <w:pPr>
        <w:pStyle w:val="ListParagraph"/>
        <w:numPr>
          <w:ilvl w:val="1"/>
          <w:numId w:val="37"/>
        </w:numPr>
      </w:pPr>
      <w:r w:rsidRPr="002E7500">
        <w:t xml:space="preserve">with full appreciation of intrinsic dignity, human rights and full moral and legal personhood </w:t>
      </w:r>
    </w:p>
    <w:p w14:paraId="137EF2ED" w14:textId="77777777" w:rsidR="002E7500" w:rsidRDefault="002E7500" w:rsidP="002E7500">
      <w:pPr>
        <w:pStyle w:val="ListParagraph"/>
        <w:numPr>
          <w:ilvl w:val="0"/>
          <w:numId w:val="37"/>
        </w:numPr>
      </w:pPr>
      <w:r w:rsidRPr="002E7500">
        <w:t>develop and implement a human-rights based language through which governments measure and report on the impact of service provision through unpaid care and support, on:</w:t>
      </w:r>
    </w:p>
    <w:p w14:paraId="748EF261" w14:textId="77777777" w:rsidR="002E7500" w:rsidRDefault="002E7500" w:rsidP="002E7500">
      <w:pPr>
        <w:pStyle w:val="ListParagraph"/>
        <w:numPr>
          <w:ilvl w:val="1"/>
          <w:numId w:val="37"/>
        </w:numPr>
      </w:pPr>
      <w:r w:rsidRPr="002E7500">
        <w:t>individuals</w:t>
      </w:r>
    </w:p>
    <w:p w14:paraId="0F73912D" w14:textId="77777777" w:rsidR="002E7500" w:rsidRDefault="002E7500" w:rsidP="002E7500">
      <w:pPr>
        <w:pStyle w:val="ListParagraph"/>
        <w:numPr>
          <w:ilvl w:val="1"/>
          <w:numId w:val="37"/>
        </w:numPr>
      </w:pPr>
      <w:r w:rsidRPr="002E7500">
        <w:t>families, an</w:t>
      </w:r>
      <w:r>
        <w:t>d</w:t>
      </w:r>
    </w:p>
    <w:p w14:paraId="2DA2D9FA" w14:textId="390EFFAE" w:rsidR="00283A00" w:rsidRDefault="002E7500" w:rsidP="002E7500">
      <w:pPr>
        <w:pStyle w:val="ListParagraph"/>
        <w:numPr>
          <w:ilvl w:val="1"/>
          <w:numId w:val="37"/>
        </w:numPr>
      </w:pPr>
      <w:r w:rsidRPr="002E7500">
        <w:t>the broader community</w:t>
      </w:r>
    </w:p>
    <w:p w14:paraId="373B7124" w14:textId="77777777" w:rsidR="002E7500" w:rsidRDefault="002E7500" w:rsidP="002E7500">
      <w:pPr>
        <w:pStyle w:val="ListParagraph"/>
        <w:numPr>
          <w:ilvl w:val="0"/>
          <w:numId w:val="37"/>
        </w:numPr>
      </w:pPr>
      <w:r w:rsidRPr="002E7500">
        <w:t>engage with carers in authentic co-design at all phases of legislation and policy development, service delivery and evaluation, and</w:t>
      </w:r>
    </w:p>
    <w:p w14:paraId="74F76BA0" w14:textId="0DE8CE35" w:rsidR="002E7500" w:rsidRDefault="002E7500" w:rsidP="002E7500">
      <w:pPr>
        <w:pStyle w:val="ListParagraph"/>
        <w:numPr>
          <w:ilvl w:val="0"/>
          <w:numId w:val="37"/>
        </w:numPr>
      </w:pPr>
      <w:r w:rsidRPr="002E7500">
        <w:t>commit to strengths-based service delivery, which prioritises enablement and empowerment.</w:t>
      </w:r>
    </w:p>
    <w:p w14:paraId="1933C00F" w14:textId="46B43563" w:rsidR="00B02C42" w:rsidRDefault="00B02C42" w:rsidP="00B02C42">
      <w:pPr>
        <w:pStyle w:val="Heading3"/>
      </w:pPr>
      <w:r>
        <w:t xml:space="preserve">Exclusion from research, data collection and </w:t>
      </w:r>
      <w:r w:rsidR="000307C8">
        <w:t xml:space="preserve">policy/programme </w:t>
      </w:r>
      <w:r>
        <w:t>co-design</w:t>
      </w:r>
    </w:p>
    <w:p w14:paraId="56E5EA84" w14:textId="77777777" w:rsidR="00761EF1" w:rsidRPr="0036719B" w:rsidRDefault="00761EF1" w:rsidP="00761EF1">
      <w:r w:rsidRPr="0036719B">
        <w:t xml:space="preserve">See our submission to you about </w:t>
      </w:r>
      <w:r w:rsidRPr="0036719B">
        <w:rPr>
          <w:b/>
          <w:bCs/>
        </w:rPr>
        <w:t>Autonomy, dignity &amp; human rights in situations of dependency in older age.</w:t>
      </w:r>
    </w:p>
    <w:p w14:paraId="5756EC3E" w14:textId="77777777" w:rsidR="00515698" w:rsidRPr="0036719B" w:rsidRDefault="00515698" w:rsidP="00515698">
      <w:pPr>
        <w:pStyle w:val="Heading3"/>
      </w:pPr>
      <w:r w:rsidRPr="0036719B">
        <w:t>Exclusion from policy discourse</w:t>
      </w:r>
    </w:p>
    <w:p w14:paraId="25F84D98" w14:textId="77777777" w:rsidR="00761EF1" w:rsidRDefault="00761EF1" w:rsidP="00761EF1">
      <w:r w:rsidRPr="0036719B">
        <w:t xml:space="preserve">See our submission to you about </w:t>
      </w:r>
      <w:r w:rsidRPr="0036719B">
        <w:rPr>
          <w:b/>
          <w:bCs/>
        </w:rPr>
        <w:t>Autonomy, dignity &amp; human rights in situations of dependency in older age.</w:t>
      </w:r>
    </w:p>
    <w:p w14:paraId="6A107E52" w14:textId="276250A3" w:rsidR="004A3F73" w:rsidRDefault="00567069" w:rsidP="00567069">
      <w:pPr>
        <w:pStyle w:val="Heading2"/>
      </w:pPr>
      <w:r>
        <w:t>Conclusion</w:t>
      </w:r>
    </w:p>
    <w:p w14:paraId="2D7C32C4" w14:textId="240ACBE8" w:rsidR="00567069" w:rsidRDefault="00567069" w:rsidP="00567069">
      <w:r>
        <w:t xml:space="preserve">Thank you again for the opportunity to provide input.  Should you wish to discuss any aspect of this submission, or our work with older adults, please do not hesitate to contact me at </w:t>
      </w:r>
      <w:hyperlink r:id="rId14" w:history="1">
        <w:r w:rsidRPr="00B60998">
          <w:rPr>
            <w:rStyle w:val="Hyperlink"/>
          </w:rPr>
          <w:t>ntebbey@relationships.org.au</w:t>
        </w:r>
      </w:hyperlink>
      <w:r>
        <w:t xml:space="preserve"> ; alternatively, you may wish to contact our National Policy Manager, Dr Susan Cochrane, at </w:t>
      </w:r>
      <w:hyperlink r:id="rId15" w:history="1">
        <w:r w:rsidRPr="00B60998">
          <w:rPr>
            <w:rStyle w:val="Hyperlink"/>
          </w:rPr>
          <w:t>scochrane@relationships.org.au</w:t>
        </w:r>
      </w:hyperlink>
      <w:r>
        <w:t xml:space="preserve">. </w:t>
      </w:r>
    </w:p>
    <w:p w14:paraId="462989F7" w14:textId="34804B26" w:rsidR="00567069" w:rsidRDefault="00567069" w:rsidP="00567069">
      <w:r>
        <w:t>Kind regards</w:t>
      </w:r>
    </w:p>
    <w:p w14:paraId="1EDB83AD" w14:textId="319A2E47" w:rsidR="00567069" w:rsidRDefault="0036719B" w:rsidP="00567069">
      <w:r>
        <w:rPr>
          <w:noProof/>
        </w:rPr>
        <w:drawing>
          <wp:inline distT="0" distB="0" distL="0" distR="0" wp14:anchorId="02EE3A28" wp14:editId="510FE1AE">
            <wp:extent cx="1790700" cy="665117"/>
            <wp:effectExtent l="0" t="0" r="0" b="1905"/>
            <wp:docPr id="111572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2742" name="Picture 111572742"/>
                    <pic:cNvPicPr/>
                  </pic:nvPicPr>
                  <pic:blipFill>
                    <a:blip r:embed="rId16">
                      <a:extLst>
                        <a:ext uri="{28A0092B-C50C-407E-A947-70E740481C1C}">
                          <a14:useLocalDpi xmlns:a14="http://schemas.microsoft.com/office/drawing/2010/main" val="0"/>
                        </a:ext>
                      </a:extLst>
                    </a:blip>
                    <a:stretch>
                      <a:fillRect/>
                    </a:stretch>
                  </pic:blipFill>
                  <pic:spPr>
                    <a:xfrm>
                      <a:off x="0" y="0"/>
                      <a:ext cx="1792976" cy="665962"/>
                    </a:xfrm>
                    <a:prstGeom prst="rect">
                      <a:avLst/>
                    </a:prstGeom>
                  </pic:spPr>
                </pic:pic>
              </a:graphicData>
            </a:graphic>
          </wp:inline>
        </w:drawing>
      </w:r>
    </w:p>
    <w:p w14:paraId="1317563A" w14:textId="47F77C88" w:rsidR="00567069" w:rsidRDefault="00567069" w:rsidP="00567069">
      <w:pPr>
        <w:spacing w:after="0"/>
      </w:pPr>
      <w:r>
        <w:t>Nick Tebbey</w:t>
      </w:r>
    </w:p>
    <w:p w14:paraId="3D032507" w14:textId="495BC764" w:rsidR="00567069" w:rsidRDefault="00567069" w:rsidP="00567069">
      <w:r>
        <w:t>National Executive Officer</w:t>
      </w:r>
    </w:p>
    <w:p w14:paraId="5617299D" w14:textId="51A45EF9" w:rsidR="00CD0CB8" w:rsidRDefault="00CD0CB8">
      <w:pPr>
        <w:rPr>
          <w:rFonts w:eastAsiaTheme="majorEastAsia" w:cstheme="majorBidi"/>
          <w:color w:val="00476F"/>
          <w:sz w:val="32"/>
          <w:szCs w:val="32"/>
        </w:rPr>
      </w:pPr>
      <w:r>
        <w:br w:type="page"/>
      </w:r>
    </w:p>
    <w:p w14:paraId="1B2F617E" w14:textId="7ADD4587" w:rsidR="00AA64B1" w:rsidRDefault="00AA64B1" w:rsidP="00AA64B1">
      <w:pPr>
        <w:pStyle w:val="Heading2"/>
      </w:pPr>
      <w:r>
        <w:lastRenderedPageBreak/>
        <w:t>Annexure 1 – Key recommendations to Australian Government on a National Carers Strategy</w:t>
      </w:r>
    </w:p>
    <w:p w14:paraId="1E1E9458" w14:textId="77777777" w:rsidR="00AA64B1" w:rsidRDefault="00AA64B1" w:rsidP="00AA64B1">
      <w:r w:rsidRPr="00604BFA">
        <w:rPr>
          <w:b/>
          <w:bCs/>
        </w:rPr>
        <w:t xml:space="preserve">Recommendation 4 </w:t>
      </w:r>
      <w:r w:rsidRPr="00604BFA">
        <w:t xml:space="preserve">That the Strategy prioritise the development and implementation of ‘person centred’ systems which engage carers at their convenience, rather than the convenience of governments. </w:t>
      </w:r>
    </w:p>
    <w:p w14:paraId="162DA978" w14:textId="77777777" w:rsidR="00AA64B1" w:rsidRDefault="00AA64B1" w:rsidP="00AA64B1">
      <w:r w:rsidRPr="00604BFA">
        <w:rPr>
          <w:b/>
          <w:bCs/>
        </w:rPr>
        <w:t xml:space="preserve">Recommendation 5 </w:t>
      </w:r>
      <w:r w:rsidRPr="00604BFA">
        <w:t xml:space="preserve">That the authority of the Strategy is leveraged to drive political commitment across all Australian Governments to harmonise laws relating to enduring powers of attorney. </w:t>
      </w:r>
    </w:p>
    <w:p w14:paraId="70CB2E97" w14:textId="77777777" w:rsidR="00AA64B1" w:rsidRDefault="00AA64B1" w:rsidP="00AA64B1">
      <w:r w:rsidRPr="00604BFA">
        <w:rPr>
          <w:b/>
          <w:bCs/>
        </w:rPr>
        <w:t xml:space="preserve">Recommendation 6 </w:t>
      </w:r>
      <w:r w:rsidRPr="00604BFA">
        <w:t xml:space="preserve">That the authority of the Strategy is leveraged to drive political commitment to embedding supported decision-making, protecting the agency and dignity of supported persons while empowering carers to carry out their responsibilities in engaging with services such as health care providers. </w:t>
      </w:r>
    </w:p>
    <w:p w14:paraId="3DC75A6E" w14:textId="77777777" w:rsidR="00AA64B1" w:rsidRDefault="00AA64B1" w:rsidP="00AA64B1">
      <w:r w:rsidRPr="00604BFA">
        <w:rPr>
          <w:b/>
          <w:bCs/>
        </w:rPr>
        <w:t xml:space="preserve">Recommendation 7 </w:t>
      </w:r>
      <w:r w:rsidRPr="00604BFA">
        <w:t xml:space="preserve">That the authority of the Strategy is leveraged to much more broadly and actively promote the Carer Gateway. </w:t>
      </w:r>
    </w:p>
    <w:p w14:paraId="23E5064E" w14:textId="77777777" w:rsidR="00AA64B1" w:rsidRDefault="00AA64B1" w:rsidP="00AA64B1">
      <w:r w:rsidRPr="00604BFA">
        <w:rPr>
          <w:b/>
          <w:bCs/>
        </w:rPr>
        <w:t>Recommendation 8</w:t>
      </w:r>
      <w:r w:rsidRPr="00604BFA">
        <w:t xml:space="preserve"> That the authority of the Strategy is leveraged to promote geographic equity and the timely availability of safe, trustworthy, and specialised support services for carers.</w:t>
      </w:r>
    </w:p>
    <w:p w14:paraId="242F97BC" w14:textId="77777777" w:rsidR="00AA64B1" w:rsidRDefault="00AA64B1" w:rsidP="00AA64B1">
      <w:r w:rsidRPr="00604BFA">
        <w:rPr>
          <w:b/>
          <w:bCs/>
        </w:rPr>
        <w:t>Recommendation 9 That</w:t>
      </w:r>
      <w:r w:rsidRPr="00604BFA">
        <w:t xml:space="preserve"> service navigation support and case workers be established and resourced to offer a continuum of support, based on the needs and circumstances of individual carers. </w:t>
      </w:r>
    </w:p>
    <w:p w14:paraId="50DCC004" w14:textId="77777777" w:rsidR="00AA64B1" w:rsidRDefault="00AA64B1" w:rsidP="00AA64B1">
      <w:r w:rsidRPr="00604BFA">
        <w:rPr>
          <w:b/>
          <w:bCs/>
        </w:rPr>
        <w:t xml:space="preserve">Recommendation 10 </w:t>
      </w:r>
      <w:r w:rsidRPr="00604BFA">
        <w:t xml:space="preserve">That Medicare support General Practitioners to agree on tailored health care plans for carers, recognising the unequal health care and self-care opportunities and outcomes for carers. These could be made either in face to face or telehealth appointments. </w:t>
      </w:r>
    </w:p>
    <w:p w14:paraId="3FBF468D" w14:textId="77777777" w:rsidR="00AA64B1" w:rsidRDefault="00AA64B1" w:rsidP="00AA64B1">
      <w:r w:rsidRPr="00604BFA">
        <w:rPr>
          <w:b/>
          <w:bCs/>
        </w:rPr>
        <w:t>Recommendation 11</w:t>
      </w:r>
      <w:r w:rsidRPr="00604BFA">
        <w:t xml:space="preserve"> That education, health and other settings with which children and young people come into contact have access to ways to proactively identify young carers and link them with tailored supports, including peer-based supports. </w:t>
      </w:r>
    </w:p>
    <w:p w14:paraId="280254AF" w14:textId="77777777" w:rsidR="00AA64B1" w:rsidRDefault="00AA64B1" w:rsidP="00AA64B1">
      <w:r w:rsidRPr="00604BFA">
        <w:rPr>
          <w:b/>
          <w:bCs/>
        </w:rPr>
        <w:t>Recommendation 12</w:t>
      </w:r>
      <w:r w:rsidRPr="00604BFA">
        <w:t xml:space="preserve"> That Government supports the establishment, nationwide, of camps and other similar forms of respite for young carers</w:t>
      </w:r>
      <w:r>
        <w:t>.</w:t>
      </w:r>
    </w:p>
    <w:p w14:paraId="7C777FA8" w14:textId="77777777" w:rsidR="00AA64B1" w:rsidRDefault="00AA64B1" w:rsidP="00AA64B1">
      <w:r w:rsidRPr="00604BFA">
        <w:rPr>
          <w:b/>
          <w:bCs/>
        </w:rPr>
        <w:t xml:space="preserve">Recommendation 13 </w:t>
      </w:r>
      <w:r w:rsidRPr="00604BFA">
        <w:t>That the National Carer Strategy should be anchored in a ‘no disadvantage’ Vision, explicitly committing Australia to a society in which carers experience opportunities and outcomes equal to persons who are not carers, and experience no disadvantage, relative to persons who are not carers, in relation to:</w:t>
      </w:r>
    </w:p>
    <w:p w14:paraId="0F69582E" w14:textId="77777777" w:rsidR="00AA64B1" w:rsidRDefault="00AA64B1" w:rsidP="00AA64B1">
      <w:pPr>
        <w:pStyle w:val="ListParagraph"/>
        <w:numPr>
          <w:ilvl w:val="0"/>
          <w:numId w:val="7"/>
        </w:numPr>
      </w:pPr>
      <w:r w:rsidRPr="00604BFA">
        <w:t>civil, social, cultural and political participation</w:t>
      </w:r>
    </w:p>
    <w:p w14:paraId="576891D6" w14:textId="77777777" w:rsidR="00AA64B1" w:rsidRDefault="00AA64B1" w:rsidP="00AA64B1">
      <w:pPr>
        <w:pStyle w:val="ListParagraph"/>
        <w:numPr>
          <w:ilvl w:val="0"/>
          <w:numId w:val="7"/>
        </w:numPr>
      </w:pPr>
      <w:r w:rsidRPr="00604BFA">
        <w:t>education and employment participation and outcomes</w:t>
      </w:r>
    </w:p>
    <w:p w14:paraId="61AF9043" w14:textId="77777777" w:rsidR="00AA64B1" w:rsidRDefault="00AA64B1" w:rsidP="00AA64B1">
      <w:pPr>
        <w:pStyle w:val="ListParagraph"/>
        <w:numPr>
          <w:ilvl w:val="0"/>
          <w:numId w:val="7"/>
        </w:numPr>
      </w:pPr>
      <w:r w:rsidRPr="00604BFA">
        <w:t xml:space="preserve">health care and health outcomes, and </w:t>
      </w:r>
    </w:p>
    <w:p w14:paraId="273E4C28" w14:textId="77777777" w:rsidR="00AA64B1" w:rsidRDefault="00AA64B1" w:rsidP="00AA64B1">
      <w:pPr>
        <w:pStyle w:val="ListParagraph"/>
        <w:numPr>
          <w:ilvl w:val="0"/>
          <w:numId w:val="7"/>
        </w:numPr>
      </w:pPr>
      <w:r w:rsidRPr="00604BFA">
        <w:t>financial outcomes.</w:t>
      </w:r>
    </w:p>
    <w:p w14:paraId="1BFC7100" w14:textId="77777777" w:rsidR="00AA64B1" w:rsidRDefault="00AA64B1" w:rsidP="00AA64B1">
      <w:r w:rsidRPr="00604BFA">
        <w:rPr>
          <w:b/>
          <w:bCs/>
        </w:rPr>
        <w:lastRenderedPageBreak/>
        <w:t xml:space="preserve">Recommendation 14 </w:t>
      </w:r>
      <w:r w:rsidRPr="00604BFA">
        <w:t>That the Strategy be complemented by a well-resourced and widely</w:t>
      </w:r>
      <w:r>
        <w:noBreakHyphen/>
      </w:r>
      <w:r w:rsidRPr="00604BFA">
        <w:t xml:space="preserve">promoted public information and awareness campaign. </w:t>
      </w:r>
    </w:p>
    <w:p w14:paraId="3E87D801" w14:textId="77777777" w:rsidR="00AA64B1" w:rsidRDefault="00AA64B1" w:rsidP="00AA64B1">
      <w:r w:rsidRPr="00604BFA">
        <w:rPr>
          <w:b/>
          <w:bCs/>
        </w:rPr>
        <w:t xml:space="preserve">Recommendation 15 </w:t>
      </w:r>
      <w:r w:rsidRPr="00604BFA">
        <w:t xml:space="preserve">That governments work to ensure that accessible and </w:t>
      </w:r>
      <w:proofErr w:type="gramStart"/>
      <w:r w:rsidRPr="00604BFA">
        <w:t>high quality</w:t>
      </w:r>
      <w:proofErr w:type="gramEnd"/>
      <w:r w:rsidRPr="00604BFA">
        <w:t xml:space="preserve"> respite services are available to all carers. Accessibility includes considerations of location, cultural safety, and being trauma informed. </w:t>
      </w:r>
    </w:p>
    <w:p w14:paraId="7C767161" w14:textId="77777777" w:rsidR="00AA64B1" w:rsidRDefault="00AA64B1" w:rsidP="00AA64B1">
      <w:pPr>
        <w:keepNext/>
      </w:pPr>
      <w:r w:rsidRPr="00604BFA">
        <w:rPr>
          <w:b/>
          <w:bCs/>
        </w:rPr>
        <w:t xml:space="preserve">Recommendation 16 </w:t>
      </w:r>
      <w:r w:rsidRPr="00604BFA">
        <w:t xml:space="preserve">That social workers, whether employed within hospitals, or by service providers engaged by PHNs to work within hospitals, are supported to engage with not only the person being treated, but also carers, to provide a continuum of service navigation and case management support. </w:t>
      </w:r>
    </w:p>
    <w:p w14:paraId="66E8A054" w14:textId="77777777" w:rsidR="00AA64B1" w:rsidRDefault="00AA64B1" w:rsidP="00AA64B1">
      <w:r w:rsidRPr="00604BFA">
        <w:rPr>
          <w:b/>
          <w:bCs/>
        </w:rPr>
        <w:t xml:space="preserve">Recommendation 17 </w:t>
      </w:r>
      <w:r w:rsidRPr="00604BFA">
        <w:t>That, where funded by governments, peer support</w:t>
      </w:r>
      <w:r>
        <w:t>s</w:t>
      </w:r>
      <w:r w:rsidRPr="00604BFA">
        <w:t xml:space="preserve"> groups have access to specialised facilitation services.</w:t>
      </w:r>
    </w:p>
    <w:p w14:paraId="055BADBB" w14:textId="77777777" w:rsidR="00AA64B1" w:rsidRDefault="00AA64B1" w:rsidP="00AA64B1">
      <w:r w:rsidRPr="00604BFA">
        <w:rPr>
          <w:b/>
          <w:bCs/>
        </w:rPr>
        <w:t xml:space="preserve">Recommendation 18 </w:t>
      </w:r>
      <w:r w:rsidRPr="00604BFA">
        <w:t xml:space="preserve">That Australian governments take proactive steps to address data gaps. </w:t>
      </w:r>
    </w:p>
    <w:p w14:paraId="29249209" w14:textId="77777777" w:rsidR="00AA64B1" w:rsidRDefault="00AA64B1" w:rsidP="00AA64B1">
      <w:r w:rsidRPr="00604BFA">
        <w:rPr>
          <w:b/>
          <w:bCs/>
        </w:rPr>
        <w:t>Recommendation 19</w:t>
      </w:r>
      <w:r>
        <w:rPr>
          <w:b/>
          <w:bCs/>
        </w:rPr>
        <w:tab/>
      </w:r>
      <w:r w:rsidRPr="00604BFA">
        <w:t>That carers have access to supports that are:</w:t>
      </w:r>
    </w:p>
    <w:p w14:paraId="7B033876" w14:textId="77777777" w:rsidR="00AA64B1" w:rsidRDefault="00AA64B1" w:rsidP="00AA64B1">
      <w:pPr>
        <w:pStyle w:val="ListParagraph"/>
        <w:numPr>
          <w:ilvl w:val="0"/>
          <w:numId w:val="18"/>
        </w:numPr>
      </w:pPr>
      <w:r w:rsidRPr="00604BFA">
        <w:t>accessible, regardless of a carer’s location or whether they have access to reliable, private internet services</w:t>
      </w:r>
    </w:p>
    <w:p w14:paraId="4599F4DD" w14:textId="77777777" w:rsidR="00AA64B1" w:rsidRDefault="00AA64B1" w:rsidP="00AA64B1">
      <w:pPr>
        <w:pStyle w:val="ListParagraph"/>
        <w:numPr>
          <w:ilvl w:val="0"/>
          <w:numId w:val="18"/>
        </w:numPr>
      </w:pPr>
      <w:r w:rsidRPr="00604BFA">
        <w:t>trauma-informed</w:t>
      </w:r>
    </w:p>
    <w:p w14:paraId="3E538EA3" w14:textId="77777777" w:rsidR="00AA64B1" w:rsidRDefault="00AA64B1" w:rsidP="00AA64B1">
      <w:pPr>
        <w:pStyle w:val="ListParagraph"/>
        <w:numPr>
          <w:ilvl w:val="0"/>
          <w:numId w:val="18"/>
        </w:numPr>
      </w:pPr>
      <w:r w:rsidRPr="00604BFA">
        <w:t>culturally responsive, and</w:t>
      </w:r>
    </w:p>
    <w:p w14:paraId="2693E094" w14:textId="77777777" w:rsidR="00AA64B1" w:rsidRDefault="00AA64B1" w:rsidP="00AA64B1">
      <w:pPr>
        <w:pStyle w:val="ListParagraph"/>
        <w:numPr>
          <w:ilvl w:val="0"/>
          <w:numId w:val="18"/>
        </w:numPr>
      </w:pPr>
      <w:r w:rsidRPr="00604BFA">
        <w:t>person-centred.</w:t>
      </w:r>
    </w:p>
    <w:p w14:paraId="4C11D942" w14:textId="63C8A326" w:rsidR="009D6EAA" w:rsidRDefault="009D6EAA">
      <w:pPr>
        <w:rPr>
          <w:rFonts w:eastAsiaTheme="majorEastAsia" w:cstheme="majorBidi"/>
          <w:color w:val="00476F"/>
          <w:sz w:val="32"/>
          <w:szCs w:val="32"/>
        </w:rPr>
      </w:pPr>
      <w:r>
        <w:br w:type="page"/>
      </w:r>
    </w:p>
    <w:p w14:paraId="1A93FCC4" w14:textId="52E591A9" w:rsidR="009D6EAA" w:rsidRDefault="009D6EAA" w:rsidP="009D6EAA">
      <w:pPr>
        <w:pStyle w:val="Heading2"/>
      </w:pPr>
      <w:r>
        <w:lastRenderedPageBreak/>
        <w:t>Annexure 2 – Key recommendations to Australian Government on ‘delivering quality care more efficiently’</w:t>
      </w:r>
    </w:p>
    <w:p w14:paraId="3A54B2D6" w14:textId="77777777" w:rsidR="009D6EAA" w:rsidRDefault="009D6EAA" w:rsidP="009D6EAA">
      <w:r w:rsidRPr="008F1D4A">
        <w:rPr>
          <w:b/>
          <w:bCs/>
        </w:rPr>
        <w:t>Recommendation 1</w:t>
      </w:r>
      <w:r w:rsidRPr="008F1D4A">
        <w:t xml:space="preserve"> That the Productivity Commission:</w:t>
      </w:r>
    </w:p>
    <w:p w14:paraId="5E5D8818" w14:textId="77777777" w:rsidR="009D6EAA" w:rsidRDefault="009D6EAA" w:rsidP="009D6EAA">
      <w:pPr>
        <w:pStyle w:val="ListParagraph"/>
        <w:numPr>
          <w:ilvl w:val="0"/>
          <w:numId w:val="7"/>
        </w:numPr>
      </w:pPr>
      <w:r w:rsidRPr="008F1D4A">
        <w:t>partner with the Australian Human Rights Commission to ensure that Australian governments can be confident that productivity reforms are anchored in, and explicitly support, human rights, and</w:t>
      </w:r>
    </w:p>
    <w:p w14:paraId="453ADE14" w14:textId="77777777" w:rsidR="009D6EAA" w:rsidRDefault="009D6EAA" w:rsidP="009D6EAA">
      <w:pPr>
        <w:pStyle w:val="ListParagraph"/>
        <w:numPr>
          <w:ilvl w:val="0"/>
          <w:numId w:val="7"/>
        </w:numPr>
      </w:pPr>
      <w:r w:rsidRPr="008F1D4A">
        <w:t xml:space="preserve">itself explicitly recommend that all productivity reforms be grounded in human rights. </w:t>
      </w:r>
    </w:p>
    <w:p w14:paraId="7E668B8A" w14:textId="77777777" w:rsidR="009D6EAA" w:rsidRDefault="009D6EAA" w:rsidP="009D6EAA">
      <w:r w:rsidRPr="008F1D4A">
        <w:rPr>
          <w:b/>
          <w:bCs/>
        </w:rPr>
        <w:t>Recommendation 2</w:t>
      </w:r>
      <w:r w:rsidRPr="008F1D4A">
        <w:t xml:space="preserve"> That, in planning for implementation in the prioritised sectors, Australian governments ensure that the tempo, activities and</w:t>
      </w:r>
      <w:r>
        <w:t xml:space="preserve"> </w:t>
      </w:r>
      <w:r w:rsidRPr="008F1D4A">
        <w:t xml:space="preserve">resourcing of regulators in other parts of the care and support economy (including family and relationship services) do not create perverse incentives for bad actors to move to those parts. </w:t>
      </w:r>
    </w:p>
    <w:p w14:paraId="3F042B03" w14:textId="77777777" w:rsidR="009D6EAA" w:rsidRDefault="009D6EAA" w:rsidP="009D6EAA">
      <w:r w:rsidRPr="008F1D4A">
        <w:rPr>
          <w:b/>
          <w:bCs/>
        </w:rPr>
        <w:t>Recommendation 5</w:t>
      </w:r>
      <w:r w:rsidRPr="008F1D4A">
        <w:t xml:space="preserve"> That, in ensuring “a consistent approach to the regulation of artificial intelligence across the aged care, NDIS and veterans’ care sectors,” the Commonwealth, state and territory governments must centre human rights and ethics. Regulation of AI in these sectors must not be viewed through merely technocratic or regulatory practice lenses. </w:t>
      </w:r>
    </w:p>
    <w:p w14:paraId="1DF2F1ED" w14:textId="77777777" w:rsidR="009D6EAA" w:rsidRDefault="009D6EAA" w:rsidP="009D6EAA">
      <w:r w:rsidRPr="008F1D4A">
        <w:rPr>
          <w:b/>
          <w:bCs/>
        </w:rPr>
        <w:t>Recommendation 6</w:t>
      </w:r>
      <w:r w:rsidRPr="008F1D4A">
        <w:t xml:space="preserve"> That the Productivity Commission engage with the Commonwealth Ombudsman on risks and opportunities for using AI to enhance productivity in the care and support sector. </w:t>
      </w:r>
    </w:p>
    <w:p w14:paraId="0C37D0CA" w14:textId="77777777" w:rsidR="009D6EAA" w:rsidRDefault="009D6EAA" w:rsidP="009D6EAA">
      <w:r w:rsidRPr="008F1D4A">
        <w:rPr>
          <w:b/>
          <w:bCs/>
        </w:rPr>
        <w:t>Recommendation 10</w:t>
      </w:r>
      <w:r w:rsidRPr="008F1D4A">
        <w:t xml:space="preserve"> That the Productivity Commission consider examining issues such as </w:t>
      </w:r>
      <w:proofErr w:type="gramStart"/>
      <w:r w:rsidRPr="008F1D4A">
        <w:t>short term</w:t>
      </w:r>
      <w:proofErr w:type="gramEnd"/>
      <w:r w:rsidRPr="008F1D4A">
        <w:t xml:space="preserve"> funding, poorly timed evaluations, and </w:t>
      </w:r>
      <w:proofErr w:type="gramStart"/>
      <w:r w:rsidRPr="008F1D4A">
        <w:t>eleventh hour</w:t>
      </w:r>
      <w:proofErr w:type="gramEnd"/>
      <w:r w:rsidRPr="008F1D4A">
        <w:t xml:space="preserve"> extensions in further detail in advising governments how they can contribute to lifting productivity. </w:t>
      </w:r>
    </w:p>
    <w:p w14:paraId="545197FE" w14:textId="77777777" w:rsidR="009D6EAA" w:rsidRDefault="009D6EAA" w:rsidP="009D6EAA">
      <w:r w:rsidRPr="008F1D4A">
        <w:rPr>
          <w:b/>
          <w:bCs/>
        </w:rPr>
        <w:t xml:space="preserve">Recommendation 11 </w:t>
      </w:r>
      <w:r w:rsidRPr="008F1D4A">
        <w:t>That all service providers, whether or not they partner with A</w:t>
      </w:r>
      <w:r>
        <w:t>boriginal Controlled Community Organisations</w:t>
      </w:r>
      <w:r w:rsidRPr="008F1D4A">
        <w:t xml:space="preserve"> and A</w:t>
      </w:r>
      <w:r>
        <w:t>boriginal Controlled Community Health Organisations</w:t>
      </w:r>
      <w:r w:rsidRPr="008F1D4A">
        <w:t xml:space="preserve">, </w:t>
      </w:r>
      <w:r>
        <w:t xml:space="preserve">to </w:t>
      </w:r>
      <w:r w:rsidRPr="008F1D4A">
        <w:t xml:space="preserve">ensure that their services, service outlets and workers are culturally safe, so that First Nations people have choice about whether to go to an ACCO service or another service, and are culturally safe regardless of their choice. </w:t>
      </w:r>
    </w:p>
    <w:p w14:paraId="5940D778" w14:textId="77777777" w:rsidR="009D6EAA" w:rsidRDefault="009D6EAA" w:rsidP="009D6EAA">
      <w:r w:rsidRPr="008F1D4A">
        <w:rPr>
          <w:b/>
          <w:bCs/>
        </w:rPr>
        <w:t>Recommendation 12</w:t>
      </w:r>
      <w:r w:rsidRPr="008F1D4A">
        <w:t xml:space="preserve"> That the proposed National Prevention Investment Framework should explicitly include support for universally accessible services that operate among the general population.</w:t>
      </w:r>
    </w:p>
    <w:p w14:paraId="4277A02C" w14:textId="0248816B" w:rsidR="00C93F8F" w:rsidRDefault="00C93F8F">
      <w:r>
        <w:br w:type="page"/>
      </w:r>
    </w:p>
    <w:p w14:paraId="46616E3E" w14:textId="363D5D1E" w:rsidR="00C93F8F" w:rsidRDefault="00C93F8F" w:rsidP="00C93F8F">
      <w:pPr>
        <w:pStyle w:val="Heading2"/>
      </w:pPr>
      <w:r>
        <w:lastRenderedPageBreak/>
        <w:t>Annexure 3</w:t>
      </w:r>
      <w:r>
        <w:tab/>
      </w:r>
      <w:r w:rsidR="00431C14">
        <w:t>Key r</w:t>
      </w:r>
      <w:r>
        <w:t>ecommendations from Relationships Australia submission</w:t>
      </w:r>
      <w:r w:rsidR="000F3E9D">
        <w:t>s</w:t>
      </w:r>
      <w:r>
        <w:t xml:space="preserve"> </w:t>
      </w:r>
      <w:r w:rsidR="00FB04A6">
        <w:t>about aged care legislation</w:t>
      </w:r>
    </w:p>
    <w:p w14:paraId="17FA3DC3" w14:textId="685C058C" w:rsidR="00FB04A6" w:rsidRDefault="00FB04A6" w:rsidP="0037368D">
      <w:pPr>
        <w:spacing w:after="0"/>
      </w:pPr>
      <w:r w:rsidRPr="00FB04A6">
        <w:rPr>
          <w:b/>
          <w:bCs/>
        </w:rPr>
        <w:t>Recommendation 6</w:t>
      </w:r>
      <w:r w:rsidR="0037368D">
        <w:rPr>
          <w:b/>
          <w:bCs/>
        </w:rPr>
        <w:tab/>
      </w:r>
      <w:r w:rsidRPr="00FB04A6">
        <w:t>That:</w:t>
      </w:r>
    </w:p>
    <w:p w14:paraId="2D7104FA" w14:textId="77777777" w:rsidR="00FB04A6" w:rsidRDefault="00FB04A6" w:rsidP="00FB04A6">
      <w:pPr>
        <w:pStyle w:val="ListParagraph"/>
        <w:numPr>
          <w:ilvl w:val="0"/>
          <w:numId w:val="32"/>
        </w:numPr>
      </w:pPr>
      <w:r w:rsidRPr="00FB04A6">
        <w:t>Government act urgently to implement reforms to reduce, with a view to eliminating, the use of restrictive practices in aged care services, and</w:t>
      </w:r>
    </w:p>
    <w:p w14:paraId="58FD7119" w14:textId="4509BEFD" w:rsidR="00FB04A6" w:rsidRDefault="00FB04A6" w:rsidP="00FB04A6">
      <w:pPr>
        <w:pStyle w:val="ListParagraph"/>
        <w:numPr>
          <w:ilvl w:val="0"/>
          <w:numId w:val="32"/>
        </w:numPr>
      </w:pPr>
      <w:r w:rsidRPr="00FB04A6">
        <w:t>provisions authorising the use of restrictive practices (which would otherwise be unlawful as assault and/or false imprisonment):</w:t>
      </w:r>
    </w:p>
    <w:p w14:paraId="3405396A" w14:textId="77777777" w:rsidR="00FB04A6" w:rsidRDefault="00FB04A6" w:rsidP="00FB04A6">
      <w:pPr>
        <w:pStyle w:val="ListParagraph"/>
        <w:numPr>
          <w:ilvl w:val="1"/>
          <w:numId w:val="32"/>
        </w:numPr>
      </w:pPr>
      <w:r w:rsidRPr="00FB04A6">
        <w:t>be included in the Act, rather than subordinate legislative instruments, reflecting that use of restrictive practices is a grave impairment of human rights and may cause serious bodily harm</w:t>
      </w:r>
    </w:p>
    <w:p w14:paraId="12D065CF" w14:textId="77777777" w:rsidR="00FB04A6" w:rsidRDefault="00FB04A6" w:rsidP="00FB04A6">
      <w:pPr>
        <w:pStyle w:val="ListParagraph"/>
        <w:numPr>
          <w:ilvl w:val="1"/>
          <w:numId w:val="32"/>
        </w:numPr>
      </w:pPr>
      <w:r w:rsidRPr="00FB04A6">
        <w:t>take human rights as a starting point, rather than assuming the necessity for the use of restrictive practices and normalising their use</w:t>
      </w:r>
    </w:p>
    <w:p w14:paraId="192FF7E0" w14:textId="77777777" w:rsidR="00FB04A6" w:rsidRDefault="00FB04A6" w:rsidP="00FB04A6">
      <w:pPr>
        <w:pStyle w:val="ListParagraph"/>
        <w:numPr>
          <w:ilvl w:val="1"/>
          <w:numId w:val="32"/>
        </w:numPr>
      </w:pPr>
      <w:r w:rsidRPr="00FB04A6">
        <w:t>omit all references to ‘informed consent’ to restrictive practices and substitute a term that more accurately reflects what is happening – statutory authorisation for otherwise unlawful conduct in respect of a person</w:t>
      </w:r>
    </w:p>
    <w:p w14:paraId="1D25C7DA" w14:textId="25A72B2C" w:rsidR="00FB04A6" w:rsidRDefault="00FB04A6" w:rsidP="00FB04A6">
      <w:pPr>
        <w:pStyle w:val="ListParagraph"/>
        <w:numPr>
          <w:ilvl w:val="1"/>
          <w:numId w:val="32"/>
        </w:numPr>
      </w:pPr>
      <w:r w:rsidRPr="00FB04A6">
        <w:t>clarify authorising pathways, and address the various roles of attorneys, donees of advance health care directives, supporters, representatives and guardians appointed under state or territory legislation, and</w:t>
      </w:r>
    </w:p>
    <w:p w14:paraId="0BF7F059" w14:textId="601F07C0" w:rsidR="00FB04A6" w:rsidRDefault="005424B2" w:rsidP="00FB04A6">
      <w:pPr>
        <w:pStyle w:val="ListParagraph"/>
        <w:numPr>
          <w:ilvl w:val="0"/>
          <w:numId w:val="32"/>
        </w:numPr>
      </w:pPr>
      <w:r>
        <w:t>c</w:t>
      </w:r>
      <w:r w:rsidRPr="005424B2">
        <w:t xml:space="preserve">learly define the concept of ‘emergency’ </w:t>
      </w:r>
      <w:r w:rsidR="00723F65">
        <w:t>…</w:t>
      </w:r>
      <w:r w:rsidRPr="005424B2">
        <w:t xml:space="preserve">; a useful contemporary example can be found in the definition of ‘urgent restricted medical treatment’ in the Dictionary of the </w:t>
      </w:r>
      <w:r w:rsidRPr="005424B2">
        <w:rPr>
          <w:i/>
          <w:iCs/>
        </w:rPr>
        <w:t>Variation of Sex Characteristics (Restricted Medical Treatment) Act 2023</w:t>
      </w:r>
      <w:r w:rsidRPr="005424B2">
        <w:t xml:space="preserve"> (A</w:t>
      </w:r>
      <w:r>
        <w:t>ustralian Capital Territory</w:t>
      </w:r>
      <w:r w:rsidRPr="005424B2">
        <w:t>).</w:t>
      </w:r>
    </w:p>
    <w:p w14:paraId="34837E69" w14:textId="2D9A841B" w:rsidR="008E2BB6" w:rsidRDefault="008E2BB6" w:rsidP="008E2BB6">
      <w:r w:rsidRPr="008E2BB6">
        <w:rPr>
          <w:b/>
          <w:bCs/>
        </w:rPr>
        <w:t>Recommendation 7 Restrictive practices: data collection</w:t>
      </w:r>
      <w:r w:rsidR="0037368D">
        <w:rPr>
          <w:b/>
          <w:bCs/>
        </w:rPr>
        <w:tab/>
      </w:r>
      <w:r w:rsidRPr="008E2BB6">
        <w:t>That Government undertake systematic national collection, publication and analysis of data about the use of all restrictive practices in funded aged care services, regardless of setting.</w:t>
      </w:r>
    </w:p>
    <w:p w14:paraId="39C5D20B" w14:textId="70C2181A" w:rsidR="000F3E9D" w:rsidRDefault="000F3E9D" w:rsidP="0037368D">
      <w:r w:rsidRPr="000F3E9D">
        <w:rPr>
          <w:b/>
          <w:bCs/>
        </w:rPr>
        <w:t>Recommendation 9 from RA’s foundations submission</w:t>
      </w:r>
      <w:r w:rsidR="0037368D">
        <w:tab/>
      </w:r>
      <w:r w:rsidRPr="000F3E9D">
        <w:t>The Act should:</w:t>
      </w:r>
    </w:p>
    <w:p w14:paraId="405E4E5E" w14:textId="7CF14216" w:rsidR="000F3E9D" w:rsidRDefault="000F3E9D" w:rsidP="000F3E9D">
      <w:pPr>
        <w:pStyle w:val="ListParagraph"/>
        <w:numPr>
          <w:ilvl w:val="0"/>
          <w:numId w:val="33"/>
        </w:numPr>
      </w:pPr>
      <w:r w:rsidRPr="000F3E9D">
        <w:t xml:space="preserve">embed supported decision-making </w:t>
      </w:r>
      <w:r>
        <w:t>…</w:t>
      </w:r>
      <w:r w:rsidRPr="000F3E9D">
        <w:t xml:space="preserve"> </w:t>
      </w:r>
    </w:p>
    <w:p w14:paraId="58E8957F" w14:textId="77777777" w:rsidR="000F3E9D" w:rsidRDefault="000F3E9D" w:rsidP="000F3E9D">
      <w:pPr>
        <w:pStyle w:val="ListParagraph"/>
        <w:numPr>
          <w:ilvl w:val="0"/>
          <w:numId w:val="33"/>
        </w:numPr>
      </w:pPr>
      <w:r w:rsidRPr="000F3E9D">
        <w:t xml:space="preserve">mandate that </w:t>
      </w:r>
      <w:proofErr w:type="gramStart"/>
      <w:r w:rsidRPr="000F3E9D">
        <w:t>substitute</w:t>
      </w:r>
      <w:proofErr w:type="gramEnd"/>
      <w:r w:rsidRPr="000F3E9D">
        <w:t xml:space="preserve"> decision-making occurs only to the extent permitted by the Act itself (not subordinate legislation), and in accordance with the best possible interpretation of the person’s wishes and preferences</w:t>
      </w:r>
    </w:p>
    <w:p w14:paraId="2118B1AA" w14:textId="6DDF45D9" w:rsidR="000F3E9D" w:rsidRDefault="000F3E9D" w:rsidP="000F3E9D">
      <w:pPr>
        <w:pStyle w:val="ListParagraph"/>
        <w:numPr>
          <w:ilvl w:val="0"/>
          <w:numId w:val="33"/>
        </w:numPr>
      </w:pPr>
      <w:r w:rsidRPr="000F3E9D">
        <w:t>be very clear about the relationship between nominees and representatives appointed pursuant to the Act and nominees, representatives and advocates appointed pursuant to other legislation (eg people exercising powers of attorney) or in respect of other systems….</w:t>
      </w:r>
    </w:p>
    <w:p w14:paraId="6D50F146" w14:textId="77777777" w:rsidR="000F3E9D" w:rsidRDefault="000F3E9D" w:rsidP="000F3E9D">
      <w:pPr>
        <w:pStyle w:val="ListParagraph"/>
        <w:numPr>
          <w:ilvl w:val="0"/>
          <w:numId w:val="33"/>
        </w:numPr>
      </w:pPr>
      <w:r w:rsidRPr="000F3E9D">
        <w:t xml:space="preserve">mandate a </w:t>
      </w:r>
      <w:proofErr w:type="gramStart"/>
      <w:r w:rsidRPr="000F3E9D">
        <w:t>community visitor programmes</w:t>
      </w:r>
      <w:proofErr w:type="gramEnd"/>
      <w:r w:rsidRPr="000F3E9D">
        <w:t>,</w:t>
      </w:r>
      <w:r>
        <w:t xml:space="preserve"> </w:t>
      </w:r>
      <w:r w:rsidRPr="000F3E9D">
        <w:t>with a legislative mandate for those visitors to monitor and report on the use of restrictive practices</w:t>
      </w:r>
    </w:p>
    <w:p w14:paraId="520F591E" w14:textId="77777777" w:rsidR="000F3E9D" w:rsidRDefault="000F3E9D" w:rsidP="000F3E9D">
      <w:pPr>
        <w:pStyle w:val="ListParagraph"/>
        <w:numPr>
          <w:ilvl w:val="0"/>
          <w:numId w:val="33"/>
        </w:numPr>
      </w:pPr>
      <w:r w:rsidRPr="000F3E9D">
        <w:t xml:space="preserve">require systematic national collection, publication and analysis of data about the use of all restrictive processes in aged care services, regardless of setting. </w:t>
      </w:r>
    </w:p>
    <w:p w14:paraId="2796FB86" w14:textId="77777777" w:rsidR="009D6EAA" w:rsidRDefault="009D6EAA" w:rsidP="009D6EAA">
      <w:r>
        <w:br w:type="page"/>
      </w:r>
    </w:p>
    <w:p w14:paraId="6AF0F4A7" w14:textId="217D6850" w:rsidR="00567069" w:rsidRDefault="00567069" w:rsidP="00567069">
      <w:pPr>
        <w:pStyle w:val="Heading2"/>
      </w:pPr>
      <w:r>
        <w:lastRenderedPageBreak/>
        <w:t xml:space="preserve">References </w:t>
      </w:r>
    </w:p>
    <w:p w14:paraId="63A73E9F" w14:textId="558B91F6" w:rsidR="002E7500" w:rsidRPr="0036719B" w:rsidRDefault="002E7500" w:rsidP="00F83F53">
      <w:pPr>
        <w:spacing w:after="120"/>
      </w:pPr>
      <w:r w:rsidRPr="0036719B">
        <w:t>Australian Bureau of Statistics. (2021). </w:t>
      </w:r>
      <w:r w:rsidRPr="0036719B">
        <w:rPr>
          <w:i/>
          <w:iCs/>
        </w:rPr>
        <w:t>Unpaid work and care: Census</w:t>
      </w:r>
      <w:r w:rsidRPr="0036719B">
        <w:t xml:space="preserve">. ABS. </w:t>
      </w:r>
      <w:hyperlink r:id="rId17" w:history="1">
        <w:r w:rsidRPr="0036719B">
          <w:rPr>
            <w:rStyle w:val="Hyperlink"/>
          </w:rPr>
          <w:t>https://www.abs.gov.au/statistics/people/people-and-communities/unpaid-work-and-care-census/latest-release</w:t>
        </w:r>
      </w:hyperlink>
      <w:r w:rsidRPr="0036719B">
        <w:t xml:space="preserve">. </w:t>
      </w:r>
    </w:p>
    <w:p w14:paraId="53BE8B93" w14:textId="33126486" w:rsidR="00EF386C" w:rsidRPr="0036719B" w:rsidRDefault="00EF386C" w:rsidP="00F83F53">
      <w:pPr>
        <w:spacing w:after="120"/>
      </w:pPr>
      <w:r w:rsidRPr="0036719B">
        <w:t xml:space="preserve">Australian Competition and Consumer Commission (2026) Continued action critical to combat fraud as annual losses exceed $2billion. Accessible at </w:t>
      </w:r>
      <w:hyperlink r:id="rId18" w:history="1">
        <w:r w:rsidRPr="0036719B">
          <w:rPr>
            <w:rStyle w:val="Hyperlink"/>
          </w:rPr>
          <w:t>https://www.accc.gov.au/media-release/continued-action-critical-to-combat-fraud-as-annual-scam-losses-exceed-2-billion</w:t>
        </w:r>
      </w:hyperlink>
    </w:p>
    <w:p w14:paraId="418D52DD" w14:textId="2382EDAB" w:rsidR="007F0BA5" w:rsidRPr="0036719B" w:rsidRDefault="00F613A8" w:rsidP="00F83F53">
      <w:pPr>
        <w:spacing w:after="120"/>
      </w:pPr>
      <w:r w:rsidRPr="0036719B">
        <w:t>Australian Law Reform Commission</w:t>
      </w:r>
      <w:r w:rsidR="00AD4279" w:rsidRPr="0036719B">
        <w:t xml:space="preserve">. (2014) Equality, Capacity and Disability in Commonwealth Laws (Report No. 124). Accessible at </w:t>
      </w:r>
      <w:hyperlink r:id="rId19" w:history="1">
        <w:r w:rsidR="00AD4279" w:rsidRPr="0036719B">
          <w:rPr>
            <w:rStyle w:val="Hyperlink"/>
          </w:rPr>
          <w:t>https://www.alrc.gov.au/publication/equality-capacity-and-disability-in-commonwealth-laws-alrc-report-124/</w:t>
        </w:r>
      </w:hyperlink>
      <w:r w:rsidR="00AD4279" w:rsidRPr="0036719B">
        <w:t xml:space="preserve"> </w:t>
      </w:r>
    </w:p>
    <w:p w14:paraId="1974A57B" w14:textId="5CBC5960" w:rsidR="00F613A8" w:rsidRPr="0036719B" w:rsidRDefault="00F613A8" w:rsidP="00F83F53">
      <w:pPr>
        <w:spacing w:after="120"/>
      </w:pPr>
      <w:r w:rsidRPr="0036719B">
        <w:t xml:space="preserve">Australian Law Reform Commission. (2017) Elder abuse: A national legal response. (Report 131) </w:t>
      </w:r>
      <w:hyperlink r:id="rId20" w:history="1">
        <w:r w:rsidRPr="0036719B">
          <w:rPr>
            <w:rStyle w:val="Hyperlink"/>
          </w:rPr>
          <w:t>https://www.alrc.gov.au/publication/elder-abuse-a-national-legal-response-alrc-report-131/</w:t>
        </w:r>
      </w:hyperlink>
      <w:r w:rsidRPr="0036719B">
        <w:t xml:space="preserve"> </w:t>
      </w:r>
    </w:p>
    <w:p w14:paraId="74E3A702" w14:textId="2B41CBBD" w:rsidR="00CB0DAD" w:rsidRDefault="00CB0DAD" w:rsidP="00F83F53">
      <w:pPr>
        <w:spacing w:after="120"/>
      </w:pPr>
      <w:r w:rsidRPr="00CB0DAD">
        <w:t xml:space="preserve">Blaxland M, 2010, 'Mothers and mutual obligation: policy reforming the good mother', in Goodwin S; Huppatz K (ed.), The Good Mother: Contemporary Motherhoods in Australia, Sydney University Press, Sydney, pp. 131 - 151, </w:t>
      </w:r>
      <w:hyperlink r:id="rId21" w:history="1">
        <w:r w:rsidRPr="00071759">
          <w:rPr>
            <w:rStyle w:val="Hyperlink"/>
          </w:rPr>
          <w:t>http://purl.library.usyd.edu.au/sup/9781920899530</w:t>
        </w:r>
      </w:hyperlink>
      <w:r>
        <w:t xml:space="preserve"> </w:t>
      </w:r>
    </w:p>
    <w:p w14:paraId="683D4F2D" w14:textId="5D071CAB" w:rsidR="004D3A4E" w:rsidRPr="0036719B" w:rsidRDefault="004D3A4E" w:rsidP="00F83F53">
      <w:pPr>
        <w:spacing w:after="120"/>
      </w:pPr>
      <w:r w:rsidRPr="0036719B">
        <w:t>Broadway, B, Kalb, G, and Maheswaran, D. (2022) From Partnered to Single: Financial Security Over a Lifetime. Melbourne Institute: Applied Economic &amp; Social Research, The University of Melbourne.</w:t>
      </w:r>
    </w:p>
    <w:p w14:paraId="2549B00F" w14:textId="4DB9C224" w:rsidR="00413279" w:rsidRPr="0036719B" w:rsidRDefault="00413279" w:rsidP="00F83F53">
      <w:pPr>
        <w:spacing w:after="120"/>
      </w:pPr>
      <w:r w:rsidRPr="0036719B">
        <w:t xml:space="preserve">Carnell. K. &amp; Paterson, R. (2017) Report of Review of National Aged Care Regulatory Processes. </w:t>
      </w:r>
      <w:hyperlink r:id="rId22" w:history="1">
        <w:r w:rsidRPr="0036719B">
          <w:rPr>
            <w:rStyle w:val="Hyperlink"/>
          </w:rPr>
          <w:t>https://www.health.gov.au/resources/publications/review-of-national-aged-care-quality-regulatory-processes-report?language=en</w:t>
        </w:r>
      </w:hyperlink>
      <w:r w:rsidRPr="0036719B">
        <w:t xml:space="preserve"> </w:t>
      </w:r>
    </w:p>
    <w:p w14:paraId="67704019" w14:textId="77777777" w:rsidR="004D3A4E" w:rsidRPr="0036719B" w:rsidRDefault="004D3A4E" w:rsidP="00F83F53">
      <w:pPr>
        <w:spacing w:after="120"/>
      </w:pPr>
      <w:r w:rsidRPr="0036719B">
        <w:t>de Vaus, D., Gray, M., Qu, L., &amp; Stanton, D. (2007). The consequences of divorce for financial living standards in later life (Research Paper No. 38). Melbourne: Australian Institute of Family Studies</w:t>
      </w:r>
    </w:p>
    <w:p w14:paraId="3EECF31A" w14:textId="77777777" w:rsidR="004D3A4E" w:rsidRPr="0036719B" w:rsidRDefault="004D3A4E" w:rsidP="00F83F53">
      <w:pPr>
        <w:spacing w:after="120"/>
      </w:pPr>
      <w:r w:rsidRPr="0036719B">
        <w:t xml:space="preserve">de Vaus, D., Gray, M., Qu, L., &amp; Stanton, D. (2015). The economic consequences of divorce in six OECD countries (Research Report No. 31). Melbourne: Australian Institute of Family Studies </w:t>
      </w:r>
    </w:p>
    <w:p w14:paraId="4B63550B" w14:textId="23370B02" w:rsidR="004D3A4E" w:rsidRPr="0036719B" w:rsidRDefault="004D3A4E" w:rsidP="00F83F53">
      <w:pPr>
        <w:spacing w:after="120"/>
      </w:pPr>
      <w:r w:rsidRPr="0036719B">
        <w:t xml:space="preserve">Easteal, P., Young, L., &amp; Carline, A. (2018). Domestic violence, property and family law in Australia. International Journal of Law, Policy and The Family, 32, 204–229. doi:10.1093/lawfam/eby005 </w:t>
      </w:r>
    </w:p>
    <w:p w14:paraId="2448343D" w14:textId="40642285" w:rsidR="000F795E" w:rsidRPr="0036719B" w:rsidRDefault="000F795E" w:rsidP="00F83F53">
      <w:pPr>
        <w:spacing w:after="120"/>
      </w:pPr>
      <w:r w:rsidRPr="0036719B">
        <w:t xml:space="preserve">Evaluate (for Carers Australia) (2022) Caring Costs Us: The Economic Impact on Lifetime Income and Retirement Savings of Informal Carers. </w:t>
      </w:r>
      <w:hyperlink r:id="rId23" w:history="1">
        <w:r w:rsidRPr="0036719B">
          <w:rPr>
            <w:rStyle w:val="Hyperlink"/>
          </w:rPr>
          <w:t>https://www.carersaustralia.com.au/wpcontent/uploads/2022/04/Final-Economic-impact-income-and-retirement-Evaluate-Report-March2022.pdf</w:t>
        </w:r>
      </w:hyperlink>
      <w:r w:rsidRPr="0036719B">
        <w:t xml:space="preserve"> </w:t>
      </w:r>
    </w:p>
    <w:p w14:paraId="5C77704D" w14:textId="6DA02326" w:rsidR="004D3A4E" w:rsidRPr="0036719B" w:rsidRDefault="004D3A4E" w:rsidP="00F83F53">
      <w:pPr>
        <w:spacing w:after="120"/>
      </w:pPr>
      <w:r w:rsidRPr="0036719B">
        <w:t>Fehlberg, B. &amp; Millward, C. (2014). Family violence and financial outcomes after parental separation. In Hayes, A. &amp; Higgins, D. (Eds.) Families, policy and the law: Selected essays on contemporary issues for Australia (1 ed., pp. 235-243) Australian Institute of Family Studies.</w:t>
      </w:r>
    </w:p>
    <w:p w14:paraId="295019FA" w14:textId="3A4C82F1" w:rsidR="00085B23" w:rsidRPr="0036719B" w:rsidRDefault="00085B23" w:rsidP="00F83F53">
      <w:pPr>
        <w:spacing w:after="120"/>
      </w:pPr>
      <w:r w:rsidRPr="0036719B">
        <w:lastRenderedPageBreak/>
        <w:t xml:space="preserve">Fieldstone, </w:t>
      </w:r>
      <w:r w:rsidR="00043459" w:rsidRPr="0036719B">
        <w:t>L.,</w:t>
      </w:r>
      <w:r w:rsidRPr="0036719B">
        <w:t xml:space="preserve"> Bronson</w:t>
      </w:r>
      <w:r w:rsidR="00043459" w:rsidRPr="0036719B">
        <w:t>, S.</w:t>
      </w:r>
      <w:r w:rsidRPr="0036719B">
        <w:t xml:space="preserve"> &amp; Morley, </w:t>
      </w:r>
      <w:r w:rsidR="00043459" w:rsidRPr="0036719B">
        <w:t xml:space="preserve">M. </w:t>
      </w:r>
      <w:r w:rsidRPr="0036719B">
        <w:t>‘Association for Conflict Resolution Guidelines for Eldercaring Coordinators’ (2015) 53 Family Court Review 545</w:t>
      </w:r>
    </w:p>
    <w:p w14:paraId="586038DF" w14:textId="59B67F52" w:rsidR="00490C06" w:rsidRDefault="00490C06" w:rsidP="00F83F53">
      <w:pPr>
        <w:spacing w:after="120"/>
      </w:pPr>
      <w:r w:rsidRPr="0036719B">
        <w:t>Gray, M., de Vaus, D., Qu, L., &amp; Stanton, D. (2010). Divorce and the wellbeing of older Australians (Research Paper No. 46). Melbourne: Australian Institute of Family Studies.</w:t>
      </w:r>
    </w:p>
    <w:p w14:paraId="7DDDFE78" w14:textId="77777777" w:rsidR="00F91EDB" w:rsidRPr="0036719B" w:rsidRDefault="00F91EDB" w:rsidP="00F83F53">
      <w:pPr>
        <w:spacing w:after="120"/>
      </w:pPr>
      <w:r>
        <w:t>H</w:t>
      </w:r>
      <w:r w:rsidRPr="006C433C">
        <w:t>an, B</w:t>
      </w:r>
      <w:r>
        <w:t>.</w:t>
      </w:r>
      <w:r w:rsidRPr="006C433C">
        <w:t xml:space="preserve"> &amp; Button, M. (2025). An Anatomy of ‘Pig Butchering Scams’: Chinese Victims’ and Police Officers’ Perspectives. Deviant Behavior, 1–19. </w:t>
      </w:r>
      <w:hyperlink r:id="rId24" w:history="1">
        <w:r w:rsidRPr="0036719B">
          <w:rPr>
            <w:rStyle w:val="Hyperlink"/>
          </w:rPr>
          <w:t>https://doi.org/10.1080/01639625.2025.2453821</w:t>
        </w:r>
      </w:hyperlink>
      <w:r w:rsidRPr="0036719B">
        <w:t xml:space="preserve"> </w:t>
      </w:r>
    </w:p>
    <w:p w14:paraId="60D464C5" w14:textId="14FC8E6A" w:rsidR="00490C06" w:rsidRPr="0036719B" w:rsidRDefault="00490C06" w:rsidP="00F83F53">
      <w:pPr>
        <w:spacing w:after="120"/>
      </w:pPr>
      <w:r w:rsidRPr="0036719B">
        <w:t>Hill, T, Thomson, C &amp; Cass, B. (2011) The costs of caring and the living standards of carers. Social Policy Research Paper No. 43. Social Policy Research Centre, University of New South Wales</w:t>
      </w:r>
    </w:p>
    <w:p w14:paraId="2493C0CE" w14:textId="2841266D" w:rsidR="001B4616" w:rsidRDefault="001B4616" w:rsidP="00F83F53">
      <w:pPr>
        <w:spacing w:after="120"/>
      </w:pPr>
      <w:r w:rsidRPr="0036719B">
        <w:t>House of Representatives Standing Committee on Legal and Constitutional Affairs (2007) Older</w:t>
      </w:r>
      <w:r>
        <w:t xml:space="preserve"> People and the Law.</w:t>
      </w:r>
    </w:p>
    <w:p w14:paraId="6D8950EE" w14:textId="77777777" w:rsidR="006866A6" w:rsidRDefault="006866A6" w:rsidP="00F83F53">
      <w:pPr>
        <w:spacing w:after="120"/>
      </w:pPr>
      <w:r w:rsidRPr="00AF652C">
        <w:t>James, B.D., Boyle, P.A., Bennett, D.A. Correlates of susceptibility to scams in older adults without dementia. J Elder Abuse Negl. 2014;26(2):107-22. doi: 10.1080/08946566.2013.821809. PMID: 24499279; PMCID: PMC3916958.</w:t>
      </w:r>
    </w:p>
    <w:p w14:paraId="47F2993F" w14:textId="77777777" w:rsidR="006866A6" w:rsidRDefault="006866A6" w:rsidP="00F83F53">
      <w:pPr>
        <w:spacing w:after="120"/>
      </w:pPr>
      <w:r w:rsidRPr="00AF652C">
        <w:t xml:space="preserve">Johnston, J. (2023) The top 5 financial scams targeting older adults. </w:t>
      </w:r>
      <w:hyperlink r:id="rId25" w:history="1">
        <w:r w:rsidRPr="00286BC3">
          <w:rPr>
            <w:rStyle w:val="Hyperlink"/>
          </w:rPr>
          <w:t>https://www.ncoa.org/article/top-5- financial-scams-targeting-older-adults/</w:t>
        </w:r>
      </w:hyperlink>
      <w:r>
        <w:t xml:space="preserve"> </w:t>
      </w:r>
    </w:p>
    <w:p w14:paraId="5578E1E4" w14:textId="03584A93" w:rsidR="00B7131D" w:rsidRDefault="00B7131D" w:rsidP="00F83F53">
      <w:pPr>
        <w:spacing w:after="120"/>
      </w:pPr>
      <w:r w:rsidRPr="00B7131D">
        <w:t>Klein E, Cook K, Maury S, Bowey K. An exploratory study examining the changes to Australia's social security system during COVID-19 lockdown measures. Aust J Soc Issues. 2022 57(1):51-69. doi: 10.1002/ajs4.196. Epub 2021 Nov 14. PMID: 34898752; PMCID: PMC8652978.</w:t>
      </w:r>
      <w:r>
        <w:t xml:space="preserve"> </w:t>
      </w:r>
    </w:p>
    <w:p w14:paraId="5172AED4" w14:textId="4D994BB0" w:rsidR="00253B5B" w:rsidRDefault="00253B5B" w:rsidP="00F83F53">
      <w:pPr>
        <w:spacing w:after="120"/>
      </w:pPr>
      <w:r>
        <w:t>Livings, B., O’Brien, E., Bagshaw, D. &amp; Roe, P</w:t>
      </w:r>
      <w:r w:rsidRPr="008B3555">
        <w:t>. (2026) Preserving</w:t>
      </w:r>
      <w:r>
        <w:t xml:space="preserve"> Dignity, Overcoming Conflict. Adelaide’s Eldercaring Coordination Project. Accessible at </w:t>
      </w:r>
      <w:hyperlink r:id="rId26" w:history="1">
        <w:r w:rsidRPr="00B60998">
          <w:rPr>
            <w:rStyle w:val="Hyperlink"/>
          </w:rPr>
          <w:t>https://www.relationships.org.au/wp-content/uploads/Livings-OBrien-Bagshaw-Roe-Preserving-Dignity-Overcoming-Conflict-FINAL-REPORT.pdf</w:t>
        </w:r>
      </w:hyperlink>
      <w:r>
        <w:t xml:space="preserve"> </w:t>
      </w:r>
    </w:p>
    <w:p w14:paraId="1D47AAF7" w14:textId="77777777" w:rsidR="009D6942" w:rsidRDefault="009D6942" w:rsidP="00F83F53">
      <w:pPr>
        <w:spacing w:after="120"/>
      </w:pPr>
      <w:r w:rsidRPr="00AF652C">
        <w:t xml:space="preserve">Liu PJ, Wood S, Xi P, Berger DE, Wilber K. The Role of Social Support in Elder Financial Exploitation Using a Community Sample. Innov Aging. </w:t>
      </w:r>
      <w:r>
        <w:t>(</w:t>
      </w:r>
      <w:r w:rsidRPr="00AF652C">
        <w:t>2017</w:t>
      </w:r>
      <w:r>
        <w:t>)</w:t>
      </w:r>
      <w:r w:rsidRPr="00AF652C">
        <w:t xml:space="preserve"> Sep 18;1(1</w:t>
      </w:r>
      <w:proofErr w:type="gramStart"/>
      <w:r w:rsidRPr="00AF652C">
        <w:t>):igx</w:t>
      </w:r>
      <w:proofErr w:type="gramEnd"/>
      <w:r w:rsidRPr="00AF652C">
        <w:t>016. doi: 10.1093/geroni/igx016. PMID: 30480110; PMCID: PMC6234911.</w:t>
      </w:r>
      <w:r>
        <w:t xml:space="preserve"> </w:t>
      </w:r>
    </w:p>
    <w:p w14:paraId="3AF87A07" w14:textId="2BDE5D57" w:rsidR="00E970E3" w:rsidRDefault="00E970E3" w:rsidP="00F83F53">
      <w:pPr>
        <w:spacing w:after="120"/>
      </w:pPr>
      <w:r>
        <w:t xml:space="preserve">Magdalena Z. Raban, B. R., Nasir, W., Li, L., Manias, E, Morgan, M., Bucknall, T., Cameron, I. D., Bell, J. S., Silva, S. S., Gyawali, R. &amp; Westbrook, J. I. (2025) 26(11) National Aged Care Reforms and Trends in Psychotropic Medication Use in 428 Residential Age Care Facilities, 2018-2022, Journal of the American Medical Directors Association. </w:t>
      </w:r>
      <w:hyperlink r:id="rId27" w:history="1">
        <w:r w:rsidRPr="00F14B4B">
          <w:rPr>
            <w:rStyle w:val="Hyperlink"/>
          </w:rPr>
          <w:t>https://doi.org/10.1016/j.jamda.2025.105832</w:t>
        </w:r>
      </w:hyperlink>
      <w:r>
        <w:t xml:space="preserve"> </w:t>
      </w:r>
    </w:p>
    <w:p w14:paraId="2061FEA3" w14:textId="049C3F75" w:rsidR="004A2972" w:rsidRDefault="004A2972" w:rsidP="00F83F53">
      <w:pPr>
        <w:spacing w:after="120"/>
      </w:pPr>
      <w:r w:rsidRPr="004A2972">
        <w:t>McLean, S</w:t>
      </w:r>
      <w:r w:rsidR="00A21A49">
        <w:t>.</w:t>
      </w:r>
      <w:r w:rsidRPr="004A2972">
        <w:t xml:space="preserve"> A</w:t>
      </w:r>
      <w:r w:rsidR="00A21A49">
        <w:t>.</w:t>
      </w:r>
      <w:r w:rsidRPr="004A2972">
        <w:t xml:space="preserve"> M</w:t>
      </w:r>
      <w:r w:rsidR="00A21A49">
        <w:t xml:space="preserve">. &amp; </w:t>
      </w:r>
      <w:r w:rsidRPr="004A2972">
        <w:t>Petersen</w:t>
      </w:r>
      <w:r w:rsidR="00A21A49">
        <w:t xml:space="preserve">, K. </w:t>
      </w:r>
      <w:r w:rsidRPr="004A2972">
        <w:t>Patient Status: The Foetus and the Pregnant Woman</w:t>
      </w:r>
      <w:r w:rsidR="00A21A49">
        <w:t>.</w:t>
      </w:r>
      <w:r w:rsidRPr="004A2972">
        <w:t xml:space="preserve"> (1996) 2 Australian Journal of Human Rights 229</w:t>
      </w:r>
    </w:p>
    <w:p w14:paraId="6D029F49" w14:textId="6842D121" w:rsidR="001F4368" w:rsidRDefault="001F4368" w:rsidP="00F83F53">
      <w:pPr>
        <w:spacing w:after="120"/>
      </w:pPr>
      <w:r w:rsidRPr="001F4368">
        <w:t>Oberman, Michelle, ‘Mothers and Doctors’ Orders: Unmasking the Doctor’s Fiduciary Role in Maternal</w:t>
      </w:r>
      <w:r w:rsidR="006B774F">
        <w:t xml:space="preserve"> </w:t>
      </w:r>
      <w:r w:rsidRPr="001F4368">
        <w:t xml:space="preserve">Fetal Conflicts’ (2000) 94 </w:t>
      </w:r>
      <w:proofErr w:type="spellStart"/>
      <w:r w:rsidRPr="001F4368">
        <w:t>NwULRev</w:t>
      </w:r>
      <w:proofErr w:type="spellEnd"/>
      <w:r w:rsidRPr="001F4368">
        <w:t xml:space="preserve"> 451 </w:t>
      </w:r>
    </w:p>
    <w:p w14:paraId="0D9537C9" w14:textId="3F21E2C3" w:rsidR="007F094D" w:rsidRDefault="007F094D" w:rsidP="00F83F53">
      <w:pPr>
        <w:spacing w:after="120"/>
      </w:pPr>
      <w:r w:rsidRPr="0036719B">
        <w:t xml:space="preserve">Page, A. T., Potter, K., Naganathan, V., Hilmer, S., McLachlan, A. J., Lindley, R. I., Coman, T., Mangin, D. &amp; Etherton-Beer, C. (2023) Polypharmacy and medicine regimens in older adults in </w:t>
      </w:r>
      <w:r w:rsidRPr="0036719B">
        <w:lastRenderedPageBreak/>
        <w:t xml:space="preserve">residential aged care. Archives of Gerontology and Geriatrics. Vol 105. </w:t>
      </w:r>
      <w:hyperlink r:id="rId28" w:history="1">
        <w:r w:rsidRPr="0036719B">
          <w:rPr>
            <w:rStyle w:val="Hyperlink"/>
          </w:rPr>
          <w:t>https://doi.org/10.1016/j.archger.2022.10484</w:t>
        </w:r>
      </w:hyperlink>
      <w:r>
        <w:t xml:space="preserve"> </w:t>
      </w:r>
    </w:p>
    <w:p w14:paraId="6982B4F8" w14:textId="77777777" w:rsidR="003D061C" w:rsidRDefault="003D061C" w:rsidP="00F83F53">
      <w:pPr>
        <w:spacing w:after="120"/>
      </w:pPr>
      <w:r w:rsidRPr="001F4368">
        <w:t xml:space="preserve">Public Advocate </w:t>
      </w:r>
      <w:r>
        <w:t>of Queensland.</w:t>
      </w:r>
      <w:r w:rsidRPr="001F4368">
        <w:t xml:space="preserve"> (2021) Improving the regulation of restrictive practices in Queensland: a way forward.</w:t>
      </w:r>
    </w:p>
    <w:p w14:paraId="1B838AEE" w14:textId="2A5D1214" w:rsidR="00E819BB" w:rsidRDefault="00E819BB" w:rsidP="00F83F53">
      <w:pPr>
        <w:spacing w:after="120"/>
      </w:pPr>
      <w:r>
        <w:t>Public Advocate of Queensland. (2021)</w:t>
      </w:r>
      <w:r w:rsidR="004C3491">
        <w:t xml:space="preserve"> Preserving the financial futures of vulnerable Queenslanders. </w:t>
      </w:r>
      <w:hyperlink r:id="rId29" w:history="1">
        <w:r w:rsidR="004C3491" w:rsidRPr="00F94C28">
          <w:rPr>
            <w:rStyle w:val="Hyperlink"/>
          </w:rPr>
          <w:t>https://www.parliament.qld.gov.au/Work-of-the-Assembly/Tabled-Papers/docs/5721t283/5721t283.pdf</w:t>
        </w:r>
      </w:hyperlink>
      <w:r w:rsidR="004C3491">
        <w:t xml:space="preserve"> </w:t>
      </w:r>
    </w:p>
    <w:p w14:paraId="7CA9A1BE" w14:textId="690D02CF" w:rsidR="00011B68" w:rsidRDefault="00011B68" w:rsidP="00F83F53">
      <w:pPr>
        <w:spacing w:after="120"/>
      </w:pPr>
      <w:r>
        <w:t xml:space="preserve">Public Advocate of Queensland (2025) </w:t>
      </w:r>
      <w:r w:rsidRPr="00011B68">
        <w:t>Proposal for the future regulation (and reduction in the use) of restrictive practices in Queensland</w:t>
      </w:r>
      <w:r>
        <w:t xml:space="preserve">.  Accessible at </w:t>
      </w:r>
      <w:hyperlink r:id="rId30" w:history="1">
        <w:r w:rsidRPr="00233DA1">
          <w:rPr>
            <w:rStyle w:val="Hyperlink"/>
          </w:rPr>
          <w:t>https://www.publicadvocate.qld.gov.au/__data/assets/pdf_file/0003/822684/202502-restrictive-practices-discussion-paper-final.pdf</w:t>
        </w:r>
      </w:hyperlink>
      <w:r>
        <w:t xml:space="preserve"> </w:t>
      </w:r>
    </w:p>
    <w:p w14:paraId="6F01D040" w14:textId="52EDCE3E" w:rsidR="00B01660" w:rsidRPr="0036719B" w:rsidRDefault="00B01660" w:rsidP="00F83F53">
      <w:pPr>
        <w:spacing w:after="120"/>
      </w:pPr>
      <w:r w:rsidRPr="00B01660">
        <w:t xml:space="preserve">Qu, </w:t>
      </w:r>
      <w:r>
        <w:t>L., K</w:t>
      </w:r>
      <w:r w:rsidRPr="00B01660">
        <w:t xml:space="preserve">aspiew, </w:t>
      </w:r>
      <w:r>
        <w:t xml:space="preserve">R., </w:t>
      </w:r>
      <w:r w:rsidRPr="00B01660">
        <w:t>Carson,</w:t>
      </w:r>
      <w:r>
        <w:t xml:space="preserve"> R., </w:t>
      </w:r>
      <w:r w:rsidRPr="00B01660">
        <w:t>Roopani,</w:t>
      </w:r>
      <w:r>
        <w:t xml:space="preserve"> D., </w:t>
      </w:r>
      <w:r w:rsidRPr="00B01660">
        <w:t>De Maio,</w:t>
      </w:r>
      <w:r>
        <w:t xml:space="preserve"> J.,</w:t>
      </w:r>
      <w:r w:rsidRPr="00B01660">
        <w:t xml:space="preserve"> Harvey, </w:t>
      </w:r>
      <w:r>
        <w:t>J. &amp;</w:t>
      </w:r>
      <w:r w:rsidRPr="00B01660">
        <w:t xml:space="preserve"> Horsfall,</w:t>
      </w:r>
      <w:r>
        <w:t xml:space="preserve"> B. (2021)</w:t>
      </w:r>
      <w:r w:rsidRPr="00B01660">
        <w:t xml:space="preserve"> National Elder Abuse Prevalence Study: Final Report</w:t>
      </w:r>
      <w:r>
        <w:t xml:space="preserve">. Accessible at </w:t>
      </w:r>
      <w:hyperlink r:id="rId31" w:history="1">
        <w:r w:rsidRPr="0036719B">
          <w:rPr>
            <w:rStyle w:val="Hyperlink"/>
          </w:rPr>
          <w:t>https://aifs.gov.au/all-research/research-reports/national-elder-abuse-prevalence-study-final-report</w:t>
        </w:r>
      </w:hyperlink>
      <w:r w:rsidRPr="0036719B">
        <w:t xml:space="preserve"> </w:t>
      </w:r>
    </w:p>
    <w:p w14:paraId="6A7D6453" w14:textId="1D31E912" w:rsidR="00283A00" w:rsidRPr="0036719B" w:rsidRDefault="00283A00" w:rsidP="00F83F53">
      <w:pPr>
        <w:spacing w:after="120"/>
      </w:pPr>
      <w:r w:rsidRPr="0036719B">
        <w:t xml:space="preserve">Relationships Australia. (2022) Relationship Indicators Report. National Survey of the State of Relationships in Australia. </w:t>
      </w:r>
      <w:hyperlink r:id="rId32" w:history="1">
        <w:r w:rsidRPr="0036719B">
          <w:rPr>
            <w:rStyle w:val="Hyperlink"/>
          </w:rPr>
          <w:t>https://www.relationships.org.au/wp-content/uploads/Relationship-Indicators-Full-Report.pdf</w:t>
        </w:r>
      </w:hyperlink>
      <w:r w:rsidRPr="0036719B">
        <w:t xml:space="preserve"> </w:t>
      </w:r>
    </w:p>
    <w:p w14:paraId="0B92AC6E" w14:textId="694EC687" w:rsidR="00283A00" w:rsidRPr="0036719B" w:rsidRDefault="00283A00" w:rsidP="00F83F53">
      <w:pPr>
        <w:spacing w:after="120"/>
      </w:pPr>
      <w:r w:rsidRPr="0036719B">
        <w:t xml:space="preserve">Relationships Australia. (2024) Relationship Indicators Report. National Survey of the State of Relationships in Australia. </w:t>
      </w:r>
      <w:hyperlink r:id="rId33" w:history="1">
        <w:r w:rsidR="006A0C64" w:rsidRPr="0036719B">
          <w:rPr>
            <w:rStyle w:val="Hyperlink"/>
          </w:rPr>
          <w:t>https://www.relationships.org.au/wp-content/uploads/Relationship-Indicators-2024-Report-Final.pdf</w:t>
        </w:r>
      </w:hyperlink>
      <w:r w:rsidRPr="0036719B">
        <w:t xml:space="preserve"> </w:t>
      </w:r>
    </w:p>
    <w:p w14:paraId="6C17288F" w14:textId="5946C8D0" w:rsidR="007D462A" w:rsidRPr="0036719B" w:rsidRDefault="007D462A" w:rsidP="00F83F53">
      <w:pPr>
        <w:spacing w:after="120"/>
      </w:pPr>
      <w:r w:rsidRPr="0036719B">
        <w:t xml:space="preserve">Royal Commission into Aged Care Quality and Safety, Final Report: Care, Dignity and Respect. (2021) Accessible at </w:t>
      </w:r>
      <w:hyperlink r:id="rId34" w:history="1">
        <w:r w:rsidRPr="0036719B">
          <w:rPr>
            <w:rStyle w:val="Hyperlink"/>
          </w:rPr>
          <w:t>https://www.royalcommission.gov.au/aged-care/final-report</w:t>
        </w:r>
      </w:hyperlink>
      <w:r w:rsidRPr="0036719B">
        <w:t xml:space="preserve"> </w:t>
      </w:r>
    </w:p>
    <w:p w14:paraId="3F7D70F5" w14:textId="243CE581" w:rsidR="00CA5F44" w:rsidRPr="0036719B" w:rsidRDefault="00CA5F44" w:rsidP="00F83F53">
      <w:pPr>
        <w:spacing w:after="120"/>
      </w:pPr>
      <w:r w:rsidRPr="0036719B">
        <w:t xml:space="preserve">Royal Commission into Violence, Abuse, Neglect and Exploitation of People with Disability, Final Report (2023) Accessible at </w:t>
      </w:r>
      <w:hyperlink r:id="rId35" w:history="1">
        <w:r w:rsidRPr="0036719B">
          <w:rPr>
            <w:rStyle w:val="Hyperlink"/>
          </w:rPr>
          <w:t>https://disability.royalcommission.gov.au/publications/final-report</w:t>
        </w:r>
      </w:hyperlink>
      <w:r w:rsidRPr="0036719B">
        <w:t xml:space="preserve"> </w:t>
      </w:r>
    </w:p>
    <w:p w14:paraId="489EB827" w14:textId="77777777" w:rsidR="00A569D9" w:rsidRPr="0036719B" w:rsidRDefault="00A569D9" w:rsidP="00F83F53">
      <w:pPr>
        <w:spacing w:after="120"/>
      </w:pPr>
      <w:r w:rsidRPr="0036719B">
        <w:t>Smyth, B., &amp; Weston, R. (2000). Financial living standards after divorce: A recent snapshot (Research Paper No. 23). Melbourne: Australian Institute of Family Studies</w:t>
      </w:r>
    </w:p>
    <w:p w14:paraId="492E3BB2" w14:textId="6BA8DFCD" w:rsidR="00567069" w:rsidRDefault="00504A31" w:rsidP="00F83F53">
      <w:pPr>
        <w:spacing w:after="120"/>
      </w:pPr>
      <w:r w:rsidRPr="0036719B">
        <w:t>Standing Council of Attorneys-General (Australia) National Plan to End Abuse and Mistreatment</w:t>
      </w:r>
      <w:r>
        <w:t xml:space="preserve"> of Older People 2026-2036. Accessible at </w:t>
      </w:r>
      <w:hyperlink r:id="rId36" w:history="1">
        <w:r w:rsidRPr="00B60998">
          <w:rPr>
            <w:rStyle w:val="Hyperlink"/>
          </w:rPr>
          <w:t>https://www.ag.gov.au/sites/default/files/2026-03/national-plan-to-end-abuse-mistreatment-of-older-people-2026-2036.PDF</w:t>
        </w:r>
      </w:hyperlink>
      <w:r>
        <w:t xml:space="preserve"> </w:t>
      </w:r>
    </w:p>
    <w:p w14:paraId="027247FE" w14:textId="75409471" w:rsidR="00E2094E" w:rsidRDefault="00E2094E" w:rsidP="00F83F53">
      <w:pPr>
        <w:spacing w:after="120"/>
      </w:pPr>
      <w:r w:rsidRPr="0037662A">
        <w:t>Thomas, J., McCosker, A., Parkinson, S., Hegarty, K., Featherstone, D., Kennedy, J., Ormond</w:t>
      </w:r>
      <w:r>
        <w:noBreakHyphen/>
      </w:r>
      <w:r w:rsidRPr="0037662A">
        <w:t>Parker, L., Morrison,</w:t>
      </w:r>
      <w:r>
        <w:t> </w:t>
      </w:r>
      <w:r w:rsidRPr="0037662A">
        <w:t xml:space="preserve">K., Rea, H., &amp; Ganley, L. Measuring Australia’s Digital Divide: 2025 Australian Digital Inclusion Index. </w:t>
      </w:r>
      <w:hyperlink r:id="rId37" w:history="1">
        <w:r w:rsidRPr="00A33F83">
          <w:rPr>
            <w:rStyle w:val="Hyperlink"/>
          </w:rPr>
          <w:t>https://digitalinclusionindex.org.au/the-2025-findings/</w:t>
        </w:r>
      </w:hyperlink>
    </w:p>
    <w:p w14:paraId="24D9EAA1" w14:textId="78D4C72B" w:rsidR="00262A18" w:rsidRDefault="00176E7E" w:rsidP="00F83F53">
      <w:pPr>
        <w:spacing w:after="120"/>
      </w:pPr>
      <w:r>
        <w:t xml:space="preserve">Victorian Ombudsman. </w:t>
      </w:r>
      <w:r w:rsidR="002B4B8A">
        <w:t xml:space="preserve">(2019) Investigation into State Trustees. </w:t>
      </w:r>
      <w:hyperlink r:id="rId38" w:history="1">
        <w:r w:rsidR="002B4B8A" w:rsidRPr="00F94C28">
          <w:rPr>
            <w:rStyle w:val="Hyperlink"/>
          </w:rPr>
          <w:t>https://assets.ombudsman.vic.gov.au/assets/Reports/Parliamentary-Reports/1-PDF-Report-Files/Investigation-into-State-Trustees.pdf</w:t>
        </w:r>
      </w:hyperlink>
      <w:r w:rsidR="002B4B8A">
        <w:t xml:space="preserve"> </w:t>
      </w:r>
    </w:p>
    <w:p w14:paraId="1EEDB536" w14:textId="39754663" w:rsidR="00AD1EE5" w:rsidRPr="0036719B" w:rsidRDefault="00AD1EE5" w:rsidP="00F83F53">
      <w:pPr>
        <w:spacing w:after="120"/>
      </w:pPr>
      <w:r w:rsidRPr="0036719B">
        <w:t xml:space="preserve">Wabe N, Urwin R, Seaman K, Timothy A, Raban MZ, Westbrook J. Analysis of longitudinal patterns and predictors of medicine use in residential aged care using group-based trajectory </w:t>
      </w:r>
      <w:r w:rsidRPr="0036719B">
        <w:lastRenderedPageBreak/>
        <w:t xml:space="preserve">modelling: The MEDTRAC-Polypharmacy longitudinal cohort study. Br J Clin Pharmacol. (2024) Dec;90(12):3308-3319. doi: 10.1111/bcp.16220. Epub 2024 Aug 25. PMID: 39183449; PMCID: PMC11602946. </w:t>
      </w:r>
    </w:p>
    <w:p w14:paraId="447395FC" w14:textId="6F3F4F18" w:rsidR="00012247" w:rsidRPr="0036719B" w:rsidRDefault="00012247" w:rsidP="00F83F53">
      <w:pPr>
        <w:spacing w:after="120"/>
      </w:pPr>
      <w:r w:rsidRPr="0036719B">
        <w:t>Williams, M., Chesterman, J., &amp; Laufer, R. (2014). Consent versus scrutiny: restricting liberties in post-Bournewood Victoria. </w:t>
      </w:r>
      <w:r w:rsidRPr="0036719B">
        <w:rPr>
          <w:i/>
          <w:iCs/>
        </w:rPr>
        <w:t>Journal of Law and Medicine</w:t>
      </w:r>
      <w:r w:rsidRPr="0036719B">
        <w:t>, </w:t>
      </w:r>
      <w:r w:rsidRPr="0036719B">
        <w:rPr>
          <w:i/>
          <w:iCs/>
        </w:rPr>
        <w:t>21</w:t>
      </w:r>
      <w:r w:rsidRPr="0036719B">
        <w:t>(3), 641-660.</w:t>
      </w:r>
    </w:p>
    <w:p w14:paraId="02CE7811" w14:textId="2D3F9990" w:rsidR="006A0C64" w:rsidRDefault="006A0C64" w:rsidP="00F83F53">
      <w:pPr>
        <w:spacing w:after="120"/>
      </w:pPr>
      <w:r w:rsidRPr="0036719B">
        <w:t>Winter N &amp; Haddock R (2023) Prioritising carers’ health and wellbeing in the healthcare system. Deeble Issues Brief 50.</w:t>
      </w:r>
    </w:p>
    <w:sectPr w:rsidR="006A0C64">
      <w:headerReference w:type="default" r:id="rId39"/>
      <w:footerReference w:type="default" r:id="rId40"/>
      <w:headerReference w:type="first" r:id="rId41"/>
      <w:footerReference w:type="first" r:id="rId42"/>
      <w:pgSz w:w="11906" w:h="16838"/>
      <w:pgMar w:top="1440" w:right="1106" w:bottom="1440" w:left="1440" w:header="708" w:footer="42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6451B" w14:textId="77777777" w:rsidR="00F15066" w:rsidRDefault="00F15066">
      <w:pPr>
        <w:spacing w:after="0" w:line="240" w:lineRule="auto"/>
      </w:pPr>
      <w:r>
        <w:separator/>
      </w:r>
    </w:p>
  </w:endnote>
  <w:endnote w:type="continuationSeparator" w:id="0">
    <w:p w14:paraId="5A8D8D64" w14:textId="77777777" w:rsidR="00F15066" w:rsidRDefault="00F15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56F3B3A-E431-485A-B503-07D11E15426E}"/>
    <w:embedBold r:id="rId2" w:fontKey="{03B28DD3-1C32-4F69-A9CA-6079ADE5ECE4}"/>
    <w:embedItalic r:id="rId3" w:fontKey="{4F579260-2AEF-4B5A-B661-D48B8FA8FCD2}"/>
  </w:font>
  <w:font w:name="Aptos Display">
    <w:charset w:val="00"/>
    <w:family w:val="swiss"/>
    <w:pitch w:val="variable"/>
    <w:sig w:usb0="20000287" w:usb1="00000003" w:usb2="00000000" w:usb3="00000000" w:csb0="0000019F" w:csb1="00000000"/>
    <w:embedRegular r:id="rId4" w:fontKey="{9B8D3F23-E37B-45A1-AF23-1127909F740B}"/>
  </w:font>
  <w:font w:name="Aptos">
    <w:charset w:val="00"/>
    <w:family w:val="swiss"/>
    <w:pitch w:val="variable"/>
    <w:sig w:usb0="20000287" w:usb1="00000003" w:usb2="00000000" w:usb3="00000000" w:csb0="0000019F" w:csb1="00000000"/>
    <w:embedRegular r:id="rId5" w:fontKey="{BF58FA74-BBA5-41F3-BD74-AE9F832DF9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FC7B" w14:textId="77777777" w:rsidR="00546824" w:rsidRDefault="002529D7">
    <w:pPr>
      <w:pBdr>
        <w:top w:val="nil"/>
        <w:left w:val="nil"/>
        <w:bottom w:val="nil"/>
        <w:right w:val="nil"/>
        <w:between w:val="nil"/>
      </w:pBdr>
      <w:tabs>
        <w:tab w:val="center" w:pos="4513"/>
        <w:tab w:val="right" w:pos="9026"/>
      </w:tabs>
      <w:spacing w:after="0" w:line="240" w:lineRule="auto"/>
      <w:jc w:val="right"/>
      <w:rPr>
        <w:color w:val="00476F"/>
      </w:rPr>
    </w:pPr>
    <w:r>
      <w:rPr>
        <w:color w:val="00476F"/>
      </w:rPr>
      <w:fldChar w:fldCharType="begin"/>
    </w:r>
    <w:r>
      <w:rPr>
        <w:color w:val="00476F"/>
      </w:rPr>
      <w:instrText>PAGE</w:instrText>
    </w:r>
    <w:r>
      <w:rPr>
        <w:color w:val="00476F"/>
      </w:rPr>
      <w:fldChar w:fldCharType="separate"/>
    </w:r>
    <w:r w:rsidR="00797D13">
      <w:rPr>
        <w:noProof/>
        <w:color w:val="00476F"/>
      </w:rPr>
      <w:t>2</w:t>
    </w:r>
    <w:r>
      <w:rPr>
        <w:color w:val="00476F"/>
      </w:rPr>
      <w:fldChar w:fldCharType="end"/>
    </w:r>
    <w:r>
      <w:rPr>
        <w:noProof/>
      </w:rPr>
      <w:drawing>
        <wp:anchor distT="114300" distB="114300" distL="114300" distR="114300" simplePos="0" relativeHeight="251657216" behindDoc="1" locked="0" layoutInCell="1" hidden="0" allowOverlap="1" wp14:anchorId="119578DC" wp14:editId="2E4A5768">
          <wp:simplePos x="0" y="0"/>
          <wp:positionH relativeFrom="column">
            <wp:posOffset>-428934</wp:posOffset>
          </wp:positionH>
          <wp:positionV relativeFrom="paragraph">
            <wp:posOffset>-28574</wp:posOffset>
          </wp:positionV>
          <wp:extent cx="6367463" cy="238125"/>
          <wp:effectExtent l="0" t="0" r="0" b="0"/>
          <wp:wrapNone/>
          <wp:docPr id="199844653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6367463" cy="23812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3ABB" w14:textId="77777777" w:rsidR="00546824" w:rsidRDefault="002529D7">
    <w:pPr>
      <w:ind w:left="-992"/>
      <w:rPr>
        <w:color w:val="000000"/>
      </w:rPr>
    </w:pPr>
    <w:r>
      <w:rPr>
        <w:noProof/>
      </w:rPr>
      <w:drawing>
        <wp:inline distT="114300" distB="114300" distL="114300" distR="114300" wp14:anchorId="79970A73" wp14:editId="3278E673">
          <wp:extent cx="6909858" cy="499045"/>
          <wp:effectExtent l="0" t="0" r="0" b="0"/>
          <wp:docPr id="199844653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6909858" cy="4990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5E299" w14:textId="77777777" w:rsidR="00F15066" w:rsidRDefault="00F15066">
      <w:pPr>
        <w:spacing w:after="0" w:line="240" w:lineRule="auto"/>
      </w:pPr>
      <w:r>
        <w:separator/>
      </w:r>
    </w:p>
  </w:footnote>
  <w:footnote w:type="continuationSeparator" w:id="0">
    <w:p w14:paraId="25CB10CA" w14:textId="77777777" w:rsidR="00F15066" w:rsidRDefault="00F15066">
      <w:pPr>
        <w:spacing w:after="0" w:line="240" w:lineRule="auto"/>
      </w:pPr>
      <w:r>
        <w:continuationSeparator/>
      </w:r>
    </w:p>
  </w:footnote>
  <w:footnote w:id="1">
    <w:p w14:paraId="4A3D2A80" w14:textId="17847D60" w:rsidR="0043442B" w:rsidRPr="0043442B" w:rsidRDefault="0043442B">
      <w:pPr>
        <w:pStyle w:val="FootnoteText"/>
        <w:rPr>
          <w:lang w:val="en-US"/>
        </w:rPr>
      </w:pPr>
      <w:r>
        <w:rPr>
          <w:rStyle w:val="FootnoteReference"/>
        </w:rPr>
        <w:footnoteRef/>
      </w:r>
      <w:r>
        <w:t xml:space="preserve"> </w:t>
      </w:r>
      <w:r w:rsidR="006E67CB">
        <w:rPr>
          <w:lang w:val="en-US"/>
        </w:rPr>
        <w:t xml:space="preserve">For more information, see </w:t>
      </w:r>
      <w:hyperlink r:id="rId1" w:history="1">
        <w:r w:rsidR="006E67CB" w:rsidRPr="003F7A04">
          <w:rPr>
            <w:rStyle w:val="Hyperlink"/>
            <w:lang w:val="en-US"/>
          </w:rPr>
          <w:t>https://www.rightsofolderpersons.org.au/</w:t>
        </w:r>
      </w:hyperlink>
      <w:r w:rsidR="006E67CB">
        <w:rPr>
          <w:lang w:val="en-US"/>
        </w:rPr>
        <w:t xml:space="preserve"> </w:t>
      </w:r>
    </w:p>
  </w:footnote>
  <w:footnote w:id="2">
    <w:p w14:paraId="09B5CE86" w14:textId="2F0EF5CE" w:rsidR="0043442B" w:rsidRPr="0043442B" w:rsidRDefault="0043442B">
      <w:pPr>
        <w:pStyle w:val="FootnoteText"/>
        <w:rPr>
          <w:lang w:val="en-US"/>
        </w:rPr>
      </w:pPr>
      <w:r>
        <w:rPr>
          <w:rStyle w:val="FootnoteReference"/>
        </w:rPr>
        <w:footnoteRef/>
      </w:r>
      <w:r>
        <w:t xml:space="preserve"> </w:t>
      </w:r>
      <w:r w:rsidR="007C66C9">
        <w:t xml:space="preserve">See </w:t>
      </w:r>
      <w:hyperlink r:id="rId2" w:history="1">
        <w:r w:rsidR="007C66C9" w:rsidRPr="003F7A04">
          <w:rPr>
            <w:rStyle w:val="Hyperlink"/>
          </w:rPr>
          <w:t>https://www.everyagecounts.org.au/</w:t>
        </w:r>
      </w:hyperlink>
      <w:r w:rsidR="007C66C9">
        <w:t xml:space="preserve"> </w:t>
      </w:r>
    </w:p>
  </w:footnote>
  <w:footnote w:id="3">
    <w:p w14:paraId="114208B0" w14:textId="1B4974C4" w:rsidR="0043442B" w:rsidRPr="0043442B" w:rsidRDefault="0043442B">
      <w:pPr>
        <w:pStyle w:val="FootnoteText"/>
        <w:rPr>
          <w:lang w:val="en-US"/>
        </w:rPr>
      </w:pPr>
      <w:r>
        <w:rPr>
          <w:rStyle w:val="FootnoteReference"/>
        </w:rPr>
        <w:footnoteRef/>
      </w:r>
      <w:r>
        <w:t xml:space="preserve"> </w:t>
      </w:r>
      <w:r w:rsidR="00747E20">
        <w:t xml:space="preserve">See </w:t>
      </w:r>
      <w:hyperlink r:id="rId3" w:history="1">
        <w:r w:rsidR="00747E20" w:rsidRPr="003F7A04">
          <w:rPr>
            <w:rStyle w:val="Hyperlink"/>
          </w:rPr>
          <w:t>https://eaaa.org.au/</w:t>
        </w:r>
      </w:hyperlink>
      <w:r w:rsidR="00747E20">
        <w:t xml:space="preserve"> </w:t>
      </w:r>
    </w:p>
  </w:footnote>
  <w:footnote w:id="4">
    <w:p w14:paraId="2D7F8681" w14:textId="49C51333" w:rsidR="003A5EBE" w:rsidRPr="003A5EBE" w:rsidRDefault="003A5EBE">
      <w:pPr>
        <w:pStyle w:val="FootnoteText"/>
        <w:rPr>
          <w:lang w:val="en-GB"/>
        </w:rPr>
      </w:pPr>
      <w:r>
        <w:rPr>
          <w:rStyle w:val="FootnoteReference"/>
        </w:rPr>
        <w:footnoteRef/>
      </w:r>
      <w:r>
        <w:t xml:space="preserve"> </w:t>
      </w:r>
      <w:r>
        <w:rPr>
          <w:lang w:val="en-GB"/>
        </w:rPr>
        <w:t xml:space="preserve">See, eg, ALRC 2014 and 2017; </w:t>
      </w:r>
      <w:r w:rsidR="00CA5F44">
        <w:rPr>
          <w:lang w:val="en-GB"/>
        </w:rPr>
        <w:t xml:space="preserve">Royal Commission into Aged Care Quality and Safety, </w:t>
      </w:r>
      <w:r w:rsidR="005A3E06">
        <w:rPr>
          <w:lang w:val="en-GB"/>
        </w:rPr>
        <w:t>Final Report, 2021; Royal Commission into Violence, Abuse, Neglect and Exploitation of People with Disability, Final Report, 2023.</w:t>
      </w:r>
    </w:p>
  </w:footnote>
  <w:footnote w:id="5">
    <w:p w14:paraId="6276A33C" w14:textId="2AD35FC3" w:rsidR="001B4616" w:rsidRPr="001B4616" w:rsidRDefault="001B4616">
      <w:pPr>
        <w:pStyle w:val="FootnoteText"/>
        <w:rPr>
          <w:lang w:val="en-GB"/>
        </w:rPr>
      </w:pPr>
      <w:r>
        <w:rPr>
          <w:rStyle w:val="FootnoteReference"/>
        </w:rPr>
        <w:footnoteRef/>
      </w:r>
      <w:r>
        <w:t xml:space="preserve"> </w:t>
      </w:r>
      <w:r w:rsidR="00C34F83">
        <w:t xml:space="preserve">See, eg, </w:t>
      </w:r>
      <w:r w:rsidR="00CE70F3">
        <w:t>House of Representatives Committee on Legal and Constitutional Affairs, 2007</w:t>
      </w:r>
      <w:r w:rsidR="00C34F83">
        <w:t>; ALRC 2014 and 2017.</w:t>
      </w:r>
    </w:p>
  </w:footnote>
  <w:footnote w:id="6">
    <w:p w14:paraId="05580A1F" w14:textId="4CBB16F8" w:rsidR="008C7591" w:rsidRPr="00657625" w:rsidRDefault="008C7591" w:rsidP="008C7591">
      <w:pPr>
        <w:pStyle w:val="FootnoteText"/>
        <w:rPr>
          <w:lang w:val="en-GB"/>
        </w:rPr>
      </w:pPr>
      <w:r>
        <w:rPr>
          <w:rStyle w:val="FootnoteReference"/>
        </w:rPr>
        <w:footnoteRef/>
      </w:r>
      <w:r>
        <w:t xml:space="preserve"> See, eg, 2025 submission about Delivering quality care more efficiently; 2024 submission about a National Carers Strategy; 2023 submission to the House of Representatives Social Policy and Legal Affairs Committee about the </w:t>
      </w:r>
      <w:r w:rsidRPr="00635189">
        <w:rPr>
          <w:i/>
          <w:iCs/>
        </w:rPr>
        <w:t>Carers Recognition Act 2010</w:t>
      </w:r>
      <w:r>
        <w:t xml:space="preserve"> (Cth); 2023 submission about the care economy.  Accessible at </w:t>
      </w:r>
      <w:hyperlink r:id="rId4" w:anchor="advocacy" w:history="1">
        <w:r w:rsidRPr="00D76E0B">
          <w:rPr>
            <w:rStyle w:val="Hyperlink"/>
          </w:rPr>
          <w:t>https://www.relationships.org.au/research/#advocacy</w:t>
        </w:r>
      </w:hyperlink>
      <w:r>
        <w:t xml:space="preserve"> </w:t>
      </w:r>
      <w:r w:rsidR="00776C7E">
        <w:t>Key</w:t>
      </w:r>
      <w:r>
        <w:t xml:space="preserve"> recommendations made in the 2025 and 2024 submissions are </w:t>
      </w:r>
      <w:r w:rsidRPr="00657625">
        <w:t xml:space="preserve">at </w:t>
      </w:r>
      <w:r w:rsidRPr="00A97EEF">
        <w:rPr>
          <w:b/>
          <w:bCs/>
        </w:rPr>
        <w:t>Annexures 1 and 2</w:t>
      </w:r>
      <w:r w:rsidRPr="00657625">
        <w:t>.</w:t>
      </w:r>
      <w:r w:rsidR="0035178C">
        <w:t xml:space="preserve"> See also Blaxland, 2010; Klein et al, 2021.</w:t>
      </w:r>
    </w:p>
  </w:footnote>
  <w:footnote w:id="7">
    <w:p w14:paraId="3BB9689F" w14:textId="41C2CBC2" w:rsidR="0004357A" w:rsidRPr="0004357A" w:rsidRDefault="0004357A">
      <w:pPr>
        <w:pStyle w:val="FootnoteText"/>
        <w:rPr>
          <w:lang w:val="en-GB"/>
        </w:rPr>
      </w:pPr>
      <w:r>
        <w:rPr>
          <w:rStyle w:val="FootnoteReference"/>
        </w:rPr>
        <w:footnoteRef/>
      </w:r>
      <w:r>
        <w:t xml:space="preserve"> </w:t>
      </w:r>
      <w:r>
        <w:rPr>
          <w:lang w:val="en-GB"/>
        </w:rPr>
        <w:t xml:space="preserve">The </w:t>
      </w:r>
      <w:r w:rsidR="00480C9F">
        <w:rPr>
          <w:lang w:val="en-GB"/>
        </w:rPr>
        <w:t>Disability</w:t>
      </w:r>
      <w:r>
        <w:rPr>
          <w:lang w:val="en-GB"/>
        </w:rPr>
        <w:t xml:space="preserve"> Royal Commission noted</w:t>
      </w:r>
      <w:r w:rsidR="00480C9F">
        <w:rPr>
          <w:lang w:val="en-GB"/>
        </w:rPr>
        <w:t xml:space="preserve"> in 2023</w:t>
      </w:r>
      <w:r>
        <w:rPr>
          <w:lang w:val="en-GB"/>
        </w:rPr>
        <w:t xml:space="preserve"> that applications and orders for guardianship are increasing: see </w:t>
      </w:r>
      <w:r w:rsidR="00480C9F">
        <w:rPr>
          <w:lang w:val="en-GB"/>
        </w:rPr>
        <w:t xml:space="preserve">Final Report, </w:t>
      </w:r>
      <w:r w:rsidR="006671A8">
        <w:rPr>
          <w:lang w:val="en-GB"/>
        </w:rPr>
        <w:t>V</w:t>
      </w:r>
      <w:r>
        <w:rPr>
          <w:lang w:val="en-GB"/>
        </w:rPr>
        <w:t>olume 3, pp 199-202.</w:t>
      </w:r>
    </w:p>
  </w:footnote>
  <w:footnote w:id="8">
    <w:p w14:paraId="7FD7956B" w14:textId="53FF72EB" w:rsidR="00085B23" w:rsidRPr="00085B23" w:rsidRDefault="00085B23">
      <w:pPr>
        <w:pStyle w:val="FootnoteText"/>
        <w:rPr>
          <w:lang w:val="en-GB"/>
        </w:rPr>
      </w:pPr>
      <w:r>
        <w:rPr>
          <w:rStyle w:val="FootnoteReference"/>
        </w:rPr>
        <w:footnoteRef/>
      </w:r>
      <w:r>
        <w:t xml:space="preserve"> </w:t>
      </w:r>
      <w:r w:rsidRPr="00085B23">
        <w:t xml:space="preserve">Eldercaring coordination </w:t>
      </w:r>
      <w:r>
        <w:t>‘</w:t>
      </w:r>
      <w:r w:rsidRPr="00085B23">
        <w:t xml:space="preserve">is a dispute resolution process during which an </w:t>
      </w:r>
      <w:r w:rsidR="00CD5727">
        <w:t>[Eldercaring Coordinator]</w:t>
      </w:r>
      <w:r w:rsidRPr="00085B23">
        <w:t xml:space="preserve"> assists elders, legally authorized decision makers, and others who participate by court order or invitation to resolve disputes with high conflict levels that impact the elder’s autonomy and safety</w:t>
      </w:r>
      <w:r>
        <w:t xml:space="preserve">’: </w:t>
      </w:r>
      <w:r w:rsidR="00CD5727">
        <w:t>Fieldstone et al, 2015; Livings et al, 2026.</w:t>
      </w:r>
    </w:p>
  </w:footnote>
  <w:footnote w:id="9">
    <w:p w14:paraId="17ED104C" w14:textId="14B3E246" w:rsidR="00551EF1" w:rsidRPr="00551EF1" w:rsidRDefault="00551EF1">
      <w:pPr>
        <w:pStyle w:val="FootnoteText"/>
        <w:rPr>
          <w:lang w:val="en-GB"/>
        </w:rPr>
      </w:pPr>
      <w:r>
        <w:rPr>
          <w:rStyle w:val="FootnoteReference"/>
        </w:rPr>
        <w:footnoteRef/>
      </w:r>
      <w:r>
        <w:t xml:space="preserve"> </w:t>
      </w:r>
      <w:r>
        <w:rPr>
          <w:lang w:val="en-GB"/>
        </w:rPr>
        <w:t xml:space="preserve">See, eg, </w:t>
      </w:r>
      <w:r w:rsidR="00FA4BCB">
        <w:rPr>
          <w:lang w:val="en-GB"/>
        </w:rPr>
        <w:t xml:space="preserve">Victorian Ombudsman, 2019; Queensland Public Advocate, 2021; </w:t>
      </w:r>
      <w:r>
        <w:rPr>
          <w:lang w:val="en-GB"/>
        </w:rPr>
        <w:t>Final Report of the Royal Commission into Violence, Abuse, Neglect and Exploitation of People with Disability, 202</w:t>
      </w:r>
      <w:r w:rsidR="0004357A">
        <w:rPr>
          <w:lang w:val="en-GB"/>
        </w:rPr>
        <w:t>3</w:t>
      </w:r>
      <w:r w:rsidR="00FA4BCB">
        <w:rPr>
          <w:lang w:val="en-GB"/>
        </w:rPr>
        <w:t>.</w:t>
      </w:r>
    </w:p>
  </w:footnote>
  <w:footnote w:id="10">
    <w:p w14:paraId="630910C9" w14:textId="1C8EF4B5" w:rsidR="00890B6A" w:rsidRPr="00890B6A" w:rsidRDefault="00890B6A">
      <w:pPr>
        <w:pStyle w:val="FootnoteText"/>
        <w:rPr>
          <w:lang w:val="en-GB"/>
        </w:rPr>
      </w:pPr>
      <w:r>
        <w:rPr>
          <w:rStyle w:val="FootnoteReference"/>
        </w:rPr>
        <w:footnoteRef/>
      </w:r>
      <w:r>
        <w:t xml:space="preserve"> </w:t>
      </w:r>
      <w:r>
        <w:rPr>
          <w:lang w:val="en-GB"/>
        </w:rPr>
        <w:t>Generally contained in legislation establishing and governing the operation of public guardians and administrators.</w:t>
      </w:r>
    </w:p>
  </w:footnote>
  <w:footnote w:id="11">
    <w:p w14:paraId="4D7637F9" w14:textId="458DB786" w:rsidR="000F2875" w:rsidRPr="000F2875" w:rsidRDefault="000F2875">
      <w:pPr>
        <w:pStyle w:val="FootnoteText"/>
        <w:rPr>
          <w:lang w:val="en-US"/>
        </w:rPr>
      </w:pPr>
      <w:r>
        <w:rPr>
          <w:rStyle w:val="FootnoteReference"/>
        </w:rPr>
        <w:footnoteRef/>
      </w:r>
      <w:r>
        <w:t xml:space="preserve"> </w:t>
      </w:r>
      <w:r>
        <w:rPr>
          <w:lang w:val="en-US"/>
        </w:rPr>
        <w:t xml:space="preserve">See, eg, EveryAGE Counts, </w:t>
      </w:r>
      <w:hyperlink r:id="rId5" w:history="1">
        <w:r w:rsidR="00585FF4" w:rsidRPr="00F94C28">
          <w:rPr>
            <w:rStyle w:val="Hyperlink"/>
            <w:lang w:val="en-US"/>
          </w:rPr>
          <w:t>https://www.everyagecounts.org.au/research</w:t>
        </w:r>
      </w:hyperlink>
      <w:r w:rsidR="00585FF4">
        <w:rPr>
          <w:lang w:val="en-US"/>
        </w:rPr>
        <w:t xml:space="preserve"> .</w:t>
      </w:r>
    </w:p>
  </w:footnote>
  <w:footnote w:id="12">
    <w:p w14:paraId="1FCF2ACD" w14:textId="77777777" w:rsidR="007F094D" w:rsidRPr="00295D49" w:rsidRDefault="007F094D" w:rsidP="007F094D">
      <w:pPr>
        <w:pStyle w:val="FootnoteText"/>
        <w:rPr>
          <w:lang w:val="en-US"/>
        </w:rPr>
      </w:pPr>
      <w:r>
        <w:rPr>
          <w:rStyle w:val="FootnoteReference"/>
        </w:rPr>
        <w:footnoteRef/>
      </w:r>
      <w:r>
        <w:t xml:space="preserve"> </w:t>
      </w:r>
      <w:r w:rsidRPr="00413279">
        <w:t>Cited in Carnell-Paterson, 2016, p 111, citing AHRC, 1993.</w:t>
      </w:r>
    </w:p>
  </w:footnote>
  <w:footnote w:id="13">
    <w:p w14:paraId="5501FF24" w14:textId="28A99F24" w:rsidR="00C34F83" w:rsidRPr="00AC7C26" w:rsidRDefault="00C34F83">
      <w:pPr>
        <w:pStyle w:val="FootnoteText"/>
        <w:rPr>
          <w:lang w:val="en-GB"/>
        </w:rPr>
      </w:pPr>
      <w:r w:rsidRPr="00AC7C26">
        <w:rPr>
          <w:rStyle w:val="FootnoteReference"/>
        </w:rPr>
        <w:footnoteRef/>
      </w:r>
      <w:r w:rsidRPr="00AC7C26">
        <w:t xml:space="preserve"> </w:t>
      </w:r>
      <w:r w:rsidRPr="00AC7C26">
        <w:rPr>
          <w:lang w:val="en-GB"/>
        </w:rPr>
        <w:t xml:space="preserve">See, eg, Department of Health, Disability and Ageing, 10 February 2026, </w:t>
      </w:r>
      <w:hyperlink r:id="rId6" w:history="1">
        <w:r w:rsidRPr="00AC7C26">
          <w:rPr>
            <w:rStyle w:val="Hyperlink"/>
            <w:lang w:val="en-GB"/>
          </w:rPr>
          <w:t>https://www.health.gov.au/topics/aged-care/providing-aged-care-services/training-and-guidance/restrictive-practices-in-aged-care-a-last-resort?language=en</w:t>
        </w:r>
      </w:hyperlink>
      <w:r w:rsidRPr="00AC7C26">
        <w:rPr>
          <w:lang w:val="en-GB"/>
        </w:rPr>
        <w:t xml:space="preserve"> </w:t>
      </w:r>
    </w:p>
  </w:footnote>
  <w:footnote w:id="14">
    <w:p w14:paraId="78501A6F" w14:textId="6EF2864E" w:rsidR="009F1636" w:rsidRPr="00AC7C26" w:rsidRDefault="009F1636">
      <w:pPr>
        <w:pStyle w:val="FootnoteText"/>
        <w:rPr>
          <w:lang w:val="en-US"/>
        </w:rPr>
      </w:pPr>
      <w:r w:rsidRPr="00AC7C26">
        <w:rPr>
          <w:rStyle w:val="FootnoteReference"/>
        </w:rPr>
        <w:footnoteRef/>
      </w:r>
      <w:r w:rsidRPr="00AC7C26">
        <w:t xml:space="preserve"> </w:t>
      </w:r>
      <w:r w:rsidRPr="00AC7C26">
        <w:rPr>
          <w:lang w:val="en-US"/>
        </w:rPr>
        <w:t xml:space="preserve">Key recommendations of Relationships Australia’s submissions on the development of the Aged Care Act 2024 are at </w:t>
      </w:r>
      <w:r w:rsidRPr="00AC7C26">
        <w:rPr>
          <w:b/>
          <w:bCs/>
          <w:lang w:val="en-US"/>
        </w:rPr>
        <w:t>Annexure 3</w:t>
      </w:r>
      <w:r w:rsidRPr="00AC7C26">
        <w:rPr>
          <w:lang w:val="en-US"/>
        </w:rPr>
        <w:t>.</w:t>
      </w:r>
    </w:p>
  </w:footnote>
  <w:footnote w:id="15">
    <w:p w14:paraId="39704210" w14:textId="2416BC4C" w:rsidR="009A6E63" w:rsidRPr="00AC7C26" w:rsidRDefault="009A6E63">
      <w:pPr>
        <w:pStyle w:val="FootnoteText"/>
        <w:rPr>
          <w:lang w:val="en-US"/>
        </w:rPr>
      </w:pPr>
      <w:r w:rsidRPr="00AC7C26">
        <w:rPr>
          <w:rStyle w:val="FootnoteReference"/>
        </w:rPr>
        <w:footnoteRef/>
      </w:r>
      <w:r w:rsidRPr="00AC7C26">
        <w:t xml:space="preserve"> </w:t>
      </w:r>
      <w:r w:rsidRPr="00AC7C26">
        <w:rPr>
          <w:lang w:val="en-US"/>
        </w:rPr>
        <w:t xml:space="preserve">See Royal Commission into Aged Care Quality and Safety, Final Report, </w:t>
      </w:r>
      <w:r w:rsidR="00616274" w:rsidRPr="00AC7C26">
        <w:rPr>
          <w:lang w:val="en-US"/>
        </w:rPr>
        <w:t>2021.</w:t>
      </w:r>
    </w:p>
  </w:footnote>
  <w:footnote w:id="16">
    <w:p w14:paraId="6CB49657" w14:textId="7E7E46EA" w:rsidR="00971EDE" w:rsidRPr="00AC7C26" w:rsidRDefault="00971EDE">
      <w:pPr>
        <w:pStyle w:val="FootnoteText"/>
        <w:rPr>
          <w:lang w:val="en-GB"/>
        </w:rPr>
      </w:pPr>
      <w:r w:rsidRPr="00AC7C26">
        <w:rPr>
          <w:rStyle w:val="FootnoteReference"/>
        </w:rPr>
        <w:footnoteRef/>
      </w:r>
      <w:r w:rsidRPr="00AC7C26">
        <w:t xml:space="preserve"> </w:t>
      </w:r>
      <w:r w:rsidRPr="00AC7C26">
        <w:rPr>
          <w:lang w:val="en-GB"/>
        </w:rPr>
        <w:t>See, eg, Magd</w:t>
      </w:r>
      <w:r w:rsidR="00F07391" w:rsidRPr="00AC7C26">
        <w:rPr>
          <w:lang w:val="en-GB"/>
        </w:rPr>
        <w:t>a</w:t>
      </w:r>
      <w:r w:rsidRPr="00AC7C26">
        <w:rPr>
          <w:lang w:val="en-GB"/>
        </w:rPr>
        <w:t>lena et al, 2025.</w:t>
      </w:r>
    </w:p>
  </w:footnote>
  <w:footnote w:id="17">
    <w:p w14:paraId="565444A9" w14:textId="549992A7" w:rsidR="007F094D" w:rsidRPr="00AC7C26" w:rsidRDefault="007F094D">
      <w:pPr>
        <w:pStyle w:val="FootnoteText"/>
        <w:rPr>
          <w:lang w:val="en-US"/>
        </w:rPr>
      </w:pPr>
      <w:r w:rsidRPr="00AC7C26">
        <w:rPr>
          <w:rStyle w:val="FootnoteReference"/>
        </w:rPr>
        <w:footnoteRef/>
      </w:r>
      <w:r w:rsidRPr="00AC7C26">
        <w:t xml:space="preserve"> </w:t>
      </w:r>
      <w:r w:rsidR="00AD1EE5" w:rsidRPr="00AC7C26">
        <w:t>See, eg, Page et al, 2023</w:t>
      </w:r>
      <w:r w:rsidR="0048752D" w:rsidRPr="00AC7C26">
        <w:t>; Wabe et al, 2024</w:t>
      </w:r>
      <w:r w:rsidR="00AD1EE5" w:rsidRPr="00AC7C26">
        <w:t xml:space="preserve">.  Polypharmacy practices are intended to be made visible through the Australian aged care quality indicators program: </w:t>
      </w:r>
      <w:r w:rsidR="0048752D" w:rsidRPr="00AC7C26">
        <w:t xml:space="preserve">see </w:t>
      </w:r>
      <w:hyperlink r:id="rId7" w:history="1">
        <w:r w:rsidR="0048752D" w:rsidRPr="00AC7C26">
          <w:rPr>
            <w:rStyle w:val="Hyperlink"/>
          </w:rPr>
          <w:t>https://www.health.gov.au/resources/publications/qi-program-quick-reference-guide-medication-management-polypharmacy?language=en</w:t>
        </w:r>
      </w:hyperlink>
      <w:r w:rsidR="0048752D" w:rsidRPr="00AC7C26">
        <w:t xml:space="preserve"> (updated 2025).</w:t>
      </w:r>
    </w:p>
  </w:footnote>
  <w:footnote w:id="18">
    <w:p w14:paraId="2DF3A0D3" w14:textId="77777777" w:rsidR="001B6150" w:rsidRPr="00AC7C26" w:rsidRDefault="001B6150" w:rsidP="001B6150">
      <w:pPr>
        <w:pStyle w:val="FootnoteText"/>
        <w:rPr>
          <w:lang w:val="en-US"/>
        </w:rPr>
      </w:pPr>
      <w:r w:rsidRPr="00AC7C26">
        <w:rPr>
          <w:rStyle w:val="FootnoteReference"/>
        </w:rPr>
        <w:footnoteRef/>
      </w:r>
      <w:r w:rsidRPr="00AC7C26">
        <w:t xml:space="preserve"> See, eg, McLean and Petersen, 1996, 332; Oberman, 2000, 468. See also </w:t>
      </w:r>
      <w:r w:rsidRPr="00AC7C26">
        <w:rPr>
          <w:i/>
          <w:iCs/>
        </w:rPr>
        <w:t>Re A (children) (conjoined twins: surgical separation)</w:t>
      </w:r>
      <w:r w:rsidRPr="00AC7C26">
        <w:t xml:space="preserve"> [2000] 4 All ER 961; </w:t>
      </w:r>
      <w:r w:rsidRPr="00AC7C26">
        <w:rPr>
          <w:i/>
          <w:iCs/>
        </w:rPr>
        <w:t>State of Queensland v Nolan and Anor</w:t>
      </w:r>
      <w:r w:rsidRPr="00AC7C26">
        <w:t xml:space="preserve"> [2001] QSC 174 (31 May 2001); </w:t>
      </w:r>
      <w:r w:rsidRPr="00AC7C26">
        <w:rPr>
          <w:i/>
          <w:iCs/>
        </w:rPr>
        <w:t>McFall v Shimp</w:t>
      </w:r>
      <w:r w:rsidRPr="00AC7C26">
        <w:t xml:space="preserve"> 10 Pa.D&amp;C.3d 90 (1978), accepted in </w:t>
      </w:r>
      <w:r w:rsidRPr="00AC7C26">
        <w:rPr>
          <w:i/>
          <w:iCs/>
        </w:rPr>
        <w:t>In re AC</w:t>
      </w:r>
      <w:r w:rsidRPr="00AC7C26">
        <w:t xml:space="preserve"> 573 A.2d 1235 (1990), 1244; </w:t>
      </w:r>
      <w:r w:rsidRPr="00AC7C26">
        <w:rPr>
          <w:i/>
          <w:iCs/>
        </w:rPr>
        <w:t>St George’s NHS Trust v S</w:t>
      </w:r>
      <w:r w:rsidRPr="00AC7C26">
        <w:t xml:space="preserve"> [1998] 3 All ER 673; </w:t>
      </w:r>
      <w:r w:rsidRPr="00AC7C26">
        <w:rPr>
          <w:i/>
          <w:iCs/>
        </w:rPr>
        <w:t>GWW and CMW</w:t>
      </w:r>
      <w:r w:rsidRPr="00AC7C26">
        <w:t xml:space="preserve"> (1997) FLC 92-748.</w:t>
      </w:r>
    </w:p>
  </w:footnote>
  <w:footnote w:id="19">
    <w:p w14:paraId="346CF303" w14:textId="5228F03D" w:rsidR="00BA747D" w:rsidRPr="002625AF" w:rsidRDefault="00BA747D" w:rsidP="00BA747D">
      <w:pPr>
        <w:pStyle w:val="FootnoteText"/>
        <w:rPr>
          <w:lang w:val="en-US"/>
        </w:rPr>
      </w:pPr>
      <w:r w:rsidRPr="00AC7C26">
        <w:rPr>
          <w:rStyle w:val="FootnoteReference"/>
        </w:rPr>
        <w:footnoteRef/>
      </w:r>
      <w:r w:rsidRPr="00AC7C26">
        <w:t xml:space="preserve"> </w:t>
      </w:r>
      <w:r w:rsidR="00555B0E" w:rsidRPr="00AC7C26">
        <w:rPr>
          <w:i/>
          <w:iCs/>
        </w:rPr>
        <w:t>Rogers v Whitaker</w:t>
      </w:r>
      <w:r w:rsidR="00555B0E" w:rsidRPr="00AC7C26">
        <w:t xml:space="preserve"> (1992) 175 CLR 479. See also Williams, Chesterman &amp; Laufer, 2014, at 647.</w:t>
      </w:r>
    </w:p>
  </w:footnote>
  <w:footnote w:id="20">
    <w:p w14:paraId="00BD65B9" w14:textId="77777777" w:rsidR="003A0F4F" w:rsidRPr="00DD3EBC" w:rsidRDefault="003A0F4F" w:rsidP="003A0F4F">
      <w:pPr>
        <w:pStyle w:val="FootnoteText"/>
        <w:rPr>
          <w:lang w:val="en-GB"/>
        </w:rPr>
      </w:pPr>
      <w:r>
        <w:rPr>
          <w:rStyle w:val="FootnoteReference"/>
        </w:rPr>
        <w:footnoteRef/>
      </w:r>
      <w:r>
        <w:t xml:space="preserve"> </w:t>
      </w:r>
      <w:r>
        <w:rPr>
          <w:lang w:val="en-GB"/>
        </w:rPr>
        <w:t xml:space="preserve">See Public Advocate (Queensland), 2025, which sets out the problematic nature of the mechanism and proposes a human rights-centred alternative.  See also </w:t>
      </w:r>
      <w:r w:rsidRPr="005C4857">
        <w:t>Recommendations 4-10 and 4-11 of ALRC Report 131, with which the Queensland proposals are consistent.</w:t>
      </w:r>
    </w:p>
  </w:footnote>
  <w:footnote w:id="21">
    <w:p w14:paraId="4FBDA9C5" w14:textId="77777777" w:rsidR="00EB278B" w:rsidRPr="00111E9C" w:rsidRDefault="00EB278B" w:rsidP="00EB278B">
      <w:pPr>
        <w:pStyle w:val="FootnoteText"/>
        <w:rPr>
          <w:lang w:val="en-US"/>
        </w:rPr>
      </w:pPr>
      <w:r>
        <w:rPr>
          <w:rStyle w:val="FootnoteReference"/>
        </w:rPr>
        <w:footnoteRef/>
      </w:r>
      <w:r>
        <w:t xml:space="preserve"> </w:t>
      </w:r>
      <w:r w:rsidRPr="00E61E6A">
        <w:rPr>
          <w:i/>
          <w:iCs/>
          <w:lang w:val="en-US"/>
        </w:rPr>
        <w:t>Aged Care Act 2024</w:t>
      </w:r>
      <w:r>
        <w:rPr>
          <w:lang w:val="en-US"/>
        </w:rPr>
        <w:t>, section 270.</w:t>
      </w:r>
    </w:p>
  </w:footnote>
  <w:footnote w:id="22">
    <w:p w14:paraId="3855B709" w14:textId="77777777" w:rsidR="00761EF1" w:rsidRPr="00DD4B14" w:rsidRDefault="00761EF1" w:rsidP="00761EF1">
      <w:pPr>
        <w:pStyle w:val="FootnoteText"/>
        <w:rPr>
          <w:lang w:val="en-GB"/>
        </w:rPr>
      </w:pPr>
      <w:r>
        <w:rPr>
          <w:rStyle w:val="FootnoteReference"/>
        </w:rPr>
        <w:footnoteRef/>
      </w:r>
      <w:r>
        <w:t xml:space="preserve"> </w:t>
      </w:r>
      <w:r w:rsidRPr="0037662A">
        <w:t>Thomas</w:t>
      </w:r>
      <w:r>
        <w:t xml:space="preserve"> et al, 2025.</w:t>
      </w:r>
    </w:p>
  </w:footnote>
  <w:footnote w:id="23">
    <w:p w14:paraId="4B5BB3C9" w14:textId="77777777" w:rsidR="00761EF1" w:rsidRPr="00C33C80" w:rsidRDefault="00761EF1" w:rsidP="00761EF1">
      <w:pPr>
        <w:pStyle w:val="FootnoteText"/>
        <w:rPr>
          <w:lang w:val="en-GB"/>
        </w:rPr>
      </w:pPr>
      <w:r>
        <w:rPr>
          <w:rStyle w:val="FootnoteReference"/>
        </w:rPr>
        <w:footnoteRef/>
      </w:r>
      <w:r>
        <w:t xml:space="preserve"> </w:t>
      </w:r>
      <w:r>
        <w:rPr>
          <w:lang w:val="en-GB"/>
        </w:rPr>
        <w:t>ACCC, 2026.  See also Han &amp; Button, 2025; James et al, 2014; Johnston, 2023; Liu et al, 2017.</w:t>
      </w:r>
    </w:p>
  </w:footnote>
  <w:footnote w:id="24">
    <w:p w14:paraId="638B566C" w14:textId="6C6E8EDD" w:rsidR="00413279" w:rsidRPr="00285901" w:rsidRDefault="00413279">
      <w:pPr>
        <w:pStyle w:val="FootnoteText"/>
        <w:rPr>
          <w:lang w:val="en-US"/>
        </w:rPr>
      </w:pPr>
      <w:r w:rsidRPr="00285901">
        <w:rPr>
          <w:rStyle w:val="FootnoteReference"/>
        </w:rPr>
        <w:footnoteRef/>
      </w:r>
      <w:r w:rsidRPr="00285901">
        <w:t xml:space="preserve"> </w:t>
      </w:r>
      <w:r w:rsidRPr="00285901">
        <w:rPr>
          <w:lang w:val="en-US"/>
        </w:rPr>
        <w:t xml:space="preserve">See </w:t>
      </w:r>
      <w:r w:rsidRPr="00285901">
        <w:rPr>
          <w:b/>
          <w:bCs/>
          <w:lang w:val="en-US"/>
        </w:rPr>
        <w:t>Annexures 1 and 2</w:t>
      </w:r>
      <w:r w:rsidRPr="00285901">
        <w:rPr>
          <w:lang w:val="en-US"/>
        </w:rPr>
        <w:t xml:space="preserve"> for key recommendations from two of these submissions.</w:t>
      </w:r>
    </w:p>
  </w:footnote>
  <w:footnote w:id="25">
    <w:p w14:paraId="0DC1FC98" w14:textId="3DC501A6" w:rsidR="00283A00" w:rsidRPr="00283A00" w:rsidRDefault="00283A00">
      <w:pPr>
        <w:pStyle w:val="FootnoteText"/>
        <w:rPr>
          <w:lang w:val="en-US"/>
        </w:rPr>
      </w:pPr>
      <w:r w:rsidRPr="00285901">
        <w:rPr>
          <w:rStyle w:val="FootnoteReference"/>
        </w:rPr>
        <w:footnoteRef/>
      </w:r>
      <w:r w:rsidRPr="00285901">
        <w:t xml:space="preserve"> </w:t>
      </w:r>
      <w:r w:rsidR="006A0C64" w:rsidRPr="00285901">
        <w:t>See Relationships Australia, 2022.</w:t>
      </w:r>
      <w:r w:rsidR="006A0C64">
        <w:t xml:space="preserve">  </w:t>
      </w:r>
    </w:p>
  </w:footnote>
  <w:footnote w:id="26">
    <w:p w14:paraId="3D78B2C8" w14:textId="0D007DFA" w:rsidR="006A0C64" w:rsidRPr="00702D35" w:rsidRDefault="006A0C64">
      <w:pPr>
        <w:pStyle w:val="FootnoteText"/>
        <w:rPr>
          <w:lang w:val="en-US"/>
        </w:rPr>
      </w:pPr>
      <w:r w:rsidRPr="00702D35">
        <w:rPr>
          <w:rStyle w:val="FootnoteReference"/>
        </w:rPr>
        <w:footnoteRef/>
      </w:r>
      <w:r w:rsidRPr="00702D35">
        <w:t xml:space="preserve"> </w:t>
      </w:r>
      <w:r w:rsidR="000F795E" w:rsidRPr="00702D35">
        <w:t>See, eg, Evaluate, 2022</w:t>
      </w:r>
      <w:r w:rsidR="004D3A4E" w:rsidRPr="00702D35">
        <w:t>; ABS, 2021.</w:t>
      </w:r>
    </w:p>
  </w:footnote>
  <w:footnote w:id="27">
    <w:p w14:paraId="72F1EB24" w14:textId="47F83ED1" w:rsidR="000F795E" w:rsidRPr="00702D35" w:rsidRDefault="000F795E">
      <w:pPr>
        <w:pStyle w:val="FootnoteText"/>
        <w:rPr>
          <w:lang w:val="en-US"/>
        </w:rPr>
      </w:pPr>
      <w:r w:rsidRPr="00702D35">
        <w:rPr>
          <w:rStyle w:val="FootnoteReference"/>
        </w:rPr>
        <w:footnoteRef/>
      </w:r>
      <w:r w:rsidRPr="00702D35">
        <w:t xml:space="preserve"> </w:t>
      </w:r>
      <w:r w:rsidRPr="00702D35">
        <w:rPr>
          <w:lang w:val="en-US"/>
        </w:rPr>
        <w:t xml:space="preserve">Accessible at </w:t>
      </w:r>
      <w:hyperlink r:id="rId8" w:history="1">
        <w:r w:rsidRPr="00702D35">
          <w:rPr>
            <w:rStyle w:val="Hyperlink"/>
            <w:lang w:val="en-US"/>
          </w:rPr>
          <w:t>https://www.relationships.org.au/wp-content/uploads/Poverty-submission-030223FINAL.pdf</w:t>
        </w:r>
      </w:hyperlink>
      <w:r w:rsidRPr="00702D35">
        <w:rPr>
          <w:lang w:val="en-US"/>
        </w:rPr>
        <w:t xml:space="preserve"> </w:t>
      </w:r>
    </w:p>
  </w:footnote>
  <w:footnote w:id="28">
    <w:p w14:paraId="327406B2" w14:textId="2192A56C" w:rsidR="002E7500" w:rsidRPr="002E7500" w:rsidRDefault="002E7500">
      <w:pPr>
        <w:pStyle w:val="FootnoteText"/>
        <w:rPr>
          <w:lang w:val="en-US"/>
        </w:rPr>
      </w:pPr>
      <w:r w:rsidRPr="00702D35">
        <w:rPr>
          <w:rStyle w:val="FootnoteReference"/>
        </w:rPr>
        <w:footnoteRef/>
      </w:r>
      <w:r w:rsidRPr="00702D35">
        <w:t xml:space="preserve"> </w:t>
      </w:r>
      <w:r w:rsidRPr="00702D35">
        <w:rPr>
          <w:lang w:val="en-US"/>
        </w:rPr>
        <w:t>For the highly gendered nature of caring roles in Australia, see ABS, 2021.</w:t>
      </w:r>
      <w:r w:rsidR="004D3A4E" w:rsidRPr="00702D35">
        <w:rPr>
          <w:lang w:val="en-US"/>
        </w:rPr>
        <w:t xml:space="preserve">  Economic disadvantage arising from caring role compounds other forms of economic disadvantage that disproportionately affects women (eg from interrupted participation in the remunerated workforce and experience of domestic and family violence; research also consistently indicates that economic disadvantage from family separation lasts longer, and is greater, for women than for men).  See, eg, </w:t>
      </w:r>
      <w:r w:rsidR="004D3A4E" w:rsidRPr="00702D35">
        <w:t>Broadway et al, 2022; de Vaus et al, 2007; de Vaus et al 2015; Easteal et al, 2018; Fehlberg &amp; Millward, 2014; Gray et al, 2010, Smyth &amp; Weston, 2000.</w:t>
      </w:r>
      <w:r w:rsidR="00490C06" w:rsidRPr="00702D35">
        <w:t xml:space="preserve">  See also Hill, Thomson, &amp; Cass,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622B3" w14:textId="77777777" w:rsidR="00546824" w:rsidRDefault="002529D7">
    <w:pPr>
      <w:pBdr>
        <w:top w:val="nil"/>
        <w:left w:val="nil"/>
        <w:bottom w:val="nil"/>
        <w:right w:val="nil"/>
        <w:between w:val="nil"/>
      </w:pBdr>
      <w:tabs>
        <w:tab w:val="center" w:pos="4513"/>
        <w:tab w:val="right" w:pos="9026"/>
      </w:tabs>
      <w:spacing w:after="0" w:line="240" w:lineRule="auto"/>
      <w:ind w:left="-850"/>
    </w:pPr>
    <w:r>
      <w:rPr>
        <w:noProof/>
      </w:rPr>
      <w:drawing>
        <wp:inline distT="114300" distB="114300" distL="114300" distR="114300" wp14:anchorId="60541E8A" wp14:editId="162481D5">
          <wp:extent cx="1345120" cy="612413"/>
          <wp:effectExtent l="0" t="0" r="0" b="0"/>
          <wp:docPr id="199844653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345120" cy="612413"/>
                  </a:xfrm>
                  <a:prstGeom prst="rect">
                    <a:avLst/>
                  </a:prstGeom>
                  <a:ln/>
                </pic:spPr>
              </pic:pic>
            </a:graphicData>
          </a:graphic>
        </wp:inline>
      </w:drawing>
    </w:r>
  </w:p>
  <w:p w14:paraId="3B2DF2C9" w14:textId="77777777" w:rsidR="00546824" w:rsidRDefault="00546824">
    <w:pPr>
      <w:pBdr>
        <w:top w:val="nil"/>
        <w:left w:val="nil"/>
        <w:bottom w:val="nil"/>
        <w:right w:val="nil"/>
        <w:between w:val="nil"/>
      </w:pBdr>
      <w:tabs>
        <w:tab w:val="center" w:pos="4513"/>
        <w:tab w:val="right" w:pos="9026"/>
      </w:tabs>
      <w:spacing w:after="0" w:line="240" w:lineRule="auto"/>
      <w:ind w:left="-8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CA4EC" w14:textId="77777777" w:rsidR="00546824" w:rsidRDefault="00F15066">
    <w:pPr>
      <w:ind w:left="-850"/>
      <w:rPr>
        <w:color w:val="000000"/>
      </w:rPr>
    </w:pPr>
    <w:r>
      <w:pict w14:anchorId="7507E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0;margin-top:0;width:468pt;height:661.7pt;z-index:-25165824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r w:rsidR="00F57E2D">
      <w:rPr>
        <w:noProof/>
      </w:rPr>
      <w:drawing>
        <wp:inline distT="114300" distB="114300" distL="114300" distR="114300" wp14:anchorId="07F1E2BC" wp14:editId="6593FE7E">
          <wp:extent cx="6872288" cy="668264"/>
          <wp:effectExtent l="0" t="0" r="0" b="0"/>
          <wp:docPr id="199844653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
                  <a:srcRect/>
                  <a:stretch>
                    <a:fillRect/>
                  </a:stretch>
                </pic:blipFill>
                <pic:spPr>
                  <a:xfrm>
                    <a:off x="0" y="0"/>
                    <a:ext cx="6872288" cy="66826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425"/>
    <w:multiLevelType w:val="hybridMultilevel"/>
    <w:tmpl w:val="EF5A0A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317481"/>
    <w:multiLevelType w:val="hybridMultilevel"/>
    <w:tmpl w:val="7402D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805474"/>
    <w:multiLevelType w:val="hybridMultilevel"/>
    <w:tmpl w:val="49DAA728"/>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CAE1331"/>
    <w:multiLevelType w:val="hybridMultilevel"/>
    <w:tmpl w:val="20DCE2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F5418A"/>
    <w:multiLevelType w:val="multilevel"/>
    <w:tmpl w:val="021C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26183"/>
    <w:multiLevelType w:val="hybridMultilevel"/>
    <w:tmpl w:val="54A6C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C40505"/>
    <w:multiLevelType w:val="hybridMultilevel"/>
    <w:tmpl w:val="94C281B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7" w15:restartNumberingAfterBreak="0">
    <w:nsid w:val="242B2D13"/>
    <w:multiLevelType w:val="multilevel"/>
    <w:tmpl w:val="D4D6ABE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26D455D0"/>
    <w:multiLevelType w:val="multilevel"/>
    <w:tmpl w:val="8DD0C6F8"/>
    <w:lvl w:ilvl="0">
      <w:start w:val="1"/>
      <w:numFmt w:val="upperLetter"/>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27EC4BCA"/>
    <w:multiLevelType w:val="hybridMultilevel"/>
    <w:tmpl w:val="86EA3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FD0EEC"/>
    <w:multiLevelType w:val="multilevel"/>
    <w:tmpl w:val="5218BD2E"/>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9F590F"/>
    <w:multiLevelType w:val="hybridMultilevel"/>
    <w:tmpl w:val="C6401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7E284B"/>
    <w:multiLevelType w:val="hybridMultilevel"/>
    <w:tmpl w:val="2346C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A45F61"/>
    <w:multiLevelType w:val="hybridMultilevel"/>
    <w:tmpl w:val="C784CB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141E8C"/>
    <w:multiLevelType w:val="hybridMultilevel"/>
    <w:tmpl w:val="2CFE7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2A545F"/>
    <w:multiLevelType w:val="hybridMultilevel"/>
    <w:tmpl w:val="FDAA2F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0601D6"/>
    <w:multiLevelType w:val="hybridMultilevel"/>
    <w:tmpl w:val="58FA0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4F464C"/>
    <w:multiLevelType w:val="hybridMultilevel"/>
    <w:tmpl w:val="37E0D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8D76C2"/>
    <w:multiLevelType w:val="hybridMultilevel"/>
    <w:tmpl w:val="A3847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C828C8"/>
    <w:multiLevelType w:val="multilevel"/>
    <w:tmpl w:val="8524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F2303C"/>
    <w:multiLevelType w:val="multilevel"/>
    <w:tmpl w:val="6060D53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91730B6"/>
    <w:multiLevelType w:val="hybridMultilevel"/>
    <w:tmpl w:val="E41A7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212AD6"/>
    <w:multiLevelType w:val="hybridMultilevel"/>
    <w:tmpl w:val="24C29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186AAE"/>
    <w:multiLevelType w:val="hybridMultilevel"/>
    <w:tmpl w:val="AEAEC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A9355D"/>
    <w:multiLevelType w:val="multilevel"/>
    <w:tmpl w:val="9E04A6FE"/>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614C6C12"/>
    <w:multiLevelType w:val="hybridMultilevel"/>
    <w:tmpl w:val="59629C6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6" w15:restartNumberingAfterBreak="0">
    <w:nsid w:val="620805AD"/>
    <w:multiLevelType w:val="hybridMultilevel"/>
    <w:tmpl w:val="E47AB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191CEB"/>
    <w:multiLevelType w:val="hybridMultilevel"/>
    <w:tmpl w:val="36BE824E"/>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28" w15:restartNumberingAfterBreak="0">
    <w:nsid w:val="632C5AFC"/>
    <w:multiLevelType w:val="hybridMultilevel"/>
    <w:tmpl w:val="57D287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6D7257A"/>
    <w:multiLevelType w:val="hybridMultilevel"/>
    <w:tmpl w:val="C30A1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845A08"/>
    <w:multiLevelType w:val="hybridMultilevel"/>
    <w:tmpl w:val="783E7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E0267F"/>
    <w:multiLevelType w:val="multilevel"/>
    <w:tmpl w:val="3892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7F5618"/>
    <w:multiLevelType w:val="hybridMultilevel"/>
    <w:tmpl w:val="29782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1F0565"/>
    <w:multiLevelType w:val="multilevel"/>
    <w:tmpl w:val="3DC2C000"/>
    <w:lvl w:ilvl="0">
      <w:start w:val="1"/>
      <w:numFmt w:val="upperLetter"/>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7CFC2DC0"/>
    <w:multiLevelType w:val="hybridMultilevel"/>
    <w:tmpl w:val="C3A29E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7444593">
    <w:abstractNumId w:val="4"/>
  </w:num>
  <w:num w:numId="2" w16cid:durableId="67313416">
    <w:abstractNumId w:val="20"/>
  </w:num>
  <w:num w:numId="3" w16cid:durableId="444540944">
    <w:abstractNumId w:val="11"/>
  </w:num>
  <w:num w:numId="4" w16cid:durableId="68381533">
    <w:abstractNumId w:val="6"/>
  </w:num>
  <w:num w:numId="5" w16cid:durableId="909847326">
    <w:abstractNumId w:val="24"/>
  </w:num>
  <w:num w:numId="6" w16cid:durableId="1021391878">
    <w:abstractNumId w:val="16"/>
  </w:num>
  <w:num w:numId="7" w16cid:durableId="426121775">
    <w:abstractNumId w:val="15"/>
  </w:num>
  <w:num w:numId="8" w16cid:durableId="1137531258">
    <w:abstractNumId w:val="26"/>
  </w:num>
  <w:num w:numId="9" w16cid:durableId="286661077">
    <w:abstractNumId w:val="17"/>
  </w:num>
  <w:num w:numId="10" w16cid:durableId="982807821">
    <w:abstractNumId w:val="23"/>
  </w:num>
  <w:num w:numId="11" w16cid:durableId="1123038336">
    <w:abstractNumId w:val="21"/>
  </w:num>
  <w:num w:numId="12" w16cid:durableId="455413829">
    <w:abstractNumId w:val="25"/>
  </w:num>
  <w:num w:numId="13" w16cid:durableId="83571360">
    <w:abstractNumId w:val="27"/>
  </w:num>
  <w:num w:numId="14" w16cid:durableId="248001107">
    <w:abstractNumId w:val="18"/>
  </w:num>
  <w:num w:numId="15" w16cid:durableId="1868642642">
    <w:abstractNumId w:val="14"/>
  </w:num>
  <w:num w:numId="16" w16cid:durableId="585117814">
    <w:abstractNumId w:val="29"/>
  </w:num>
  <w:num w:numId="17" w16cid:durableId="42410275">
    <w:abstractNumId w:val="34"/>
  </w:num>
  <w:num w:numId="18" w16cid:durableId="796025630">
    <w:abstractNumId w:val="12"/>
  </w:num>
  <w:num w:numId="19" w16cid:durableId="1561209555">
    <w:abstractNumId w:val="3"/>
  </w:num>
  <w:num w:numId="20" w16cid:durableId="719131658">
    <w:abstractNumId w:val="30"/>
  </w:num>
  <w:num w:numId="21" w16cid:durableId="1722513646">
    <w:abstractNumId w:val="2"/>
  </w:num>
  <w:num w:numId="22" w16cid:durableId="1326661550">
    <w:abstractNumId w:val="9"/>
  </w:num>
  <w:num w:numId="23" w16cid:durableId="28841129">
    <w:abstractNumId w:val="22"/>
  </w:num>
  <w:num w:numId="24" w16cid:durableId="1568303931">
    <w:abstractNumId w:val="31"/>
  </w:num>
  <w:num w:numId="25" w16cid:durableId="1690446961">
    <w:abstractNumId w:val="19"/>
  </w:num>
  <w:num w:numId="26" w16cid:durableId="1648781680">
    <w:abstractNumId w:val="7"/>
  </w:num>
  <w:num w:numId="27" w16cid:durableId="1407344039">
    <w:abstractNumId w:val="8"/>
  </w:num>
  <w:num w:numId="28" w16cid:durableId="865800316">
    <w:abstractNumId w:val="8"/>
    <w:lvlOverride w:ilvl="1">
      <w:startOverride w:val="5"/>
    </w:lvlOverride>
  </w:num>
  <w:num w:numId="29" w16cid:durableId="889997449">
    <w:abstractNumId w:val="33"/>
  </w:num>
  <w:num w:numId="30" w16cid:durableId="1168128810">
    <w:abstractNumId w:val="33"/>
    <w:lvlOverride w:ilvl="1">
      <w:startOverride w:val="7"/>
    </w:lvlOverride>
  </w:num>
  <w:num w:numId="31" w16cid:durableId="333849366">
    <w:abstractNumId w:val="10"/>
  </w:num>
  <w:num w:numId="32" w16cid:durableId="836462493">
    <w:abstractNumId w:val="13"/>
  </w:num>
  <w:num w:numId="33" w16cid:durableId="1025981689">
    <w:abstractNumId w:val="32"/>
  </w:num>
  <w:num w:numId="34" w16cid:durableId="31806399">
    <w:abstractNumId w:val="5"/>
  </w:num>
  <w:num w:numId="35" w16cid:durableId="1615285899">
    <w:abstractNumId w:val="28"/>
  </w:num>
  <w:num w:numId="36" w16cid:durableId="353070747">
    <w:abstractNumId w:val="1"/>
  </w:num>
  <w:num w:numId="37" w16cid:durableId="782267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ocumentProtection w:edit="readOnly" w:enforcement="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53C"/>
    <w:rsid w:val="0000062A"/>
    <w:rsid w:val="0000294C"/>
    <w:rsid w:val="00006433"/>
    <w:rsid w:val="000100D4"/>
    <w:rsid w:val="00011B68"/>
    <w:rsid w:val="00012247"/>
    <w:rsid w:val="00020583"/>
    <w:rsid w:val="00027247"/>
    <w:rsid w:val="000279EC"/>
    <w:rsid w:val="000307C8"/>
    <w:rsid w:val="00043459"/>
    <w:rsid w:val="0004357A"/>
    <w:rsid w:val="00064047"/>
    <w:rsid w:val="000669E3"/>
    <w:rsid w:val="00075289"/>
    <w:rsid w:val="00082106"/>
    <w:rsid w:val="00085A9F"/>
    <w:rsid w:val="00085B23"/>
    <w:rsid w:val="000A7DDE"/>
    <w:rsid w:val="000B3069"/>
    <w:rsid w:val="000B5DC0"/>
    <w:rsid w:val="000B74A1"/>
    <w:rsid w:val="000C51A9"/>
    <w:rsid w:val="000D03E3"/>
    <w:rsid w:val="000D1D4E"/>
    <w:rsid w:val="000F2875"/>
    <w:rsid w:val="000F3E9D"/>
    <w:rsid w:val="000F795E"/>
    <w:rsid w:val="001035A0"/>
    <w:rsid w:val="00111E9C"/>
    <w:rsid w:val="00125B95"/>
    <w:rsid w:val="0012670A"/>
    <w:rsid w:val="00127262"/>
    <w:rsid w:val="001411BE"/>
    <w:rsid w:val="001466A4"/>
    <w:rsid w:val="0015018C"/>
    <w:rsid w:val="00161CF4"/>
    <w:rsid w:val="001760B3"/>
    <w:rsid w:val="00176E7E"/>
    <w:rsid w:val="00186E90"/>
    <w:rsid w:val="00190FD1"/>
    <w:rsid w:val="001A16CA"/>
    <w:rsid w:val="001A4476"/>
    <w:rsid w:val="001A46F1"/>
    <w:rsid w:val="001A6D2D"/>
    <w:rsid w:val="001B2991"/>
    <w:rsid w:val="001B4616"/>
    <w:rsid w:val="001B47BC"/>
    <w:rsid w:val="001B6150"/>
    <w:rsid w:val="001C6BE4"/>
    <w:rsid w:val="001D4323"/>
    <w:rsid w:val="001F4368"/>
    <w:rsid w:val="001F69D0"/>
    <w:rsid w:val="00212190"/>
    <w:rsid w:val="002128B2"/>
    <w:rsid w:val="00225360"/>
    <w:rsid w:val="00227108"/>
    <w:rsid w:val="00227AC8"/>
    <w:rsid w:val="002529D7"/>
    <w:rsid w:val="00253B5B"/>
    <w:rsid w:val="00260069"/>
    <w:rsid w:val="00262434"/>
    <w:rsid w:val="002625AF"/>
    <w:rsid w:val="00262A18"/>
    <w:rsid w:val="002667A5"/>
    <w:rsid w:val="002805CE"/>
    <w:rsid w:val="002822CA"/>
    <w:rsid w:val="00283A00"/>
    <w:rsid w:val="002850F8"/>
    <w:rsid w:val="00285901"/>
    <w:rsid w:val="00290DDA"/>
    <w:rsid w:val="00291A54"/>
    <w:rsid w:val="00295D49"/>
    <w:rsid w:val="002A5B8B"/>
    <w:rsid w:val="002B36C7"/>
    <w:rsid w:val="002B47B6"/>
    <w:rsid w:val="002B4B8A"/>
    <w:rsid w:val="002C4808"/>
    <w:rsid w:val="002C67D9"/>
    <w:rsid w:val="002D13E1"/>
    <w:rsid w:val="002E7500"/>
    <w:rsid w:val="002F6A9A"/>
    <w:rsid w:val="00300EFF"/>
    <w:rsid w:val="00311D7D"/>
    <w:rsid w:val="00316805"/>
    <w:rsid w:val="00321627"/>
    <w:rsid w:val="00327A87"/>
    <w:rsid w:val="00330CC0"/>
    <w:rsid w:val="00342D67"/>
    <w:rsid w:val="0035178C"/>
    <w:rsid w:val="003608D0"/>
    <w:rsid w:val="0036347F"/>
    <w:rsid w:val="0036719B"/>
    <w:rsid w:val="0037368D"/>
    <w:rsid w:val="00374B92"/>
    <w:rsid w:val="003916D8"/>
    <w:rsid w:val="003976DA"/>
    <w:rsid w:val="003A0F4F"/>
    <w:rsid w:val="003A5EBE"/>
    <w:rsid w:val="003A6A73"/>
    <w:rsid w:val="003C4C9E"/>
    <w:rsid w:val="003C5B59"/>
    <w:rsid w:val="003D061C"/>
    <w:rsid w:val="003E7D24"/>
    <w:rsid w:val="003F470D"/>
    <w:rsid w:val="003F50BB"/>
    <w:rsid w:val="003F6E39"/>
    <w:rsid w:val="00411A1D"/>
    <w:rsid w:val="00413279"/>
    <w:rsid w:val="0042550C"/>
    <w:rsid w:val="0043145F"/>
    <w:rsid w:val="00431B8F"/>
    <w:rsid w:val="00431C14"/>
    <w:rsid w:val="0043442B"/>
    <w:rsid w:val="004407FE"/>
    <w:rsid w:val="0044083C"/>
    <w:rsid w:val="004436B8"/>
    <w:rsid w:val="0045289E"/>
    <w:rsid w:val="00455F8D"/>
    <w:rsid w:val="00473489"/>
    <w:rsid w:val="00473C97"/>
    <w:rsid w:val="00473DB9"/>
    <w:rsid w:val="00475C23"/>
    <w:rsid w:val="00480C9F"/>
    <w:rsid w:val="004839E8"/>
    <w:rsid w:val="0048752D"/>
    <w:rsid w:val="00490C06"/>
    <w:rsid w:val="0049242F"/>
    <w:rsid w:val="00496454"/>
    <w:rsid w:val="004A2972"/>
    <w:rsid w:val="004A3F73"/>
    <w:rsid w:val="004B3A80"/>
    <w:rsid w:val="004B4990"/>
    <w:rsid w:val="004B68D1"/>
    <w:rsid w:val="004C0ACA"/>
    <w:rsid w:val="004C3491"/>
    <w:rsid w:val="004C70D6"/>
    <w:rsid w:val="004D3A4E"/>
    <w:rsid w:val="004D5DCF"/>
    <w:rsid w:val="00504A31"/>
    <w:rsid w:val="00514078"/>
    <w:rsid w:val="00514145"/>
    <w:rsid w:val="00514DE0"/>
    <w:rsid w:val="00515698"/>
    <w:rsid w:val="00530B47"/>
    <w:rsid w:val="005339AF"/>
    <w:rsid w:val="00533A6D"/>
    <w:rsid w:val="00537D0A"/>
    <w:rsid w:val="00542111"/>
    <w:rsid w:val="005424B2"/>
    <w:rsid w:val="00544AF0"/>
    <w:rsid w:val="005455EF"/>
    <w:rsid w:val="00545921"/>
    <w:rsid w:val="00546824"/>
    <w:rsid w:val="00546CAB"/>
    <w:rsid w:val="00551EF1"/>
    <w:rsid w:val="00555B0E"/>
    <w:rsid w:val="00557783"/>
    <w:rsid w:val="00557FA1"/>
    <w:rsid w:val="00562C3F"/>
    <w:rsid w:val="00567069"/>
    <w:rsid w:val="00572204"/>
    <w:rsid w:val="00572D33"/>
    <w:rsid w:val="005766A2"/>
    <w:rsid w:val="0058263D"/>
    <w:rsid w:val="00582653"/>
    <w:rsid w:val="005829DB"/>
    <w:rsid w:val="00585FF4"/>
    <w:rsid w:val="0059053C"/>
    <w:rsid w:val="005A3E06"/>
    <w:rsid w:val="005A4298"/>
    <w:rsid w:val="005B486B"/>
    <w:rsid w:val="005C4857"/>
    <w:rsid w:val="005C6D76"/>
    <w:rsid w:val="005D2168"/>
    <w:rsid w:val="005D34FF"/>
    <w:rsid w:val="005D3EB2"/>
    <w:rsid w:val="005D5479"/>
    <w:rsid w:val="005D7B86"/>
    <w:rsid w:val="005E1D73"/>
    <w:rsid w:val="005E372D"/>
    <w:rsid w:val="005E3F55"/>
    <w:rsid w:val="005E501A"/>
    <w:rsid w:val="005E51BE"/>
    <w:rsid w:val="005E748F"/>
    <w:rsid w:val="00602C96"/>
    <w:rsid w:val="00604BFA"/>
    <w:rsid w:val="006077FB"/>
    <w:rsid w:val="00616274"/>
    <w:rsid w:val="00627843"/>
    <w:rsid w:val="00635189"/>
    <w:rsid w:val="00637E04"/>
    <w:rsid w:val="00644AAC"/>
    <w:rsid w:val="00653324"/>
    <w:rsid w:val="00657625"/>
    <w:rsid w:val="00662E42"/>
    <w:rsid w:val="006671A8"/>
    <w:rsid w:val="00675544"/>
    <w:rsid w:val="006866A6"/>
    <w:rsid w:val="006A0C64"/>
    <w:rsid w:val="006A7A7C"/>
    <w:rsid w:val="006B14CB"/>
    <w:rsid w:val="006B2289"/>
    <w:rsid w:val="006B774F"/>
    <w:rsid w:val="006C2015"/>
    <w:rsid w:val="006C60E7"/>
    <w:rsid w:val="006C7716"/>
    <w:rsid w:val="006D1A3D"/>
    <w:rsid w:val="006D368A"/>
    <w:rsid w:val="006E64AF"/>
    <w:rsid w:val="006E6705"/>
    <w:rsid w:val="006E67CB"/>
    <w:rsid w:val="00702572"/>
    <w:rsid w:val="00702D35"/>
    <w:rsid w:val="00704F5C"/>
    <w:rsid w:val="00723F65"/>
    <w:rsid w:val="007314A4"/>
    <w:rsid w:val="007410BB"/>
    <w:rsid w:val="00744DBA"/>
    <w:rsid w:val="007451F0"/>
    <w:rsid w:val="00745C40"/>
    <w:rsid w:val="007479B8"/>
    <w:rsid w:val="00747C32"/>
    <w:rsid w:val="00747E20"/>
    <w:rsid w:val="007500BB"/>
    <w:rsid w:val="00752CCD"/>
    <w:rsid w:val="00761EF1"/>
    <w:rsid w:val="007639DB"/>
    <w:rsid w:val="00763EE7"/>
    <w:rsid w:val="007666D4"/>
    <w:rsid w:val="00776C7E"/>
    <w:rsid w:val="007849FF"/>
    <w:rsid w:val="007865B2"/>
    <w:rsid w:val="0078767F"/>
    <w:rsid w:val="00797D13"/>
    <w:rsid w:val="007C2E4D"/>
    <w:rsid w:val="007C342B"/>
    <w:rsid w:val="007C66C9"/>
    <w:rsid w:val="007D0E33"/>
    <w:rsid w:val="007D462A"/>
    <w:rsid w:val="007E218F"/>
    <w:rsid w:val="007E50A2"/>
    <w:rsid w:val="007F094D"/>
    <w:rsid w:val="007F0BA5"/>
    <w:rsid w:val="007F0D1F"/>
    <w:rsid w:val="007F138E"/>
    <w:rsid w:val="007F1A26"/>
    <w:rsid w:val="00805141"/>
    <w:rsid w:val="00811E02"/>
    <w:rsid w:val="0081481E"/>
    <w:rsid w:val="00824825"/>
    <w:rsid w:val="0083243A"/>
    <w:rsid w:val="00847663"/>
    <w:rsid w:val="00860CB0"/>
    <w:rsid w:val="00882090"/>
    <w:rsid w:val="00890B6A"/>
    <w:rsid w:val="008A274C"/>
    <w:rsid w:val="008A302C"/>
    <w:rsid w:val="008A6058"/>
    <w:rsid w:val="008B1401"/>
    <w:rsid w:val="008B3555"/>
    <w:rsid w:val="008C071F"/>
    <w:rsid w:val="008C7591"/>
    <w:rsid w:val="008C7DDE"/>
    <w:rsid w:val="008D37AE"/>
    <w:rsid w:val="008E2BB6"/>
    <w:rsid w:val="008F1D4A"/>
    <w:rsid w:val="0090378A"/>
    <w:rsid w:val="0090485B"/>
    <w:rsid w:val="00906DF7"/>
    <w:rsid w:val="00913F8D"/>
    <w:rsid w:val="00917FE5"/>
    <w:rsid w:val="00920A34"/>
    <w:rsid w:val="00924F48"/>
    <w:rsid w:val="0095342F"/>
    <w:rsid w:val="0096107A"/>
    <w:rsid w:val="00963D1A"/>
    <w:rsid w:val="00971EDE"/>
    <w:rsid w:val="00972CE4"/>
    <w:rsid w:val="009748B7"/>
    <w:rsid w:val="00984C4F"/>
    <w:rsid w:val="009A3451"/>
    <w:rsid w:val="009A6E63"/>
    <w:rsid w:val="009D0716"/>
    <w:rsid w:val="009D0A90"/>
    <w:rsid w:val="009D57FB"/>
    <w:rsid w:val="009D6942"/>
    <w:rsid w:val="009D6EAA"/>
    <w:rsid w:val="009E00B2"/>
    <w:rsid w:val="009F1636"/>
    <w:rsid w:val="009F16DB"/>
    <w:rsid w:val="009F5E91"/>
    <w:rsid w:val="009F6375"/>
    <w:rsid w:val="00A0366A"/>
    <w:rsid w:val="00A11282"/>
    <w:rsid w:val="00A13E62"/>
    <w:rsid w:val="00A14D61"/>
    <w:rsid w:val="00A1629C"/>
    <w:rsid w:val="00A21A49"/>
    <w:rsid w:val="00A21DC2"/>
    <w:rsid w:val="00A23F9B"/>
    <w:rsid w:val="00A24D11"/>
    <w:rsid w:val="00A411F9"/>
    <w:rsid w:val="00A50A13"/>
    <w:rsid w:val="00A5238C"/>
    <w:rsid w:val="00A569D9"/>
    <w:rsid w:val="00A57CB2"/>
    <w:rsid w:val="00A6075A"/>
    <w:rsid w:val="00A67F26"/>
    <w:rsid w:val="00A67FED"/>
    <w:rsid w:val="00A70C21"/>
    <w:rsid w:val="00A71FA6"/>
    <w:rsid w:val="00A74B92"/>
    <w:rsid w:val="00A85C03"/>
    <w:rsid w:val="00A97EEF"/>
    <w:rsid w:val="00AA3078"/>
    <w:rsid w:val="00AA64B1"/>
    <w:rsid w:val="00AC2868"/>
    <w:rsid w:val="00AC3C67"/>
    <w:rsid w:val="00AC4351"/>
    <w:rsid w:val="00AC54FD"/>
    <w:rsid w:val="00AC7C26"/>
    <w:rsid w:val="00AD1EE5"/>
    <w:rsid w:val="00AD4279"/>
    <w:rsid w:val="00AE5308"/>
    <w:rsid w:val="00AE58DC"/>
    <w:rsid w:val="00AE7C63"/>
    <w:rsid w:val="00AF2B8B"/>
    <w:rsid w:val="00B01660"/>
    <w:rsid w:val="00B016B3"/>
    <w:rsid w:val="00B02C42"/>
    <w:rsid w:val="00B04433"/>
    <w:rsid w:val="00B05A30"/>
    <w:rsid w:val="00B05B72"/>
    <w:rsid w:val="00B061F3"/>
    <w:rsid w:val="00B06CE2"/>
    <w:rsid w:val="00B13D02"/>
    <w:rsid w:val="00B26AB3"/>
    <w:rsid w:val="00B3049A"/>
    <w:rsid w:val="00B31769"/>
    <w:rsid w:val="00B43746"/>
    <w:rsid w:val="00B60125"/>
    <w:rsid w:val="00B66DA6"/>
    <w:rsid w:val="00B71130"/>
    <w:rsid w:val="00B7131D"/>
    <w:rsid w:val="00B7636A"/>
    <w:rsid w:val="00BA747D"/>
    <w:rsid w:val="00BB26A8"/>
    <w:rsid w:val="00BB2788"/>
    <w:rsid w:val="00BC17B3"/>
    <w:rsid w:val="00BC3CB9"/>
    <w:rsid w:val="00BD30CA"/>
    <w:rsid w:val="00BE6217"/>
    <w:rsid w:val="00C15512"/>
    <w:rsid w:val="00C16FDB"/>
    <w:rsid w:val="00C33C80"/>
    <w:rsid w:val="00C34F83"/>
    <w:rsid w:val="00C448AC"/>
    <w:rsid w:val="00C504B3"/>
    <w:rsid w:val="00C5533A"/>
    <w:rsid w:val="00C569F8"/>
    <w:rsid w:val="00C62298"/>
    <w:rsid w:val="00C664B3"/>
    <w:rsid w:val="00C72ADF"/>
    <w:rsid w:val="00C75E94"/>
    <w:rsid w:val="00C8374A"/>
    <w:rsid w:val="00C93F8F"/>
    <w:rsid w:val="00CA5F44"/>
    <w:rsid w:val="00CB0DAD"/>
    <w:rsid w:val="00CD0CB8"/>
    <w:rsid w:val="00CD5727"/>
    <w:rsid w:val="00CE70F3"/>
    <w:rsid w:val="00CF0F34"/>
    <w:rsid w:val="00CF7BF4"/>
    <w:rsid w:val="00D07A30"/>
    <w:rsid w:val="00D109D7"/>
    <w:rsid w:val="00D15F8C"/>
    <w:rsid w:val="00D21E0F"/>
    <w:rsid w:val="00D37DF7"/>
    <w:rsid w:val="00D441A6"/>
    <w:rsid w:val="00D4582C"/>
    <w:rsid w:val="00D46198"/>
    <w:rsid w:val="00D53219"/>
    <w:rsid w:val="00D56DDD"/>
    <w:rsid w:val="00DB1677"/>
    <w:rsid w:val="00DC63F3"/>
    <w:rsid w:val="00DC6456"/>
    <w:rsid w:val="00DD36C9"/>
    <w:rsid w:val="00DD39F3"/>
    <w:rsid w:val="00DD3EBC"/>
    <w:rsid w:val="00DE6016"/>
    <w:rsid w:val="00DF0CE6"/>
    <w:rsid w:val="00DF5C7B"/>
    <w:rsid w:val="00E01D8B"/>
    <w:rsid w:val="00E053B5"/>
    <w:rsid w:val="00E12FFA"/>
    <w:rsid w:val="00E2094E"/>
    <w:rsid w:val="00E22B6C"/>
    <w:rsid w:val="00E25446"/>
    <w:rsid w:val="00E52242"/>
    <w:rsid w:val="00E61E6A"/>
    <w:rsid w:val="00E67EF5"/>
    <w:rsid w:val="00E819BB"/>
    <w:rsid w:val="00E8321F"/>
    <w:rsid w:val="00E840BB"/>
    <w:rsid w:val="00E9396D"/>
    <w:rsid w:val="00E9485F"/>
    <w:rsid w:val="00E970E3"/>
    <w:rsid w:val="00EA11AF"/>
    <w:rsid w:val="00EB10CC"/>
    <w:rsid w:val="00EB278B"/>
    <w:rsid w:val="00EB63DD"/>
    <w:rsid w:val="00EC0317"/>
    <w:rsid w:val="00EC4CAD"/>
    <w:rsid w:val="00EC67B9"/>
    <w:rsid w:val="00EE2B0B"/>
    <w:rsid w:val="00EE3C94"/>
    <w:rsid w:val="00EE4540"/>
    <w:rsid w:val="00EF22CA"/>
    <w:rsid w:val="00EF386C"/>
    <w:rsid w:val="00EF6034"/>
    <w:rsid w:val="00EF6714"/>
    <w:rsid w:val="00F00593"/>
    <w:rsid w:val="00F019F9"/>
    <w:rsid w:val="00F07391"/>
    <w:rsid w:val="00F15066"/>
    <w:rsid w:val="00F208AB"/>
    <w:rsid w:val="00F21C3D"/>
    <w:rsid w:val="00F40697"/>
    <w:rsid w:val="00F41A5F"/>
    <w:rsid w:val="00F420DA"/>
    <w:rsid w:val="00F57E2D"/>
    <w:rsid w:val="00F613A8"/>
    <w:rsid w:val="00F71D84"/>
    <w:rsid w:val="00F83F53"/>
    <w:rsid w:val="00F91EDB"/>
    <w:rsid w:val="00F92922"/>
    <w:rsid w:val="00F959D7"/>
    <w:rsid w:val="00F96AE4"/>
    <w:rsid w:val="00FA3A5A"/>
    <w:rsid w:val="00FA4BCB"/>
    <w:rsid w:val="00FB04A6"/>
    <w:rsid w:val="00FB088F"/>
    <w:rsid w:val="00FB160E"/>
    <w:rsid w:val="00FB5FEF"/>
    <w:rsid w:val="00FB71BF"/>
    <w:rsid w:val="00FC74C3"/>
    <w:rsid w:val="00FD2AB8"/>
    <w:rsid w:val="00FE42DA"/>
    <w:rsid w:val="00FE4FD9"/>
    <w:rsid w:val="00FE72BA"/>
    <w:rsid w:val="00FF0B4C"/>
    <w:rsid w:val="00FF5B09"/>
    <w:rsid w:val="00FF78B7"/>
    <w:rsid w:val="00FF79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BF0F"/>
  <w15:docId w15:val="{B62178EB-8B32-4C51-BA02-A882857C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A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EF1"/>
  </w:style>
  <w:style w:type="paragraph" w:styleId="Heading1">
    <w:name w:val="heading 1"/>
    <w:basedOn w:val="Normal"/>
    <w:next w:val="Normal"/>
    <w:link w:val="Heading1Char"/>
    <w:uiPriority w:val="9"/>
    <w:qFormat/>
    <w:rsid w:val="00430783"/>
    <w:pPr>
      <w:keepNext/>
      <w:keepLines/>
      <w:spacing w:before="360" w:after="80"/>
      <w:outlineLvl w:val="0"/>
    </w:pPr>
    <w:rPr>
      <w:rFonts w:eastAsiaTheme="majorEastAsia" w:cstheme="majorBidi"/>
      <w:color w:val="00476D"/>
      <w:sz w:val="40"/>
      <w:szCs w:val="40"/>
    </w:rPr>
  </w:style>
  <w:style w:type="paragraph" w:styleId="Heading2">
    <w:name w:val="heading 2"/>
    <w:basedOn w:val="Normal"/>
    <w:next w:val="Normal"/>
    <w:link w:val="Heading2Char"/>
    <w:uiPriority w:val="9"/>
    <w:unhideWhenUsed/>
    <w:qFormat/>
    <w:rsid w:val="00430783"/>
    <w:pPr>
      <w:keepNext/>
      <w:keepLines/>
      <w:spacing w:before="160" w:after="80"/>
      <w:outlineLvl w:val="1"/>
    </w:pPr>
    <w:rPr>
      <w:rFonts w:eastAsiaTheme="majorEastAsia" w:cstheme="majorBidi"/>
      <w:color w:val="00476F"/>
      <w:sz w:val="32"/>
      <w:szCs w:val="32"/>
    </w:rPr>
  </w:style>
  <w:style w:type="paragraph" w:styleId="Heading3">
    <w:name w:val="heading 3"/>
    <w:basedOn w:val="Normal"/>
    <w:next w:val="Normal"/>
    <w:link w:val="Heading3Char"/>
    <w:uiPriority w:val="9"/>
    <w:unhideWhenUsed/>
    <w:qFormat/>
    <w:rsid w:val="00430783"/>
    <w:pPr>
      <w:keepNext/>
      <w:keepLines/>
      <w:spacing w:before="160" w:after="80"/>
      <w:outlineLvl w:val="2"/>
    </w:pPr>
    <w:rPr>
      <w:rFonts w:eastAsiaTheme="majorEastAsia" w:cstheme="majorBidi"/>
      <w:color w:val="00476D"/>
      <w:sz w:val="28"/>
      <w:szCs w:val="28"/>
    </w:rPr>
  </w:style>
  <w:style w:type="paragraph" w:styleId="Heading4">
    <w:name w:val="heading 4"/>
    <w:basedOn w:val="Normal"/>
    <w:next w:val="Normal"/>
    <w:link w:val="Heading4Char"/>
    <w:uiPriority w:val="9"/>
    <w:unhideWhenUsed/>
    <w:qFormat/>
    <w:rsid w:val="00683E73"/>
    <w:pPr>
      <w:keepNext/>
      <w:keepLines/>
      <w:spacing w:before="80" w:after="40"/>
      <w:outlineLvl w:val="3"/>
    </w:pPr>
    <w:rPr>
      <w:rFonts w:eastAsiaTheme="majorEastAsia" w:cstheme="majorBidi"/>
      <w:i/>
      <w:iCs/>
      <w:color w:val="00476D"/>
    </w:rPr>
  </w:style>
  <w:style w:type="paragraph" w:styleId="Heading5">
    <w:name w:val="heading 5"/>
    <w:basedOn w:val="Normal"/>
    <w:next w:val="Normal"/>
    <w:link w:val="Heading5Char"/>
    <w:uiPriority w:val="9"/>
    <w:semiHidden/>
    <w:unhideWhenUsed/>
    <w:qFormat/>
    <w:rsid w:val="002C77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7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7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7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7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2C7781"/>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430783"/>
    <w:rPr>
      <w:rFonts w:ascii="Calibri" w:eastAsiaTheme="majorEastAsia" w:hAnsi="Calibri" w:cstheme="majorBidi"/>
      <w:color w:val="00476D"/>
      <w:sz w:val="40"/>
      <w:szCs w:val="40"/>
    </w:rPr>
  </w:style>
  <w:style w:type="character" w:customStyle="1" w:styleId="Heading2Char">
    <w:name w:val="Heading 2 Char"/>
    <w:basedOn w:val="DefaultParagraphFont"/>
    <w:link w:val="Heading2"/>
    <w:uiPriority w:val="9"/>
    <w:rsid w:val="00430783"/>
    <w:rPr>
      <w:rFonts w:ascii="Calibri" w:eastAsiaTheme="majorEastAsia" w:hAnsi="Calibri" w:cstheme="majorBidi"/>
      <w:color w:val="00476F"/>
      <w:sz w:val="32"/>
      <w:szCs w:val="32"/>
    </w:rPr>
  </w:style>
  <w:style w:type="character" w:customStyle="1" w:styleId="Heading3Char">
    <w:name w:val="Heading 3 Char"/>
    <w:basedOn w:val="DefaultParagraphFont"/>
    <w:link w:val="Heading3"/>
    <w:uiPriority w:val="9"/>
    <w:rsid w:val="00430783"/>
    <w:rPr>
      <w:rFonts w:ascii="Calibri" w:eastAsiaTheme="majorEastAsia" w:hAnsi="Calibri" w:cstheme="majorBidi"/>
      <w:color w:val="00476D"/>
      <w:sz w:val="28"/>
      <w:szCs w:val="28"/>
    </w:rPr>
  </w:style>
  <w:style w:type="character" w:customStyle="1" w:styleId="Heading4Char">
    <w:name w:val="Heading 4 Char"/>
    <w:basedOn w:val="DefaultParagraphFont"/>
    <w:link w:val="Heading4"/>
    <w:uiPriority w:val="9"/>
    <w:rsid w:val="00683E73"/>
    <w:rPr>
      <w:rFonts w:eastAsiaTheme="majorEastAsia" w:cstheme="majorBidi"/>
      <w:i/>
      <w:iCs/>
      <w:color w:val="00476D"/>
    </w:rPr>
  </w:style>
  <w:style w:type="character" w:customStyle="1" w:styleId="Heading5Char">
    <w:name w:val="Heading 5 Char"/>
    <w:basedOn w:val="DefaultParagraphFont"/>
    <w:link w:val="Heading5"/>
    <w:uiPriority w:val="9"/>
    <w:semiHidden/>
    <w:rsid w:val="002C77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7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7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7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781"/>
    <w:rPr>
      <w:rFonts w:eastAsiaTheme="majorEastAsia" w:cstheme="majorBidi"/>
      <w:color w:val="272727" w:themeColor="text1" w:themeTint="D8"/>
    </w:rPr>
  </w:style>
  <w:style w:type="character" w:customStyle="1" w:styleId="TitleChar">
    <w:name w:val="Title Char"/>
    <w:basedOn w:val="DefaultParagraphFont"/>
    <w:link w:val="Title"/>
    <w:uiPriority w:val="10"/>
    <w:rsid w:val="002C77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2C77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F94"/>
    <w:pPr>
      <w:spacing w:before="160"/>
      <w:ind w:left="720"/>
    </w:pPr>
    <w:rPr>
      <w:i/>
      <w:iCs/>
      <w:color w:val="404040" w:themeColor="text1" w:themeTint="BF"/>
      <w:lang w:val="en-US"/>
    </w:rPr>
  </w:style>
  <w:style w:type="character" w:customStyle="1" w:styleId="QuoteChar">
    <w:name w:val="Quote Char"/>
    <w:basedOn w:val="DefaultParagraphFont"/>
    <w:link w:val="Quote"/>
    <w:uiPriority w:val="29"/>
    <w:rsid w:val="00847F94"/>
    <w:rPr>
      <w:rFonts w:ascii="Calibri" w:hAnsi="Calibri"/>
      <w:i/>
      <w:iCs/>
      <w:color w:val="404040" w:themeColor="text1" w:themeTint="BF"/>
      <w:sz w:val="24"/>
      <w:lang w:val="en-US"/>
    </w:rPr>
  </w:style>
  <w:style w:type="paragraph" w:styleId="ListParagraph">
    <w:name w:val="List Paragraph"/>
    <w:basedOn w:val="Normal"/>
    <w:uiPriority w:val="34"/>
    <w:qFormat/>
    <w:rsid w:val="002C7781"/>
    <w:pPr>
      <w:ind w:left="720"/>
      <w:contextualSpacing/>
    </w:pPr>
  </w:style>
  <w:style w:type="character" w:styleId="IntenseEmphasis">
    <w:name w:val="Intense Emphasis"/>
    <w:basedOn w:val="DefaultParagraphFont"/>
    <w:uiPriority w:val="21"/>
    <w:rsid w:val="002C7781"/>
    <w:rPr>
      <w:i/>
      <w:iCs/>
      <w:color w:val="0F4761" w:themeColor="accent1" w:themeShade="BF"/>
    </w:rPr>
  </w:style>
  <w:style w:type="paragraph" w:styleId="IntenseQuote">
    <w:name w:val="Intense Quote"/>
    <w:basedOn w:val="Normal"/>
    <w:next w:val="Normal"/>
    <w:link w:val="IntenseQuoteChar"/>
    <w:uiPriority w:val="30"/>
    <w:qFormat/>
    <w:rsid w:val="002C77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781"/>
    <w:rPr>
      <w:i/>
      <w:iCs/>
      <w:color w:val="0F4761" w:themeColor="accent1" w:themeShade="BF"/>
    </w:rPr>
  </w:style>
  <w:style w:type="character" w:styleId="IntenseReference">
    <w:name w:val="Intense Reference"/>
    <w:basedOn w:val="DefaultParagraphFont"/>
    <w:uiPriority w:val="32"/>
    <w:qFormat/>
    <w:rsid w:val="002C7781"/>
    <w:rPr>
      <w:b/>
      <w:bCs/>
      <w:smallCaps/>
      <w:color w:val="0F4761" w:themeColor="accent1" w:themeShade="BF"/>
      <w:spacing w:val="5"/>
    </w:rPr>
  </w:style>
  <w:style w:type="character" w:styleId="Strong">
    <w:name w:val="Strong"/>
    <w:basedOn w:val="DefaultParagraphFont"/>
    <w:rsid w:val="00B91E37"/>
    <w:rPr>
      <w:rFonts w:cs="Times New Roman"/>
      <w:b/>
      <w:bCs/>
    </w:rPr>
  </w:style>
  <w:style w:type="paragraph" w:styleId="Header">
    <w:name w:val="header"/>
    <w:basedOn w:val="Normal"/>
    <w:link w:val="HeaderChar"/>
    <w:uiPriority w:val="99"/>
    <w:unhideWhenUsed/>
    <w:rsid w:val="00856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9B0"/>
    <w:rPr>
      <w:rFonts w:ascii="Calibri" w:hAnsi="Calibri"/>
      <w:sz w:val="24"/>
    </w:rPr>
  </w:style>
  <w:style w:type="paragraph" w:styleId="Footer">
    <w:name w:val="footer"/>
    <w:basedOn w:val="Normal"/>
    <w:link w:val="FooterChar"/>
    <w:uiPriority w:val="99"/>
    <w:unhideWhenUsed/>
    <w:rsid w:val="00856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9B0"/>
    <w:rPr>
      <w:rFonts w:ascii="Calibri" w:hAnsi="Calibri"/>
      <w:sz w:val="24"/>
    </w:rPr>
  </w:style>
  <w:style w:type="character" w:styleId="Hyperlink">
    <w:name w:val="Hyperlink"/>
    <w:basedOn w:val="DefaultParagraphFont"/>
    <w:uiPriority w:val="99"/>
    <w:unhideWhenUsed/>
    <w:rsid w:val="0059053C"/>
    <w:rPr>
      <w:color w:val="467886" w:themeColor="hyperlink"/>
      <w:u w:val="single"/>
    </w:rPr>
  </w:style>
  <w:style w:type="character" w:styleId="UnresolvedMention">
    <w:name w:val="Unresolved Mention"/>
    <w:basedOn w:val="DefaultParagraphFont"/>
    <w:uiPriority w:val="99"/>
    <w:semiHidden/>
    <w:unhideWhenUsed/>
    <w:rsid w:val="0059053C"/>
    <w:rPr>
      <w:color w:val="605E5C"/>
      <w:shd w:val="clear" w:color="auto" w:fill="E1DFDD"/>
    </w:rPr>
  </w:style>
  <w:style w:type="paragraph" w:styleId="FootnoteText">
    <w:name w:val="footnote text"/>
    <w:basedOn w:val="Normal"/>
    <w:link w:val="FootnoteTextChar"/>
    <w:unhideWhenUsed/>
    <w:rsid w:val="00B66DA6"/>
    <w:pPr>
      <w:spacing w:after="0" w:line="240" w:lineRule="auto"/>
    </w:pPr>
    <w:rPr>
      <w:sz w:val="20"/>
      <w:szCs w:val="20"/>
    </w:rPr>
  </w:style>
  <w:style w:type="character" w:customStyle="1" w:styleId="FootnoteTextChar">
    <w:name w:val="Footnote Text Char"/>
    <w:basedOn w:val="DefaultParagraphFont"/>
    <w:link w:val="FootnoteText"/>
    <w:rsid w:val="00B66DA6"/>
    <w:rPr>
      <w:sz w:val="20"/>
      <w:szCs w:val="20"/>
    </w:rPr>
  </w:style>
  <w:style w:type="character" w:styleId="FootnoteReference">
    <w:name w:val="footnote reference"/>
    <w:basedOn w:val="DefaultParagraphFont"/>
    <w:unhideWhenUsed/>
    <w:qFormat/>
    <w:rsid w:val="00B66DA6"/>
    <w:rPr>
      <w:vertAlign w:val="superscript"/>
    </w:rPr>
  </w:style>
  <w:style w:type="character" w:styleId="FollowedHyperlink">
    <w:name w:val="FollowedHyperlink"/>
    <w:basedOn w:val="DefaultParagraphFont"/>
    <w:uiPriority w:val="99"/>
    <w:semiHidden/>
    <w:unhideWhenUsed/>
    <w:rsid w:val="00496454"/>
    <w:rPr>
      <w:color w:val="96607D" w:themeColor="followedHyperlink"/>
      <w:u w:val="single"/>
    </w:rPr>
  </w:style>
  <w:style w:type="table" w:styleId="TableGrid">
    <w:name w:val="Table Grid"/>
    <w:basedOn w:val="TableNormal"/>
    <w:uiPriority w:val="39"/>
    <w:rsid w:val="00B43746"/>
    <w:pPr>
      <w:spacing w:after="0" w:line="240" w:lineRule="auto"/>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44AF0"/>
    <w:pPr>
      <w:spacing w:before="100" w:beforeAutospacing="1" w:after="100" w:afterAutospacing="1" w:line="240" w:lineRule="auto"/>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relationships.org.au/wp-content/uploads/Carers.pdf" TargetMode="External"/><Relationship Id="rId18" Type="http://schemas.openxmlformats.org/officeDocument/2006/relationships/hyperlink" Target="https://www.accc.gov.au/media-release/continued-action-critical-to-combat-fraud-as-annual-scam-losses-exceed-2-billion" TargetMode="External"/><Relationship Id="rId26" Type="http://schemas.openxmlformats.org/officeDocument/2006/relationships/hyperlink" Target="https://www.relationships.org.au/wp-content/uploads/Livings-OBrien-Bagshaw-Roe-Preserving-Dignity-Overcoming-Conflict-FINAL-REPORT.pdf" TargetMode="External"/><Relationship Id="rId39" Type="http://schemas.openxmlformats.org/officeDocument/2006/relationships/header" Target="header1.xml"/><Relationship Id="rId21" Type="http://schemas.openxmlformats.org/officeDocument/2006/relationships/hyperlink" Target="http://purl.library.usyd.edu.au/sup/9781920899530" TargetMode="External"/><Relationship Id="rId34" Type="http://schemas.openxmlformats.org/officeDocument/2006/relationships/hyperlink" Target="https://www.royalcommission.gov.au/aged-care/final-report" TargetMode="External"/><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yperlink" Target="https://www.alrc.gov.au/publication/elder-abuse-a-national-legal-response-alrc-report-131/" TargetMode="External"/><Relationship Id="rId29" Type="http://schemas.openxmlformats.org/officeDocument/2006/relationships/hyperlink" Target="https://www.parliament.qld.gov.au/Work-of-the-Assembly/Tabled-Papers/docs/5721t283/5721t283.pdf"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80/01639625.2025.2453821" TargetMode="External"/><Relationship Id="rId32" Type="http://schemas.openxmlformats.org/officeDocument/2006/relationships/hyperlink" Target="https://www.relationships.org.au/wp-content/uploads/Relationship-Indicators-Full-Report.pdf" TargetMode="External"/><Relationship Id="rId37" Type="http://schemas.openxmlformats.org/officeDocument/2006/relationships/hyperlink" Target="https://digitalinclusionindex.org.au/the-2025-findings/"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scochrane@relationships.org.au" TargetMode="External"/><Relationship Id="rId23" Type="http://schemas.openxmlformats.org/officeDocument/2006/relationships/hyperlink" Target="https://www.carersaustralia.com.au/wpcontent/uploads/2022/04/Final-Economic-impact-income-and-retirement-Evaluate-Report-March2022.pdf" TargetMode="External"/><Relationship Id="rId28" Type="http://schemas.openxmlformats.org/officeDocument/2006/relationships/hyperlink" Target="https://doi.org/10.1016/j.archger.2022.10484" TargetMode="External"/><Relationship Id="rId36" Type="http://schemas.openxmlformats.org/officeDocument/2006/relationships/hyperlink" Target="https://www.ag.gov.au/sites/default/files/2026-03/national-plan-to-end-abuse-mistreatment-of-older-people-2026-2036.PDF" TargetMode="External"/><Relationship Id="rId10" Type="http://schemas.openxmlformats.org/officeDocument/2006/relationships/footnotes" Target="footnotes.xml"/><Relationship Id="rId19" Type="http://schemas.openxmlformats.org/officeDocument/2006/relationships/hyperlink" Target="https://www.alrc.gov.au/publication/equality-capacity-and-disability-in-commonwealth-laws-alrc-report-124/" TargetMode="External"/><Relationship Id="rId31" Type="http://schemas.openxmlformats.org/officeDocument/2006/relationships/hyperlink" Target="https://aifs.gov.au/all-research/research-reports/national-elder-abuse-prevalence-study-final-repor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tebbey@relationships.org.au" TargetMode="External"/><Relationship Id="rId22" Type="http://schemas.openxmlformats.org/officeDocument/2006/relationships/hyperlink" Target="https://www.health.gov.au/resources/publications/review-of-national-aged-care-quality-regulatory-processes-report?language=en" TargetMode="External"/><Relationship Id="rId27" Type="http://schemas.openxmlformats.org/officeDocument/2006/relationships/hyperlink" Target="https://doi.org/10.1016/j.jamda.2025.105832" TargetMode="External"/><Relationship Id="rId30" Type="http://schemas.openxmlformats.org/officeDocument/2006/relationships/hyperlink" Target="https://www.publicadvocate.qld.gov.au/__data/assets/pdf_file/0003/822684/202502-restrictive-practices-discussion-paper-final.pdf" TargetMode="External"/><Relationship Id="rId35" Type="http://schemas.openxmlformats.org/officeDocument/2006/relationships/hyperlink" Target="https://disability.royalcommission.gov.au/publications/final-report"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mailto:hrc-ie-olderpersons@un.org" TargetMode="External"/><Relationship Id="rId17" Type="http://schemas.openxmlformats.org/officeDocument/2006/relationships/hyperlink" Target="https://www.abs.gov.au/statistics/people/people-and-communities/unpaid-work-and-care-census/latest-release" TargetMode="External"/><Relationship Id="rId25" Type="http://schemas.openxmlformats.org/officeDocument/2006/relationships/hyperlink" Target="https://www.ncoa.org/article/top-5-%20financial-scams-targeting-older-adults/" TargetMode="External"/><Relationship Id="rId33" Type="http://schemas.openxmlformats.org/officeDocument/2006/relationships/hyperlink" Target="https://www.relationships.org.au/wp-content/uploads/Relationship-Indicators-2024-Report-Final.pdf" TargetMode="External"/><Relationship Id="rId38" Type="http://schemas.openxmlformats.org/officeDocument/2006/relationships/hyperlink" Target="https://assets.ombudsman.vic.gov.au/assets/Reports/Parliamentary-Reports/1-PDF-Report-Files/Investigation-into-State-Trustees.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8" Type="http://schemas.openxmlformats.org/officeDocument/2006/relationships/hyperlink" Target="https://www.relationships.org.au/wp-content/uploads/Poverty-submission-030223FINAL.pdf" TargetMode="External"/><Relationship Id="rId3" Type="http://schemas.openxmlformats.org/officeDocument/2006/relationships/hyperlink" Target="https://eaaa.org.au/" TargetMode="External"/><Relationship Id="rId7" Type="http://schemas.openxmlformats.org/officeDocument/2006/relationships/hyperlink" Target="https://www.health.gov.au/resources/publications/qi-program-quick-reference-guide-medication-management-polypharmacy?language=en" TargetMode="External"/><Relationship Id="rId2" Type="http://schemas.openxmlformats.org/officeDocument/2006/relationships/hyperlink" Target="https://www.everyagecounts.org.au/" TargetMode="External"/><Relationship Id="rId1" Type="http://schemas.openxmlformats.org/officeDocument/2006/relationships/hyperlink" Target="https://www.rightsofolderpersons.org.au/" TargetMode="External"/><Relationship Id="rId6" Type="http://schemas.openxmlformats.org/officeDocument/2006/relationships/hyperlink" Target="https://www.health.gov.au/topics/aged-care/providing-aged-care-services/training-and-guidance/restrictive-practices-in-aged-care-a-last-resort?language=en" TargetMode="External"/><Relationship Id="rId5" Type="http://schemas.openxmlformats.org/officeDocument/2006/relationships/hyperlink" Target="https://www.everyagecounts.org.au/research" TargetMode="External"/><Relationship Id="rId4" Type="http://schemas.openxmlformats.org/officeDocument/2006/relationships/hyperlink" Target="https://www.relationships.org.au/re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https://relationshipsorgau.sharepoint.com/sites/Templates/Shared%20Documents/Word/RA-Normal%20Template%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FilePreview xmlns="d42e65b2-cf21-49c1-b27d-d23f90380c0e" xsi:nil="true"/>
    <Doctype xmlns="d42e65b2-cf21-49c1-b27d-d23f90380c0e">input</Doctype>
    <Contributor xmlns="d42e65b2-cf21-49c1-b27d-d23f90380c0e">Relationships Australia</Contributor>
    <Status xmlns="d42e65b2-cf21-49c1-b27d-d23f90380c0e">Ready to publish</Status>
    <AItagger xmlns="d42e65b2-cf21-49c1-b27d-d23f90380c0e">false</AItagg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u/RRbs/Ojrbj5ICqfYIUq/lCYw==">CgMxLjA4AGooChRzdWdnZXN0LmxjeTc1NmhyM2Z4ahIQUmFjaGVsIFNlYmFzdGlhbnIhMUNlaWNGMTBueHVOU28xbjlsSDlndjd3WWthb1RPaWZl</go:docsCustomData>
</go:gDocsCustomXmlDataStorage>
</file>

<file path=customXml/itemProps1.xml><?xml version="1.0" encoding="utf-8"?>
<ds:datastoreItem xmlns:ds="http://schemas.openxmlformats.org/officeDocument/2006/customXml" ds:itemID="{7DBF7F5E-FFAF-4547-A2B9-BDA8688C00FA}">
  <ds:schemaRefs>
    <ds:schemaRef ds:uri="http://schemas.microsoft.com/office/2006/metadata/properties"/>
    <ds:schemaRef ds:uri="http://schemas.microsoft.com/office/infopath/2007/PartnerControls"/>
    <ds:schemaRef ds:uri="40077b4e-18e2-4a38-b913-b9ba0dc90bdf"/>
    <ds:schemaRef ds:uri="d7f3d794-1b50-4d2c-8eea-37d347057dde"/>
  </ds:schemaRefs>
</ds:datastoreItem>
</file>

<file path=customXml/itemProps2.xml><?xml version="1.0" encoding="utf-8"?>
<ds:datastoreItem xmlns:ds="http://schemas.openxmlformats.org/officeDocument/2006/customXml" ds:itemID="{E1474596-9CC1-45B5-85D8-390958775069}">
  <ds:schemaRefs>
    <ds:schemaRef ds:uri="http://schemas.openxmlformats.org/officeDocument/2006/bibliography"/>
  </ds:schemaRefs>
</ds:datastoreItem>
</file>

<file path=customXml/itemProps3.xml><?xml version="1.0" encoding="utf-8"?>
<ds:datastoreItem xmlns:ds="http://schemas.openxmlformats.org/officeDocument/2006/customXml" ds:itemID="{21AFF2B8-DC19-484B-8A9E-2D8B62BBF0E7}">
  <ds:schemaRefs>
    <ds:schemaRef ds:uri="http://schemas.microsoft.com/sharepoint/v3/contenttype/forms"/>
  </ds:schemaRefs>
</ds:datastoreItem>
</file>

<file path=customXml/itemProps4.xml><?xml version="1.0" encoding="utf-8"?>
<ds:datastoreItem xmlns:ds="http://schemas.openxmlformats.org/officeDocument/2006/customXml" ds:itemID="{A4733450-AD71-4CFB-A123-20AA523BC6C3}"/>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RA-Normal%20Template%202025.dotx</Template>
  <TotalTime>1</TotalTime>
  <Pages>16</Pages>
  <Words>5794</Words>
  <Characters>33026</Characters>
  <Application>Microsoft Office Word</Application>
  <DocSecurity>8</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Cochrane</dc:creator>
  <cp:lastModifiedBy>Susan Cochrane</cp:lastModifiedBy>
  <cp:revision>2</cp:revision>
  <cp:lastPrinted>2026-06-15T02:55:00Z</cp:lastPrinted>
  <dcterms:created xsi:type="dcterms:W3CDTF">2026-06-17T02:09:00Z</dcterms:created>
  <dcterms:modified xsi:type="dcterms:W3CDTF">2026-06-17T02:09:00Z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