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9BBB5" w14:textId="0C1052E1" w:rsidR="003B3D7F" w:rsidRDefault="003B3D7F" w:rsidP="00D74CED">
      <w:pPr>
        <w:jc w:val="both"/>
        <w:rPr>
          <w:rFonts w:asciiTheme="majorBidi" w:hAnsiTheme="majorBidi" w:cstheme="majorBidi"/>
          <w:b/>
          <w:bCs/>
          <w:color w:val="000000"/>
          <w:sz w:val="24"/>
          <w:szCs w:val="24"/>
        </w:rPr>
      </w:pPr>
      <w:r w:rsidRPr="003B3D7F">
        <w:rPr>
          <w:rFonts w:asciiTheme="majorBidi" w:hAnsiTheme="majorBidi" w:cstheme="majorBidi"/>
          <w:b/>
          <w:bCs/>
          <w:color w:val="000000"/>
          <w:sz w:val="24"/>
          <w:szCs w:val="24"/>
        </w:rPr>
        <w:t xml:space="preserve">Estonia’s </w:t>
      </w:r>
      <w:r>
        <w:rPr>
          <w:rFonts w:asciiTheme="majorBidi" w:hAnsiTheme="majorBidi" w:cstheme="majorBidi"/>
          <w:b/>
          <w:bCs/>
          <w:color w:val="000000"/>
          <w:sz w:val="24"/>
          <w:szCs w:val="24"/>
        </w:rPr>
        <w:t>i</w:t>
      </w:r>
      <w:r w:rsidRPr="003B3D7F">
        <w:rPr>
          <w:rFonts w:asciiTheme="majorBidi" w:hAnsiTheme="majorBidi" w:cstheme="majorBidi"/>
          <w:b/>
          <w:bCs/>
          <w:color w:val="000000"/>
          <w:sz w:val="24"/>
          <w:szCs w:val="24"/>
        </w:rPr>
        <w:t xml:space="preserve">nput on the </w:t>
      </w:r>
      <w:r>
        <w:rPr>
          <w:rFonts w:asciiTheme="majorBidi" w:hAnsiTheme="majorBidi" w:cstheme="majorBidi"/>
          <w:b/>
          <w:bCs/>
          <w:color w:val="000000"/>
          <w:sz w:val="24"/>
          <w:szCs w:val="24"/>
        </w:rPr>
        <w:t>a</w:t>
      </w:r>
      <w:r w:rsidRPr="003B3D7F">
        <w:rPr>
          <w:rFonts w:asciiTheme="majorBidi" w:hAnsiTheme="majorBidi" w:cstheme="majorBidi"/>
          <w:b/>
          <w:bCs/>
          <w:color w:val="000000"/>
          <w:sz w:val="24"/>
          <w:szCs w:val="24"/>
        </w:rPr>
        <w:t xml:space="preserve">utonomy, </w:t>
      </w:r>
      <w:r>
        <w:rPr>
          <w:rFonts w:asciiTheme="majorBidi" w:hAnsiTheme="majorBidi" w:cstheme="majorBidi"/>
          <w:b/>
          <w:bCs/>
          <w:color w:val="000000"/>
          <w:sz w:val="24"/>
          <w:szCs w:val="24"/>
        </w:rPr>
        <w:t>p</w:t>
      </w:r>
      <w:r w:rsidRPr="003B3D7F">
        <w:rPr>
          <w:rFonts w:asciiTheme="majorBidi" w:hAnsiTheme="majorBidi" w:cstheme="majorBidi"/>
          <w:b/>
          <w:bCs/>
          <w:color w:val="000000"/>
          <w:sz w:val="24"/>
          <w:szCs w:val="24"/>
        </w:rPr>
        <w:t xml:space="preserve">articipation and </w:t>
      </w:r>
      <w:r>
        <w:rPr>
          <w:rFonts w:asciiTheme="majorBidi" w:hAnsiTheme="majorBidi" w:cstheme="majorBidi"/>
          <w:b/>
          <w:bCs/>
          <w:color w:val="000000"/>
          <w:sz w:val="24"/>
          <w:szCs w:val="24"/>
        </w:rPr>
        <w:t>h</w:t>
      </w:r>
      <w:r w:rsidRPr="003B3D7F">
        <w:rPr>
          <w:rFonts w:asciiTheme="majorBidi" w:hAnsiTheme="majorBidi" w:cstheme="majorBidi"/>
          <w:b/>
          <w:bCs/>
          <w:color w:val="000000"/>
          <w:sz w:val="24"/>
          <w:szCs w:val="24"/>
        </w:rPr>
        <w:t xml:space="preserve">uman </w:t>
      </w:r>
      <w:r>
        <w:rPr>
          <w:rFonts w:asciiTheme="majorBidi" w:hAnsiTheme="majorBidi" w:cstheme="majorBidi"/>
          <w:b/>
          <w:bCs/>
          <w:color w:val="000000"/>
          <w:sz w:val="24"/>
          <w:szCs w:val="24"/>
        </w:rPr>
        <w:t>d</w:t>
      </w:r>
      <w:r w:rsidRPr="003B3D7F">
        <w:rPr>
          <w:rFonts w:asciiTheme="majorBidi" w:hAnsiTheme="majorBidi" w:cstheme="majorBidi"/>
          <w:b/>
          <w:bCs/>
          <w:color w:val="000000"/>
          <w:sz w:val="24"/>
          <w:szCs w:val="24"/>
        </w:rPr>
        <w:t xml:space="preserve">ignity of </w:t>
      </w:r>
      <w:r>
        <w:rPr>
          <w:rFonts w:asciiTheme="majorBidi" w:hAnsiTheme="majorBidi" w:cstheme="majorBidi"/>
          <w:b/>
          <w:bCs/>
          <w:color w:val="000000"/>
          <w:sz w:val="24"/>
          <w:szCs w:val="24"/>
        </w:rPr>
        <w:t>o</w:t>
      </w:r>
      <w:r w:rsidRPr="003B3D7F">
        <w:rPr>
          <w:rFonts w:asciiTheme="majorBidi" w:hAnsiTheme="majorBidi" w:cstheme="majorBidi"/>
          <w:b/>
          <w:bCs/>
          <w:color w:val="000000"/>
          <w:sz w:val="24"/>
          <w:szCs w:val="24"/>
        </w:rPr>
        <w:t xml:space="preserve">lder </w:t>
      </w:r>
      <w:r>
        <w:rPr>
          <w:rFonts w:asciiTheme="majorBidi" w:hAnsiTheme="majorBidi" w:cstheme="majorBidi"/>
          <w:b/>
          <w:bCs/>
          <w:color w:val="000000"/>
          <w:sz w:val="24"/>
          <w:szCs w:val="24"/>
        </w:rPr>
        <w:t>p</w:t>
      </w:r>
      <w:r w:rsidRPr="003B3D7F">
        <w:rPr>
          <w:rFonts w:asciiTheme="majorBidi" w:hAnsiTheme="majorBidi" w:cstheme="majorBidi"/>
          <w:b/>
          <w:bCs/>
          <w:color w:val="000000"/>
          <w:sz w:val="24"/>
          <w:szCs w:val="24"/>
        </w:rPr>
        <w:t xml:space="preserve">ersons with </w:t>
      </w:r>
      <w:r>
        <w:rPr>
          <w:rFonts w:asciiTheme="majorBidi" w:hAnsiTheme="majorBidi" w:cstheme="majorBidi"/>
          <w:b/>
          <w:bCs/>
          <w:color w:val="000000"/>
          <w:sz w:val="24"/>
          <w:szCs w:val="24"/>
        </w:rPr>
        <w:t>c</w:t>
      </w:r>
      <w:r w:rsidRPr="003B3D7F">
        <w:rPr>
          <w:rFonts w:asciiTheme="majorBidi" w:hAnsiTheme="majorBidi" w:cstheme="majorBidi"/>
          <w:b/>
          <w:bCs/>
          <w:color w:val="000000"/>
          <w:sz w:val="24"/>
          <w:szCs w:val="24"/>
        </w:rPr>
        <w:t xml:space="preserve">ognitive </w:t>
      </w:r>
      <w:r>
        <w:rPr>
          <w:rFonts w:asciiTheme="majorBidi" w:hAnsiTheme="majorBidi" w:cstheme="majorBidi"/>
          <w:b/>
          <w:bCs/>
          <w:color w:val="000000"/>
          <w:sz w:val="24"/>
          <w:szCs w:val="24"/>
        </w:rPr>
        <w:t>i</w:t>
      </w:r>
      <w:r w:rsidRPr="003B3D7F">
        <w:rPr>
          <w:rFonts w:asciiTheme="majorBidi" w:hAnsiTheme="majorBidi" w:cstheme="majorBidi"/>
          <w:b/>
          <w:bCs/>
          <w:color w:val="000000"/>
          <w:sz w:val="24"/>
          <w:szCs w:val="24"/>
        </w:rPr>
        <w:t>mpairment</w:t>
      </w:r>
    </w:p>
    <w:p w14:paraId="14804358" w14:textId="41C6B48F" w:rsidR="00801FC2" w:rsidRDefault="00000000" w:rsidP="00D74CED">
      <w:pPr>
        <w:jc w:val="both"/>
      </w:pPr>
      <w:r>
        <w:t xml:space="preserve">This submission addresses the autonomy, participation and dignity of older </w:t>
      </w:r>
      <w:proofErr w:type="gramStart"/>
      <w:r>
        <w:t>persons</w:t>
      </w:r>
      <w:proofErr w:type="gramEnd"/>
      <w:r>
        <w:t xml:space="preserve"> with cognitive impairment. In Estonia, the most developed measures in this area concern support for persons living with dementia and for their family members and carers. The submission therefore draws primarily on Estonia’s experience in the field of dementia, while also highlighting principles that are relevant to older persons with milder or other forms of cognitive decline.</w:t>
      </w:r>
    </w:p>
    <w:p w14:paraId="17A43AD2" w14:textId="77777777" w:rsidR="00801FC2" w:rsidRDefault="00000000" w:rsidP="00D74CED">
      <w:pPr>
        <w:jc w:val="both"/>
      </w:pPr>
      <w:r>
        <w:t>Mild cognitive impairment and dementia syndrome are not the same. Their severity, impact on everyday life and need for support may differ considerably. However, the principles of supporting autonomy, dignity and participation are important in both cases.</w:t>
      </w:r>
    </w:p>
    <w:p w14:paraId="12715871" w14:textId="77777777" w:rsidR="00801FC2" w:rsidRDefault="00000000" w:rsidP="00D74CED">
      <w:pPr>
        <w:jc w:val="both"/>
      </w:pPr>
      <w:r>
        <w:t>In recent years, dementia and cognitive decline have received increasing attention in Estonia from the perspectives of social welfare, health care, community-based support and human rights. According to information provided by the Dementia Competence Centre, an estimated 26,000 people in Estonia live with dementia. This number is expected to exceed 66,000 by 2050. This underlines the need for accessible services, community support, professional skills and a human rights-based approach.</w:t>
      </w:r>
    </w:p>
    <w:p w14:paraId="215AABD6" w14:textId="77777777" w:rsidR="00801FC2" w:rsidRDefault="00000000" w:rsidP="00D74CED">
      <w:pPr>
        <w:pStyle w:val="Pealkiri1"/>
        <w:jc w:val="both"/>
      </w:pPr>
      <w:r>
        <w:t>1. The Dementia Competence Centre as a central source of knowledge and support</w:t>
      </w:r>
    </w:p>
    <w:p w14:paraId="2E7F00D8" w14:textId="77777777" w:rsidR="00801FC2" w:rsidRDefault="00000000" w:rsidP="00D74CED">
      <w:pPr>
        <w:jc w:val="both"/>
      </w:pPr>
      <w:r>
        <w:t>One of the most important practices in Estonia is the work of the Dementia Competence Centre. The Centre aims to improve the coping, quality of life and well-being of persons living with dementia and their family members, to raise awareness of dementia and available support, and to improve the quality and accessibility of health and social care services. The Centre is funded by the Ministry of Social Affairs.</w:t>
      </w:r>
    </w:p>
    <w:p w14:paraId="5950189D" w14:textId="117658EF" w:rsidR="00801FC2" w:rsidRDefault="00000000" w:rsidP="00D74CED">
      <w:pPr>
        <w:jc w:val="both"/>
      </w:pPr>
      <w:r>
        <w:t xml:space="preserve">The Dementia Competence Centre </w:t>
      </w:r>
      <w:r w:rsidR="003B3D7F">
        <w:rPr>
          <w:rStyle w:val="Allmrkuseviide"/>
        </w:rPr>
        <w:footnoteReference w:id="1"/>
      </w:r>
      <w:r>
        <w:t xml:space="preserve">provides counselling to </w:t>
      </w:r>
      <w:proofErr w:type="gramStart"/>
      <w:r>
        <w:t>persons</w:t>
      </w:r>
      <w:proofErr w:type="gramEnd"/>
      <w:r>
        <w:t xml:space="preserve"> living with dementia and their families, expert advice to service providers and institutions, and organises support groups, seminars and information days. The website Dementsus.ee brings together learning materials, guidance, videos and practical information for families, professionals and service providers. Free counselling is also available in Russian, and advice can be sought through the information and helpline by persons living with dementia, their relatives and service providers. Expert advice is also provided to service providers, local government officials and managers in the field, including on how to design environments and services that better respond to the needs of persons living with dementia.</w:t>
      </w:r>
    </w:p>
    <w:p w14:paraId="70CD1713" w14:textId="77777777" w:rsidR="00801FC2" w:rsidRDefault="00000000" w:rsidP="00D74CED">
      <w:pPr>
        <w:jc w:val="both"/>
      </w:pPr>
      <w:r>
        <w:t>This practice is important from the perspective of autonomy and dignity. A person with cognitive impairment does not need a purely medical response, but comprehensive support: accessible information, skilled communication, involvement of trusted persons, an enabling environment, and professionals who are able to recognise the person’s needs, wishes and preferences.</w:t>
      </w:r>
    </w:p>
    <w:p w14:paraId="6EC2D71A" w14:textId="51BC59A3" w:rsidR="00801FC2" w:rsidRDefault="003B3D7F" w:rsidP="00D74CED">
      <w:pPr>
        <w:pStyle w:val="Pealkiri1"/>
        <w:jc w:val="both"/>
      </w:pPr>
      <w:r>
        <w:t>2. Dementia-friendly society and community participation</w:t>
      </w:r>
    </w:p>
    <w:p w14:paraId="43C30106" w14:textId="77777777" w:rsidR="00801FC2" w:rsidRDefault="00000000" w:rsidP="00D74CED">
      <w:pPr>
        <w:jc w:val="both"/>
      </w:pPr>
      <w:r>
        <w:t>Estonia has been developing the concept of a dementia-friendly society. The Dementia Competence Centre describes a dementia-friendly society as one in which persons living with dementia feel valued and supported, and where attention is given to reducing stigma and exclusion. In such a society, persons living with dementia should be able to feel safe and supported in public spaces, shops, public transport, leisure activities and community life.</w:t>
      </w:r>
    </w:p>
    <w:p w14:paraId="2B0B1155" w14:textId="77777777" w:rsidR="00801FC2" w:rsidRDefault="00000000" w:rsidP="00D74CED">
      <w:pPr>
        <w:jc w:val="both"/>
      </w:pPr>
      <w:r>
        <w:t xml:space="preserve">Another relevant example is the Dementia Friends programme, which has been introduced in Estonia by the Dementia Competence Centre and is still developing. The programme is based on the </w:t>
      </w:r>
      <w:r>
        <w:lastRenderedPageBreak/>
        <w:t>international Dementia Friends movement and aims to increase awareness of dementia, reduce stigma and strengthen the ability of communities to notice and support persons living with dementia in everyday life. Its core message is that a person is much more than their dementia. Although the initiative is still at a relatively early stage in Estonia, it forms part of broader efforts to build a more dementia-friendly society.</w:t>
      </w:r>
    </w:p>
    <w:p w14:paraId="62A4AEA9" w14:textId="0ED2472D" w:rsidR="00801FC2" w:rsidRDefault="00000000" w:rsidP="00D74CED">
      <w:pPr>
        <w:jc w:val="both"/>
      </w:pPr>
      <w:r>
        <w:t xml:space="preserve">Through </w:t>
      </w:r>
      <w:hyperlink r:id="rId8" w:history="1">
        <w:r w:rsidR="00801FC2" w:rsidRPr="003B3D7F">
          <w:rPr>
            <w:rStyle w:val="Hperlink"/>
          </w:rPr>
          <w:t>Dementsus.ee</w:t>
        </w:r>
      </w:hyperlink>
      <w:r>
        <w:t>, people can also access a map of support groups, memory cafés and museums participating in the programme “Re-encounters”. Memory cafés invite people with memory difficulties and their families to take part in joint activities, socialise and spend time together. The “Re-encounters” programme offers creative and supportive activities for persons with dementia syndrome and their families in an art museum environment.</w:t>
      </w:r>
    </w:p>
    <w:p w14:paraId="62CD7FDB" w14:textId="77777777" w:rsidR="00801FC2" w:rsidRDefault="00000000" w:rsidP="00D74CED">
      <w:pPr>
        <w:jc w:val="both"/>
      </w:pPr>
      <w:r>
        <w:t>These practices are important because they help preserve social visibility, a sense of belonging and participation in ordinary everyday life. They do not approach the person only as someone in need of care, but as a member of the community who continues to have the right to relationships, activities, culture and meaningful experiences.</w:t>
      </w:r>
    </w:p>
    <w:p w14:paraId="00AED512" w14:textId="2D39CB54" w:rsidR="00801FC2" w:rsidRDefault="003B3D7F" w:rsidP="00D74CED">
      <w:pPr>
        <w:pStyle w:val="Pealkiri1"/>
        <w:jc w:val="both"/>
      </w:pPr>
      <w:r>
        <w:t>3. Support for family members and informal carers</w:t>
      </w:r>
    </w:p>
    <w:p w14:paraId="4E30C537" w14:textId="77777777" w:rsidR="00801FC2" w:rsidRDefault="00000000" w:rsidP="00D74CED">
      <w:pPr>
        <w:jc w:val="both"/>
      </w:pPr>
      <w:r>
        <w:t>The autonomy and dignity of a person with cognitive impairment often depend on how well their family members and carers are supported. The Dementia Competence Centre organises support groups for family members of persons living with dementia across Estonia, including online. These groups provide opportunities to share experiences, receive emotional support and obtain practical advice.</w:t>
      </w:r>
    </w:p>
    <w:p w14:paraId="400AB93B" w14:textId="77777777" w:rsidR="00801FC2" w:rsidRDefault="00000000" w:rsidP="00D74CED">
      <w:pPr>
        <w:jc w:val="both"/>
      </w:pPr>
      <w:r>
        <w:t>The non-governmental organisation Elu Dementsusega complements this work through advocacy and peer support. Its main role is to protect and support the interests of persons living with dementia and their families, so that no one is left alone with their concerns. The organisation runs experience cafés, shares personal stories and contributes to greater visibility and understanding in society.</w:t>
      </w:r>
    </w:p>
    <w:p w14:paraId="7670E119" w14:textId="77777777" w:rsidR="00801FC2" w:rsidRDefault="00000000" w:rsidP="00D74CED">
      <w:pPr>
        <w:jc w:val="both"/>
      </w:pPr>
      <w:r>
        <w:t>Support for family members is directly linked to the rights of the person with cognitive impairment. When relatives receive knowledge, guidance and emotional support, they are more likely to understand changes in behaviour as expressions of needs, fears, habits or preferences, rather than as intentional difficult behaviour.</w:t>
      </w:r>
    </w:p>
    <w:p w14:paraId="63788606" w14:textId="671923D6" w:rsidR="00801FC2" w:rsidRDefault="00B456C9" w:rsidP="00D74CED">
      <w:pPr>
        <w:pStyle w:val="Pealkiri1"/>
        <w:jc w:val="both"/>
      </w:pPr>
      <w:r>
        <w:t>4. Dementia-friendly services and institutions</w:t>
      </w:r>
    </w:p>
    <w:p w14:paraId="21BA7D75" w14:textId="77777777" w:rsidR="00801FC2" w:rsidRDefault="00000000" w:rsidP="00D74CED">
      <w:pPr>
        <w:jc w:val="both"/>
      </w:pPr>
      <w:r>
        <w:t>Estonia has developed principles for dementia-friendly institutions. These principles emphasise that services and environments should be adapted to the needs of persons living with dementia, that feedback should be sought from clients and their family members, and that staff should get to know the person’s background, habits and needs. It is also important that family members are involved in discussions about care plans and in everyday activities.</w:t>
      </w:r>
    </w:p>
    <w:p w14:paraId="0A6BACDA" w14:textId="77777777" w:rsidR="00801FC2" w:rsidRDefault="00000000" w:rsidP="00D74CED">
      <w:pPr>
        <w:jc w:val="both"/>
      </w:pPr>
      <w:r>
        <w:t>The principles of dementia-friendly institutions also underline the importance of the physical environment and meaningful activity. The person should be able to move freely in a safe environment, participate in shared activities and continue meaningful activities in line with their abilities. The principles also stress that clients should be consciously supported to do what they are still able to do, in order to preserve their functional capacity.</w:t>
      </w:r>
    </w:p>
    <w:p w14:paraId="5FD2D546" w14:textId="77777777" w:rsidR="00801FC2" w:rsidRDefault="00000000" w:rsidP="00D74CED">
      <w:pPr>
        <w:jc w:val="both"/>
      </w:pPr>
      <w:r>
        <w:t xml:space="preserve">From a human rights perspective, it is particularly important that the guidance identifies dementia-unfriendly practices, such as locking a client alone in a room, tying a person down, inappropriate use of sedative medication, failure to take the client’s habits into account, and failure to consult family </w:t>
      </w:r>
      <w:r>
        <w:lastRenderedPageBreak/>
        <w:t>members. These principles directly support dignity, bodily integrity, participation and care that is based on the person’s background and individual needs.</w:t>
      </w:r>
    </w:p>
    <w:p w14:paraId="364CD378" w14:textId="4493982C" w:rsidR="00801FC2" w:rsidRDefault="00B456C9" w:rsidP="00D74CED">
      <w:pPr>
        <w:pStyle w:val="Pealkiri1"/>
        <w:jc w:val="both"/>
      </w:pPr>
      <w:r>
        <w:t>5. Reducing restrictive interventions and supporting dignified care</w:t>
      </w:r>
    </w:p>
    <w:p w14:paraId="3C5971CB" w14:textId="77777777" w:rsidR="00801FC2" w:rsidRDefault="00000000" w:rsidP="00D74CED">
      <w:pPr>
        <w:jc w:val="both"/>
      </w:pPr>
      <w:r>
        <w:t>In 2025, the Dementia Competence Centre, in cooperation with occupational therapists, published the practical guidance material “Freely and with Dignity”, a handbook aimed at avoiding physical and medication-based interventions. The handbook is intended for informal carers, care workers and other professionals who are involved in the everyday support and care of persons living with dementia.</w:t>
      </w:r>
    </w:p>
    <w:p w14:paraId="4E6F525C" w14:textId="77777777" w:rsidR="00801FC2" w:rsidRDefault="00000000" w:rsidP="00D74CED">
      <w:pPr>
        <w:jc w:val="both"/>
      </w:pPr>
      <w:r>
        <w:t>The guidance provides practical advice and ideas on how to create a dementia-friendly environment, understand different aspects of dementia, and avoid care practices that may undermine human dignity, including physical restraint. It covers, among other topics, mild cognitive impairment, dementia, types of dementia, human rights and ethics, behaviour that may be difficult to understand, restraint, learning about the client’s background, intimacy and sexuality, activity, routine, communication principles, work culture, work organisation, assistive devices and environmental adaptation.</w:t>
      </w:r>
    </w:p>
    <w:p w14:paraId="1FB7768E" w14:textId="50F4A030" w:rsidR="00801FC2" w:rsidRDefault="00000000" w:rsidP="00D74CED">
      <w:pPr>
        <w:jc w:val="both"/>
      </w:pPr>
      <w:r>
        <w:t>Materials</w:t>
      </w:r>
      <w:r w:rsidR="00B456C9">
        <w:rPr>
          <w:rStyle w:val="Allmrkuseviide"/>
        </w:rPr>
        <w:footnoteReference w:id="2"/>
      </w:r>
      <w:r>
        <w:t xml:space="preserve"> of this kind help translate human rights principles into everyday care practice, where autonomy and dignity are often affected by small, repeated and practical decisions.</w:t>
      </w:r>
    </w:p>
    <w:p w14:paraId="5C4BE4F9" w14:textId="091A4C7A" w:rsidR="00801FC2" w:rsidRDefault="00B456C9" w:rsidP="00D74CED">
      <w:pPr>
        <w:pStyle w:val="Pealkiri1"/>
        <w:jc w:val="both"/>
      </w:pPr>
      <w:r>
        <w:t>6. National policy framework and development of long-term care</w:t>
      </w:r>
    </w:p>
    <w:p w14:paraId="669C17EB" w14:textId="77777777" w:rsidR="00801FC2" w:rsidRDefault="00000000" w:rsidP="00D74CED">
      <w:pPr>
        <w:jc w:val="both"/>
      </w:pPr>
      <w:r>
        <w:t>In the broader policy framework, the well-being of older persons is supported by the Welfare Development Plan 2023–2030, approved by the Government of the Republic on 23 February 2023. The Development Plan sets the strategic objectives for family, social and labour policy, and older persons are addressed as a specific target group in the current plan.</w:t>
      </w:r>
    </w:p>
    <w:p w14:paraId="0D4E8F0E" w14:textId="77777777" w:rsidR="00801FC2" w:rsidRDefault="00000000" w:rsidP="00D74CED">
      <w:pPr>
        <w:jc w:val="both"/>
      </w:pPr>
      <w:r>
        <w:t>In the field of long-term care, the care reform is important. Its purpose is not limited to changing the financing of general care services, but also includes improving the availability of services that support people to live at home. Under the principles of social welfare, priority should be given to assistance that supports a person’s ability to cope in their own home. Institutional care should be needed only when living at home with support is no longer possible.</w:t>
      </w:r>
    </w:p>
    <w:p w14:paraId="19D2C928" w14:textId="77777777" w:rsidR="00801FC2" w:rsidRDefault="00000000" w:rsidP="00D74CED">
      <w:pPr>
        <w:jc w:val="both"/>
      </w:pPr>
      <w:r>
        <w:t>This principle is important for the autonomy of persons with cognitive impairment. Remaining in a familiar environment for as long as possible, with appropriate services and support from relatives, can help preserve identity, habits, relationships and continuity in everyday life.</w:t>
      </w:r>
    </w:p>
    <w:p w14:paraId="467BB86E" w14:textId="0C22C559" w:rsidR="00801FC2" w:rsidRDefault="00B456C9" w:rsidP="00D74CED">
      <w:pPr>
        <w:pStyle w:val="Pealkiri1"/>
        <w:jc w:val="both"/>
      </w:pPr>
      <w:r>
        <w:t>7. Further development of guardianship and supported decision-making</w:t>
      </w:r>
    </w:p>
    <w:p w14:paraId="135F36F2" w14:textId="2CF99EC8" w:rsidR="00801FC2" w:rsidRDefault="00000000" w:rsidP="00D74CED">
      <w:pPr>
        <w:jc w:val="both"/>
      </w:pPr>
      <w:r>
        <w:t xml:space="preserve">Estonia recognises the challenges related to guardianship arrangements for adults and is working to analyse them and identify possible solutions. The 2023 study </w:t>
      </w:r>
      <w:r w:rsidR="00B456C9">
        <w:rPr>
          <w:rStyle w:val="Allmrkuseviide"/>
        </w:rPr>
        <w:footnoteReference w:id="3"/>
      </w:r>
      <w:r>
        <w:t>on guardianship arrangements for adults found that the number of persons under guardianship in Estonia has increased over ten years: from 2,958 in 2013 to 6,036 in 2023. According to the study, substituted decision-making remains predominant in practice, and partial guardianship is used relatively rarely, even though a person may retain decision-making capacity in some areas of life.</w:t>
      </w:r>
    </w:p>
    <w:p w14:paraId="46CB935E" w14:textId="77777777" w:rsidR="00801FC2" w:rsidRDefault="00000000" w:rsidP="00D74CED">
      <w:pPr>
        <w:jc w:val="both"/>
      </w:pPr>
      <w:r>
        <w:t xml:space="preserve">The study and subsequent discussions have highlighted the need to move towards an approach in which the protection of a person’s rights focuses less on restricting rights and more on providing support that enables the person to make decisions as independently as possible. The Ministry of </w:t>
      </w:r>
      <w:r>
        <w:lastRenderedPageBreak/>
        <w:t>Social Affairs and the Ministry of Justice are planning further steps on the basis of the study’s findings and recommendations, with a view to developing an environment that is more supportive of assisted and supported decision-making.</w:t>
      </w:r>
    </w:p>
    <w:p w14:paraId="0AE1527F" w14:textId="77777777" w:rsidR="00801FC2" w:rsidRDefault="00000000" w:rsidP="00D74CED">
      <w:pPr>
        <w:jc w:val="both"/>
      </w:pPr>
      <w:r>
        <w:t>Guardianship or another representative measure should not automatically mean that the person’s voice disappears. Even where a person needs support in decision-making, their will, preferences, life story, relationships and everyday choices should be taken into account as far as possible.</w:t>
      </w:r>
    </w:p>
    <w:p w14:paraId="01268159" w14:textId="29E1E1AF" w:rsidR="00801FC2" w:rsidRDefault="00B456C9" w:rsidP="00D74CED">
      <w:pPr>
        <w:pStyle w:val="Pealkiri1"/>
        <w:jc w:val="both"/>
      </w:pPr>
      <w:r>
        <w:t>8. Further needs and recommendations</w:t>
      </w:r>
    </w:p>
    <w:p w14:paraId="55F68CC8" w14:textId="77777777" w:rsidR="00DC28AE" w:rsidRDefault="00DC28AE" w:rsidP="00D74CED">
      <w:pPr>
        <w:jc w:val="both"/>
      </w:pPr>
      <w:r>
        <w:t xml:space="preserve">The Estonian experience suggests that, </w:t>
      </w:r>
      <w:proofErr w:type="gramStart"/>
      <w:r>
        <w:t>in order to</w:t>
      </w:r>
      <w:proofErr w:type="gramEnd"/>
      <w:r>
        <w:t xml:space="preserve"> protect the autonomy, participation and dignity of older persons with cognitive impairment, cognitive impairment should not be approached solely as a matter of health care or care needs. It should also be understood as a human rights issue involving communication, belonging, recognition and participation.</w:t>
      </w:r>
    </w:p>
    <w:p w14:paraId="6E83C652" w14:textId="77777777" w:rsidR="00DC28AE" w:rsidRDefault="00DC28AE" w:rsidP="00D74CED">
      <w:pPr>
        <w:jc w:val="both"/>
      </w:pPr>
      <w:r>
        <w:t xml:space="preserve">First, it is important to develop or strengthen national or cross-sectoral knowledge </w:t>
      </w:r>
      <w:proofErr w:type="spellStart"/>
      <w:r>
        <w:t>centres</w:t>
      </w:r>
      <w:proofErr w:type="spellEnd"/>
      <w:r>
        <w:t xml:space="preserve"> that bring together information, counselling, guidance materials and training on dementia and cognitive impairment. Such </w:t>
      </w:r>
      <w:proofErr w:type="spellStart"/>
      <w:r>
        <w:t>centres</w:t>
      </w:r>
      <w:proofErr w:type="spellEnd"/>
      <w:r>
        <w:t xml:space="preserve"> can support </w:t>
      </w:r>
      <w:proofErr w:type="gramStart"/>
      <w:r>
        <w:t>persons</w:t>
      </w:r>
      <w:proofErr w:type="gramEnd"/>
      <w:r>
        <w:t xml:space="preserve"> living with cognitive impairment and their families, as well as care institutions, health care professionals, local authorities and communities.</w:t>
      </w:r>
    </w:p>
    <w:p w14:paraId="505C26AF" w14:textId="77777777" w:rsidR="00DC28AE" w:rsidRDefault="00DC28AE" w:rsidP="00D74CED">
      <w:pPr>
        <w:jc w:val="both"/>
      </w:pPr>
      <w:r>
        <w:t>Second, it is important to strengthen the skills of professionals and family members in communicating with people whose memory, language, orientation or decision-making capacity has changed. Supporting autonomy does not always require formal decision-making capacity. It also requires the ability to notice a person’s emotions, preferences, habits, body language and non-verbal expression. Greater attention should therefore be given to supported communication, knowledge of the person’s life story and the interpretation of the person’s will in ways that do not prematurely replace the person’s own voice with decisions made by others.</w:t>
      </w:r>
    </w:p>
    <w:p w14:paraId="7A44DAD1" w14:textId="77777777" w:rsidR="00DC28AE" w:rsidRDefault="00DC28AE" w:rsidP="00D74CED">
      <w:pPr>
        <w:jc w:val="both"/>
      </w:pPr>
      <w:r>
        <w:t>Third, dementia-friendly communities, services and public environments should be further developed. The participation of a person with cognitive impairment does not depend only on formal services, but also on whether the community, cultural institutions, public space, transport, shops and everyday services are sufficiently understanding, accessible and supportive. A dementia-friendly approach helps reduce stigma, fear and social avoidance, and supports the person’s right to remain visible as a member of the community.</w:t>
      </w:r>
    </w:p>
    <w:p w14:paraId="3E8B7C90" w14:textId="77777777" w:rsidR="00DC28AE" w:rsidRDefault="00DC28AE" w:rsidP="00D74CED">
      <w:pPr>
        <w:jc w:val="both"/>
      </w:pPr>
      <w:r>
        <w:t>Fourth, greater attention should be paid to preventing restrictive practices and practices that undermine dignity in care settings. Physical restraint, locking a person alone in a room, inappropriate use of sedative medication, speaking on behalf of the person, or failure to take the person’s habits into account may seriously affect autonomy and dignity. Preventing such practices requires practical guidance, training, changes in institutional culture and supervision that supports person-</w:t>
      </w:r>
      <w:proofErr w:type="spellStart"/>
      <w:r>
        <w:t>centred</w:t>
      </w:r>
      <w:proofErr w:type="spellEnd"/>
      <w:r>
        <w:t xml:space="preserve"> and rights-based care.</w:t>
      </w:r>
    </w:p>
    <w:p w14:paraId="083664E0" w14:textId="77777777" w:rsidR="00DC28AE" w:rsidRDefault="00DC28AE" w:rsidP="00D74CED">
      <w:pPr>
        <w:jc w:val="both"/>
      </w:pPr>
      <w:r>
        <w:t xml:space="preserve">Fifth, it is important to move from substituted decision-making towards supported decision-making. Even where a person needs support, guardianship or another representative measure, this should not mean that the person’s voice is lost in decisions affecting their life. Legal and practical safeguards should be strengthened to ensure that the person’s will, preferences, relationships, life story and everyday choices are </w:t>
      </w:r>
      <w:proofErr w:type="gramStart"/>
      <w:r>
        <w:t>taken into account</w:t>
      </w:r>
      <w:proofErr w:type="gramEnd"/>
      <w:r>
        <w:t xml:space="preserve"> as far as possible, including where cognitive capacity is partial, fluctuating or changes over time.</w:t>
      </w:r>
    </w:p>
    <w:p w14:paraId="20C6407C" w14:textId="33E5E95D" w:rsidR="00801FC2" w:rsidRDefault="00DC28AE" w:rsidP="00D74CED">
      <w:pPr>
        <w:jc w:val="both"/>
      </w:pPr>
      <w:r>
        <w:t xml:space="preserve">In conclusion, Estonia’s experience shows that protecting the rights of older persons with cognitive impairment requires the combination of knowledge-building, counselling, community support, dementia-friendly services, supported communication, the reduction of restrictive practices and the principles of supported decision-making. These directions may also be relevant more broadly in </w:t>
      </w:r>
      <w:r>
        <w:lastRenderedPageBreak/>
        <w:t xml:space="preserve">efforts to strengthen the autonomy, participation and dignity of older </w:t>
      </w:r>
      <w:proofErr w:type="gramStart"/>
      <w:r>
        <w:t>persons</w:t>
      </w:r>
      <w:proofErr w:type="gramEnd"/>
      <w:r>
        <w:t xml:space="preserve"> whose cognitive capacity is changing.</w:t>
      </w:r>
    </w:p>
    <w:sectPr w:rsidR="00801FC2">
      <w:footerReference w:type="default" r:id="rId9"/>
      <w:pgSz w:w="11906" w:h="16838"/>
      <w:pgMar w:top="1361"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08C43" w14:textId="77777777" w:rsidR="00E61B1B" w:rsidRDefault="00E61B1B">
      <w:pPr>
        <w:spacing w:after="0" w:line="240" w:lineRule="auto"/>
      </w:pPr>
      <w:r>
        <w:separator/>
      </w:r>
    </w:p>
  </w:endnote>
  <w:endnote w:type="continuationSeparator" w:id="0">
    <w:p w14:paraId="65028F19" w14:textId="77777777" w:rsidR="00E61B1B" w:rsidRDefault="00E61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F1E6" w14:textId="77777777" w:rsidR="00801FC2" w:rsidRDefault="00000000">
    <w:pPr>
      <w:pStyle w:val="Jalus"/>
      <w:jc w:val="center"/>
    </w:pPr>
    <w:r>
      <w:rPr>
        <w:color w:val="5A5A5A"/>
        <w:sz w:val="18"/>
      </w:rPr>
      <w:t>Estonian input – older persons with cognitive impairment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999E" w14:textId="77777777" w:rsidR="00E61B1B" w:rsidRDefault="00E61B1B">
      <w:pPr>
        <w:spacing w:after="0" w:line="240" w:lineRule="auto"/>
      </w:pPr>
      <w:r>
        <w:separator/>
      </w:r>
    </w:p>
  </w:footnote>
  <w:footnote w:type="continuationSeparator" w:id="0">
    <w:p w14:paraId="567A8D8B" w14:textId="77777777" w:rsidR="00E61B1B" w:rsidRDefault="00E61B1B">
      <w:pPr>
        <w:spacing w:after="0" w:line="240" w:lineRule="auto"/>
      </w:pPr>
      <w:r>
        <w:continuationSeparator/>
      </w:r>
    </w:p>
  </w:footnote>
  <w:footnote w:id="1">
    <w:p w14:paraId="043E770F" w14:textId="400710E9" w:rsidR="003B3D7F" w:rsidRPr="003B3D7F" w:rsidRDefault="003B3D7F">
      <w:pPr>
        <w:pStyle w:val="Allmrkusetekst"/>
        <w:rPr>
          <w:lang w:val="et-EE"/>
        </w:rPr>
      </w:pPr>
      <w:r>
        <w:rPr>
          <w:rStyle w:val="Allmrkuseviide"/>
        </w:rPr>
        <w:footnoteRef/>
      </w:r>
      <w:r>
        <w:t xml:space="preserve"> </w:t>
      </w:r>
      <w:hyperlink r:id="rId1" w:history="1">
        <w:proofErr w:type="spellStart"/>
        <w:r w:rsidRPr="003B3D7F">
          <w:rPr>
            <w:rStyle w:val="Hperlink"/>
          </w:rPr>
          <w:t>Dementsuse</w:t>
        </w:r>
        <w:proofErr w:type="spellEnd"/>
        <w:r w:rsidRPr="003B3D7F">
          <w:rPr>
            <w:rStyle w:val="Hperlink"/>
          </w:rPr>
          <w:t xml:space="preserve"> </w:t>
        </w:r>
        <w:proofErr w:type="spellStart"/>
        <w:r w:rsidRPr="003B3D7F">
          <w:rPr>
            <w:rStyle w:val="Hperlink"/>
          </w:rPr>
          <w:t>Kompetentsikeskus</w:t>
        </w:r>
        <w:proofErr w:type="spellEnd"/>
        <w:r w:rsidRPr="003B3D7F">
          <w:rPr>
            <w:rStyle w:val="Hperlink"/>
          </w:rPr>
          <w:t xml:space="preserve"> </w:t>
        </w:r>
        <w:proofErr w:type="spellStart"/>
        <w:r w:rsidRPr="003B3D7F">
          <w:rPr>
            <w:rStyle w:val="Hperlink"/>
          </w:rPr>
          <w:t>pakub</w:t>
        </w:r>
        <w:proofErr w:type="spellEnd"/>
        <w:r w:rsidRPr="003B3D7F">
          <w:rPr>
            <w:rStyle w:val="Hperlink"/>
          </w:rPr>
          <w:t xml:space="preserve"> </w:t>
        </w:r>
        <w:proofErr w:type="spellStart"/>
        <w:r w:rsidRPr="003B3D7F">
          <w:rPr>
            <w:rStyle w:val="Hperlink"/>
          </w:rPr>
          <w:t>personaalset</w:t>
        </w:r>
        <w:proofErr w:type="spellEnd"/>
        <w:r w:rsidRPr="003B3D7F">
          <w:rPr>
            <w:rStyle w:val="Hperlink"/>
          </w:rPr>
          <w:t xml:space="preserve"> </w:t>
        </w:r>
        <w:proofErr w:type="spellStart"/>
        <w:r w:rsidRPr="003B3D7F">
          <w:rPr>
            <w:rStyle w:val="Hperlink"/>
          </w:rPr>
          <w:t>nõustamist</w:t>
        </w:r>
        <w:proofErr w:type="spellEnd"/>
      </w:hyperlink>
    </w:p>
  </w:footnote>
  <w:footnote w:id="2">
    <w:p w14:paraId="53B2304C" w14:textId="6D9C3F85" w:rsidR="00B456C9" w:rsidRPr="00B456C9" w:rsidRDefault="00B456C9">
      <w:pPr>
        <w:pStyle w:val="Allmrkusetekst"/>
        <w:rPr>
          <w:lang w:val="et-EE"/>
        </w:rPr>
      </w:pPr>
      <w:r>
        <w:rPr>
          <w:rStyle w:val="Allmrkuseviide"/>
        </w:rPr>
        <w:footnoteRef/>
      </w:r>
      <w:r>
        <w:t xml:space="preserve"> </w:t>
      </w:r>
      <w:hyperlink r:id="rId2" w:history="1">
        <w:proofErr w:type="spellStart"/>
        <w:r w:rsidRPr="00B456C9">
          <w:rPr>
            <w:rStyle w:val="Hperlink"/>
          </w:rPr>
          <w:t>Lugemissoovitused</w:t>
        </w:r>
        <w:proofErr w:type="spellEnd"/>
        <w:r w:rsidRPr="00B456C9">
          <w:rPr>
            <w:rStyle w:val="Hperlink"/>
          </w:rPr>
          <w:t xml:space="preserve"> - </w:t>
        </w:r>
        <w:proofErr w:type="spellStart"/>
        <w:r w:rsidRPr="00B456C9">
          <w:rPr>
            <w:rStyle w:val="Hperlink"/>
          </w:rPr>
          <w:t>Dementsuse</w:t>
        </w:r>
        <w:proofErr w:type="spellEnd"/>
        <w:r w:rsidRPr="00B456C9">
          <w:rPr>
            <w:rStyle w:val="Hperlink"/>
          </w:rPr>
          <w:t xml:space="preserve"> </w:t>
        </w:r>
        <w:proofErr w:type="spellStart"/>
        <w:r w:rsidRPr="00B456C9">
          <w:rPr>
            <w:rStyle w:val="Hperlink"/>
          </w:rPr>
          <w:t>Kompetentsikeskus</w:t>
        </w:r>
        <w:proofErr w:type="spellEnd"/>
      </w:hyperlink>
    </w:p>
  </w:footnote>
  <w:footnote w:id="3">
    <w:p w14:paraId="7F4D2203" w14:textId="2DA884A4" w:rsidR="00B456C9" w:rsidRPr="00B456C9" w:rsidRDefault="00B456C9">
      <w:pPr>
        <w:pStyle w:val="Allmrkusetekst"/>
        <w:rPr>
          <w:lang w:val="et-EE"/>
        </w:rPr>
      </w:pPr>
      <w:r>
        <w:rPr>
          <w:rStyle w:val="Allmrkuseviide"/>
        </w:rPr>
        <w:footnoteRef/>
      </w:r>
      <w:r>
        <w:t xml:space="preserve"> </w:t>
      </w:r>
      <w:hyperlink r:id="rId3" w:history="1">
        <w:proofErr w:type="spellStart"/>
        <w:r w:rsidRPr="00B456C9">
          <w:rPr>
            <w:rStyle w:val="Hperlink"/>
          </w:rPr>
          <w:t>Täisealiste</w:t>
        </w:r>
        <w:proofErr w:type="spellEnd"/>
        <w:r w:rsidRPr="00B456C9">
          <w:rPr>
            <w:rStyle w:val="Hperlink"/>
          </w:rPr>
          <w:t xml:space="preserve"> </w:t>
        </w:r>
        <w:proofErr w:type="spellStart"/>
        <w:r w:rsidRPr="00B456C9">
          <w:rPr>
            <w:rStyle w:val="Hperlink"/>
          </w:rPr>
          <w:t>eestkoste</w:t>
        </w:r>
        <w:proofErr w:type="spellEnd"/>
        <w:r w:rsidRPr="00B456C9">
          <w:rPr>
            <w:rStyle w:val="Hperlink"/>
          </w:rPr>
          <w:t xml:space="preserve"> </w:t>
        </w:r>
        <w:proofErr w:type="spellStart"/>
        <w:r w:rsidRPr="00B456C9">
          <w:rPr>
            <w:rStyle w:val="Hperlink"/>
          </w:rPr>
          <w:t>uuring</w:t>
        </w:r>
        <w:proofErr w:type="spellEnd"/>
        <w:r w:rsidRPr="00B456C9">
          <w:rPr>
            <w:rStyle w:val="Hperlink"/>
          </w:rPr>
          <w:t xml:space="preserve"> </w:t>
        </w:r>
        <w:proofErr w:type="spellStart"/>
        <w:r w:rsidRPr="00B456C9">
          <w:rPr>
            <w:rStyle w:val="Hperlink"/>
          </w:rPr>
          <w:t>lõpparuanne</w:t>
        </w:r>
        <w:proofErr w:type="spellEnd"/>
        <w:r w:rsidRPr="00B456C9">
          <w:rPr>
            <w:rStyle w:val="Hperlink"/>
          </w:rPr>
          <w:t xml:space="preserve"> 2023 .pdf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1033843195">
    <w:abstractNumId w:val="8"/>
  </w:num>
  <w:num w:numId="2" w16cid:durableId="1498156723">
    <w:abstractNumId w:val="6"/>
  </w:num>
  <w:num w:numId="3" w16cid:durableId="1762798876">
    <w:abstractNumId w:val="5"/>
  </w:num>
  <w:num w:numId="4" w16cid:durableId="1810515863">
    <w:abstractNumId w:val="4"/>
  </w:num>
  <w:num w:numId="5" w16cid:durableId="148445143">
    <w:abstractNumId w:val="7"/>
  </w:num>
  <w:num w:numId="6" w16cid:durableId="330956839">
    <w:abstractNumId w:val="3"/>
  </w:num>
  <w:num w:numId="7" w16cid:durableId="1613169844">
    <w:abstractNumId w:val="2"/>
  </w:num>
  <w:num w:numId="8" w16cid:durableId="630553572">
    <w:abstractNumId w:val="1"/>
  </w:num>
  <w:num w:numId="9" w16cid:durableId="98423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3D7F"/>
    <w:rsid w:val="00801FC2"/>
    <w:rsid w:val="00AA1D8D"/>
    <w:rsid w:val="00B456C9"/>
    <w:rsid w:val="00B47730"/>
    <w:rsid w:val="00BE01C4"/>
    <w:rsid w:val="00CB0664"/>
    <w:rsid w:val="00D60282"/>
    <w:rsid w:val="00D74CED"/>
    <w:rsid w:val="00DC28AE"/>
    <w:rsid w:val="00E61B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B5310"/>
  <w14:defaultImageDpi w14:val="300"/>
  <w15:docId w15:val="{8D072F43-DB1A-4608-8DF4-A84B2A536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120" w:line="259" w:lineRule="auto"/>
    </w:pPr>
    <w:rPr>
      <w:rFonts w:ascii="Calibri" w:eastAsia="Calibri" w:hAnsi="Calibri"/>
    </w:rPr>
  </w:style>
  <w:style w:type="paragraph" w:styleId="Pealkiri1">
    <w:name w:val="heading 1"/>
    <w:basedOn w:val="Normaallaad"/>
    <w:next w:val="Normaallaad"/>
    <w:link w:val="Pealkiri1Mrk"/>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6"/>
      <w:szCs w:val="28"/>
    </w:rPr>
  </w:style>
  <w:style w:type="paragraph" w:styleId="Pealkiri2">
    <w:name w:val="heading 2"/>
    <w:basedOn w:val="Normaallaad"/>
    <w:next w:val="Normaallaad"/>
    <w:link w:val="Pealkiri2Mrk"/>
    <w:uiPriority w:val="9"/>
    <w:unhideWhenUsed/>
    <w:qFormat/>
    <w:rsid w:val="00FC693F"/>
    <w:pPr>
      <w:keepNext/>
      <w:keepLines/>
      <w:spacing w:before="240"/>
      <w:outlineLvl w:val="1"/>
    </w:pPr>
    <w:rPr>
      <w:rFonts w:asciiTheme="majorHAnsi" w:eastAsiaTheme="majorEastAsia" w:hAnsiTheme="majorHAnsi" w:cstheme="majorBidi"/>
      <w:b/>
      <w:bCs/>
      <w:color w:val="4F81BD" w:themeColor="accent1"/>
      <w:sz w:val="24"/>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ind w:left="360"/>
      <w:contextualSpacing/>
    </w:pPr>
  </w:style>
  <w:style w:type="paragraph" w:styleId="Loendijtk2">
    <w:name w:val="List Continue 2"/>
    <w:basedOn w:val="Normaallaad"/>
    <w:uiPriority w:val="99"/>
    <w:unhideWhenUsed/>
    <w:rsid w:val="0029639D"/>
    <w:pPr>
      <w:ind w:left="720"/>
      <w:contextualSpacing/>
    </w:pPr>
  </w:style>
  <w:style w:type="paragraph" w:styleId="Loendijtk3">
    <w:name w:val="List Continue 3"/>
    <w:basedOn w:val="Normaallaad"/>
    <w:uiPriority w:val="99"/>
    <w:unhideWhenUsed/>
    <w:rsid w:val="0029639D"/>
    <w:pPr>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llmrkusetekst">
    <w:name w:val="footnote text"/>
    <w:basedOn w:val="Normaallaad"/>
    <w:link w:val="AllmrkusetekstMrk"/>
    <w:uiPriority w:val="99"/>
    <w:semiHidden/>
    <w:unhideWhenUsed/>
    <w:rsid w:val="003B3D7F"/>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3B3D7F"/>
    <w:rPr>
      <w:rFonts w:ascii="Calibri" w:eastAsia="Calibri" w:hAnsi="Calibri"/>
      <w:sz w:val="20"/>
      <w:szCs w:val="20"/>
    </w:rPr>
  </w:style>
  <w:style w:type="character" w:styleId="Allmrkuseviide">
    <w:name w:val="footnote reference"/>
    <w:basedOn w:val="Liguvaikefont"/>
    <w:uiPriority w:val="99"/>
    <w:semiHidden/>
    <w:unhideWhenUsed/>
    <w:rsid w:val="003B3D7F"/>
    <w:rPr>
      <w:vertAlign w:val="superscript"/>
    </w:rPr>
  </w:style>
  <w:style w:type="character" w:styleId="Hperlink">
    <w:name w:val="Hyperlink"/>
    <w:basedOn w:val="Liguvaikefont"/>
    <w:uiPriority w:val="99"/>
    <w:unhideWhenUsed/>
    <w:rsid w:val="003B3D7F"/>
    <w:rPr>
      <w:color w:val="0000FF" w:themeColor="hyperlink"/>
      <w:u w:val="single"/>
    </w:rPr>
  </w:style>
  <w:style w:type="character" w:styleId="Lahendamatamainimine">
    <w:name w:val="Unresolved Mention"/>
    <w:basedOn w:val="Liguvaikefont"/>
    <w:uiPriority w:val="99"/>
    <w:semiHidden/>
    <w:unhideWhenUsed/>
    <w:rsid w:val="003B3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entsus.ee/"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sm.ee/sites/default/files/documents/2024-02/T%C3%A4isealiste%20eestkoste%20uuring%20l%C3%B5pparuanne%202023%20.pdf" TargetMode="External"/><Relationship Id="rId2" Type="http://schemas.openxmlformats.org/officeDocument/2006/relationships/hyperlink" Target="https://dementsus.ee/lugemissoovitused/" TargetMode="External"/><Relationship Id="rId1" Type="http://schemas.openxmlformats.org/officeDocument/2006/relationships/hyperlink" Target="https://dementsus.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Estonia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A89B43A-B164-40EA-A67A-7D3648BC1605}"/>
</file>

<file path=customXml/itemProps3.xml><?xml version="1.0" encoding="utf-8"?>
<ds:datastoreItem xmlns:ds="http://schemas.openxmlformats.org/officeDocument/2006/customXml" ds:itemID="{553E0AED-C1CB-4A17-8C04-66CEE7324D62}"/>
</file>

<file path=customXml/itemProps4.xml><?xml version="1.0" encoding="utf-8"?>
<ds:datastoreItem xmlns:ds="http://schemas.openxmlformats.org/officeDocument/2006/customXml" ds:itemID="{5D611E52-4159-4360-A633-EC07D3B607D0}"/>
</file>

<file path=docProps/app.xml><?xml version="1.0" encoding="utf-8"?>
<Properties xmlns="http://schemas.openxmlformats.org/officeDocument/2006/extended-properties" xmlns:vt="http://schemas.openxmlformats.org/officeDocument/2006/docPropsVTypes">
  <Template>Normal</Template>
  <TotalTime>2</TotalTime>
  <Pages>5</Pages>
  <Words>2134</Words>
  <Characters>12676</Characters>
  <Application>Microsoft Office Word</Application>
  <DocSecurity>0</DocSecurity>
  <Lines>173</Lines>
  <Paragraphs>47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Estonian input on supporting the autonomy, participation and dignity of older persons with cognitive impairment</vt:lpstr>
      <vt:lpstr/>
    </vt:vector>
  </TitlesOfParts>
  <Manager/>
  <Company/>
  <LinksUpToDate>false</LinksUpToDate>
  <CharactersWithSpaces>14763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Estonian input on supporting the autonomy, participation and dignity of older persons with cognitive impairment</dc:title>
  <dc:subject>Submission to the Independent Expert on the enjoyment of all human rights by older persons</dc:subject>
  <dc:creator>Pille Lumi - SOM</dc:creator>
  <cp:keywords/>
  <dc:description>generated by python-docx</dc:description>
  <cp:lastModifiedBy>Pille Lumi - SOM</cp:lastModifiedBy>
  <cp:revision>3</cp:revision>
  <dcterms:created xsi:type="dcterms:W3CDTF">2026-07-06T20:28:00Z</dcterms:created>
  <dcterms:modified xsi:type="dcterms:W3CDTF">2026-07-06T20:43:00Z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2026-07-06T20:28:56Z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5e12e351-5fb4-4f29-8b07-caf8a9749a75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0x0101009D953D6983EF5F4EB0B6A5354F975E96</vt:lpwstr>
  </property>
  <property fmtid="{D5CDD505-2E9C-101B-9397-08002B2CF9AE}" pid="11" name="MediaServiceImageTags">
    <vt:lpwstr/>
  </property>
</Properties>
</file>