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3EF5" w:rsidRDefault="00E33EF5" w:rsidP="00E91996">
      <w:pPr>
        <w:pStyle w:val="NormalWeb"/>
        <w:jc w:val="both"/>
        <w:rPr>
          <w:rStyle w:val="Strong"/>
          <w:rtl/>
        </w:rPr>
      </w:pPr>
      <w:r>
        <w:rPr>
          <w:b/>
          <w:bCs/>
          <w:noProof/>
          <w:rtl/>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-542925</wp:posOffset>
                </wp:positionV>
                <wp:extent cx="5876925" cy="12573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876925" cy="125730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E33EF5" w:rsidRPr="00E33EF5" w:rsidRDefault="00E33EF5" w:rsidP="00E33EF5">
                            <w:pPr>
                              <w:spacing w:before="100" w:beforeAutospacing="1" w:after="100" w:afterAutospacing="1" w:line="240" w:lineRule="auto"/>
                              <w:jc w:val="center"/>
                              <w:rPr>
                                <w:rFonts w:ascii="Times New Roman" w:eastAsia="Times New Roman" w:hAnsi="Times New Roman" w:cs="Times New Roman"/>
                                <w:b/>
                                <w:bCs/>
                                <w:sz w:val="24"/>
                                <w:szCs w:val="24"/>
                              </w:rPr>
                            </w:pPr>
                            <w:r w:rsidRPr="00E33EF5">
                              <w:rPr>
                                <w:rFonts w:ascii="Times New Roman" w:eastAsia="Times New Roman" w:hAnsi="Times New Roman" w:cs="Times New Roman"/>
                                <w:b/>
                                <w:bCs/>
                                <w:sz w:val="24"/>
                                <w:szCs w:val="24"/>
                              </w:rPr>
                              <w:t>Submission by the Islamic Republic of Iran – Call for Inputs on “Autonomy, Participation and Human Dignity of Older Persons with Cognitive Impairment”</w:t>
                            </w:r>
                          </w:p>
                          <w:p w:rsidR="00E33EF5" w:rsidRDefault="00E33EF5" w:rsidP="00E33E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left:0;text-align:left;margin-left:411.55pt;margin-top:-42.75pt;width:462.75pt;height:99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" fillcolor="#70ad47 [3209]" strokecolor="#375623 [1609]" strokeweight="1pt">
                <v:textbox>
                  <w:txbxContent>
                    <w:p w:rsidR="00E33EF5" w:rsidRPr="00E33EF5" w:rsidRDefault="00E33EF5" w:rsidP="00E33EF5">
                      <w:pPr>
                        <w:spacing w:before="100" w:beforeAutospacing="1" w:after="100" w:afterAutospacing="1" w:line="240" w:lineRule="auto"/>
                        <w:jc w:val="center"/>
                        <w:rPr>
                          <w:rFonts w:ascii="Times New Roman" w:eastAsia="Times New Roman" w:hAnsi="Times New Roman" w:cs="Times New Roman"/>
                          <w:b/>
                          <w:bCs/>
                          <w:sz w:val="24"/>
                          <w:szCs w:val="24"/>
                        </w:rPr>
                      </w:pPr>
                      <w:r w:rsidRPr="00E33EF5">
                        <w:rPr>
                          <w:rFonts w:ascii="Times New Roman" w:eastAsia="Times New Roman" w:hAnsi="Times New Roman" w:cs="Times New Roman"/>
                          <w:b/>
                          <w:bCs/>
                          <w:sz w:val="24"/>
                          <w:szCs w:val="24"/>
                        </w:rPr>
                        <w:t>Submission by the Islamic Republic of Iran – Call for Inputs on “Autonomy, Participation and Human Dignity of Older Persons with Cognitive Impairment”</w:t>
                      </w:r>
                    </w:p>
                    <w:p w:rsidR="00E33EF5" w:rsidRDefault="00E33EF5" w:rsidP="00E33EF5">
                      <w:pPr>
                        <w:jc w:val="center"/>
                      </w:pPr>
                    </w:p>
                  </w:txbxContent>
                </v:textbox>
                <w10:wrap anchorx="margin"/>
              </v:rect>
            </w:pict>
          </mc:Fallback>
        </mc:AlternateContent>
      </w:r>
    </w:p>
    <w:p w:rsidR="00E33EF5" w:rsidRDefault="00E33EF5" w:rsidP="00E91996">
      <w:pPr>
        <w:pStyle w:val="NormalWeb"/>
        <w:jc w:val="both"/>
        <w:rPr>
          <w:rStyle w:val="Strong"/>
          <w:rtl/>
        </w:rPr>
      </w:pPr>
    </w:p>
    <w:p w:rsidR="00E33EF5" w:rsidRDefault="00E33EF5" w:rsidP="00E91996">
      <w:pPr>
        <w:pStyle w:val="NormalWeb"/>
        <w:jc w:val="both"/>
        <w:rPr>
          <w:rStyle w:val="Strong"/>
          <w:rtl/>
        </w:rPr>
      </w:pPr>
    </w:p>
    <w:p w:rsidR="00E05189" w:rsidRDefault="00E05189" w:rsidP="00E91996">
      <w:pPr>
        <w:pStyle w:val="NormalWeb"/>
        <w:jc w:val="both"/>
      </w:pPr>
      <w:r>
        <w:rPr>
          <w:rStyle w:val="Strong"/>
        </w:rPr>
        <w:t xml:space="preserve">1. In what ways are older persons with </w:t>
      </w:r>
      <w:bookmarkStart w:id="0" w:name="_GoBack"/>
      <w:r>
        <w:rPr>
          <w:rStyle w:val="Strong"/>
        </w:rPr>
        <w:t xml:space="preserve">cognitive impairments </w:t>
      </w:r>
      <w:bookmarkEnd w:id="0"/>
      <w:r>
        <w:rPr>
          <w:rStyle w:val="Strong"/>
        </w:rPr>
        <w:t>not listened to, not recognized, or excluded from meaningful participation in everyday life?</w:t>
      </w:r>
    </w:p>
    <w:p w:rsidR="00E05189" w:rsidRDefault="00E05189" w:rsidP="00E91996">
      <w:pPr>
        <w:pStyle w:val="NormalWeb"/>
        <w:jc w:val="both"/>
      </w:pPr>
      <w:r>
        <w:t xml:space="preserve">Older persons with cognitive impairments are frequently marginalized through paternalistic attitudes and practices. Common forms of exclusion include </w:t>
      </w:r>
      <w:proofErr w:type="spellStart"/>
      <w:r>
        <w:t>infantilization</w:t>
      </w:r>
      <w:proofErr w:type="spellEnd"/>
      <w:r>
        <w:t>; assumptions of complete incapacity without individualized assessment; exclusion from legal and administrative processes; underrepresentation in research and public policymaking; social and emotional isolation; and exclusion from cultural, religious, and national traditions and ceremonies. These practices undermine their dignity, autonomy, and equal recognition before the law.</w:t>
      </w:r>
    </w:p>
    <w:p w:rsidR="00E05189" w:rsidRDefault="00E05189" w:rsidP="00E91996">
      <w:pPr>
        <w:pStyle w:val="NormalWeb"/>
        <w:jc w:val="both"/>
      </w:pPr>
      <w:r>
        <w:rPr>
          <w:rStyle w:val="Strong"/>
        </w:rPr>
        <w:t>2. How are the wishes, feelings, preferences, and values of older persons with cognitive impairments identified, interpreted, and respected when communication is difficult, altered, or fluctuating?</w:t>
      </w:r>
    </w:p>
    <w:p w:rsidR="00E05189" w:rsidRDefault="00E05189" w:rsidP="00E91996">
      <w:pPr>
        <w:pStyle w:val="NormalWeb"/>
        <w:jc w:val="both"/>
      </w:pPr>
      <w:r>
        <w:t>Respecting the autonomy and personhood of older persons with cognitive impairments requires the use of person-centered approaches. These may include observing and interpreting behavioral expressions as meaningful forms of communication rather than merely symptoms of illness; considering the individual’s life history and personal identity; creating sensory-supportive care environments; applying informed professional judgment; utilizing art and creative expression; engaging with animals, meaningful objects, and familiar routines; employing adaptive and flexible communication techniques; and using assistive technologies and collaborative problem-solving strategies. Such approaches help ensure that the individual's wishes and values remain central to decision-making processes.</w:t>
      </w:r>
    </w:p>
    <w:p w:rsidR="00E05189" w:rsidRDefault="00E05189" w:rsidP="00E91996">
      <w:pPr>
        <w:pStyle w:val="NormalWeb"/>
        <w:jc w:val="both"/>
      </w:pPr>
      <w:r>
        <w:rPr>
          <w:rStyle w:val="Strong"/>
        </w:rPr>
        <w:t>3. In what situations do care, support, or professional interventions unintentionally take over decision-making or silence the participation of older persons with cognitive impairments?</w:t>
      </w:r>
    </w:p>
    <w:p w:rsidR="00E05189" w:rsidRDefault="00E05189" w:rsidP="00E91996">
      <w:pPr>
        <w:pStyle w:val="NormalWeb"/>
        <w:jc w:val="both"/>
      </w:pPr>
      <w:r>
        <w:t>The participation of older persons with cognitive impairments may be diminished when care systems prioritize efficiency, convenience, or risk avoidance over individual autonomy. Examples include excessive standardization of care; premature interventions without demonstrated necessity; assessments conducted without adequate consideration of personal circumstances and context; decisions made primarily for the convenience of caregivers; the use of chemical restraints to suppress behavior; disregard for an individual's refusal or expression of dissent; exclusion from financial and legal matters despite retained or partial decision-making capacity; and tokenistic participation that provides the appearance of involvement without genuine influence over outcomes.</w:t>
      </w:r>
    </w:p>
    <w:p w:rsidR="00CE5F94" w:rsidRPr="00CE5F94" w:rsidRDefault="00CE5F94" w:rsidP="00E91996">
      <w:p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4. How can autonomy be supported in practice when cognitive functioning fluctuates, is partial, or changes over time?</w:t>
      </w:r>
    </w:p>
    <w:p w:rsidR="00CE5F94" w:rsidRPr="00CE5F94" w:rsidRDefault="00CE5F94" w:rsidP="00E91996">
      <w:p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sz w:val="24"/>
          <w:szCs w:val="24"/>
        </w:rPr>
        <w:t xml:space="preserve">Autonomy can be supported through flexible and individualized approaches that recognize the evolving nature of cognitive capacity. Effective practices include step-by-step or graduated decision-making processes; the development of autonomy maps or “decision-making passports” that document personal preferences and support needs; the use of advance wishes and directives </w:t>
      </w:r>
      <w:r w:rsidRPr="00CE5F94">
        <w:rPr>
          <w:rFonts w:ascii="Times New Roman" w:eastAsia="Times New Roman" w:hAnsi="Times New Roman" w:cs="Times New Roman"/>
          <w:sz w:val="24"/>
          <w:szCs w:val="24"/>
        </w:rPr>
        <w:lastRenderedPageBreak/>
        <w:t>that are regularly reviewed and updated; autonomy-supportive approaches based on the least restrictive and least assumptive interventions; decision-making during periods of optimal cognitive functioning (“golden moments”); the involvement of dynamic communication facilitators who provide real-time feedback; trial-based decision-making approaches that allow individuals to test choices before making long-term commitments; flexible autonomy agreements that adapt to changing circumstances; support for decision-making within familiar routines and environments; and temporary delegated autonomy arrangements that preserve the individual’s overall control while providing necessary assistance. These measures promote supported decision-making and help ensure that older persons remain active participants in decisions affecting their lives.</w:t>
      </w:r>
    </w:p>
    <w:p w:rsidR="00CE5F94" w:rsidRPr="00CE5F94" w:rsidRDefault="00CE5F94" w:rsidP="00E91996">
      <w:p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5. What laws, policies, institutions, approaches, practices, or enabling environments have helped older persons with cognitive impairments to be heard, remain engaged, be respected, and stay socially connected?</w:t>
      </w:r>
    </w:p>
    <w:p w:rsidR="00CE5F94" w:rsidRPr="00CE5F94" w:rsidRDefault="00CE5F94" w:rsidP="00E91996">
      <w:p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sz w:val="24"/>
          <w:szCs w:val="24"/>
        </w:rPr>
        <w:t>A range of legal, policy, and institutional measures have contributed to strengthening the participation, dignity, and social inclusion of older persons with cognitive impairments.</w:t>
      </w:r>
    </w:p>
    <w:p w:rsidR="00CE5F94" w:rsidRPr="00CE5F94" w:rsidRDefault="00CE5F94" w:rsidP="00E91996">
      <w:p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Laws and Policies</w:t>
      </w:r>
    </w:p>
    <w:p w:rsidR="00CE5F94" w:rsidRPr="00CE5F94" w:rsidRDefault="00CE5F94" w:rsidP="00E91996">
      <w:p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sz w:val="24"/>
          <w:szCs w:val="24"/>
        </w:rPr>
        <w:t>Legal and policy frameworks play a critical role in safeguarding the rights of older persons with cognitive impairments and promoting their inclusion in society.</w:t>
      </w:r>
    </w:p>
    <w:p w:rsidR="00CE5F94" w:rsidRPr="00CE5F94" w:rsidRDefault="00CE5F94" w:rsidP="00E9199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National Dementia Strategies:</w:t>
      </w:r>
      <w:r w:rsidRPr="00CE5F94">
        <w:rPr>
          <w:rFonts w:ascii="Times New Roman" w:eastAsia="Times New Roman" w:hAnsi="Times New Roman" w:cs="Times New Roman"/>
          <w:sz w:val="24"/>
          <w:szCs w:val="24"/>
        </w:rPr>
        <w:t xml:space="preserve"> Several governments have adopted dedicated dementia policies or national dementia plans that prioritize empowerment, equality, social participation, and public awareness. In Iran, the National Dementia Program implemented within the national health system for the period 2021–2026 represents an important step toward improving support services and increasing awareness of cognitive disorders among older persons.</w:t>
      </w:r>
    </w:p>
    <w:p w:rsidR="00CE5F94" w:rsidRPr="00CE5F94" w:rsidRDefault="00CE5F94" w:rsidP="00E9199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Comprehensive Older Persons’ Rights Legislation:</w:t>
      </w:r>
      <w:r w:rsidRPr="00CE5F94">
        <w:rPr>
          <w:rFonts w:ascii="Times New Roman" w:eastAsia="Times New Roman" w:hAnsi="Times New Roman" w:cs="Times New Roman"/>
          <w:sz w:val="24"/>
          <w:szCs w:val="24"/>
        </w:rPr>
        <w:t xml:space="preserve"> Legislative frameworks that go beyond welfare-based approaches and explicitly promote participation and inclusion are particularly valuable. For example, Egypt’s Law on the Care of the Rights of Older Persons establishes protections for the social, health, and economic rights of older persons while encouraging their participation in public life.</w:t>
      </w:r>
    </w:p>
    <w:p w:rsidR="00CE5F94" w:rsidRPr="00CE5F94" w:rsidRDefault="00CE5F94" w:rsidP="00E9199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Judicial Protection Guidelines:</w:t>
      </w:r>
      <w:r w:rsidRPr="00CE5F94">
        <w:rPr>
          <w:rFonts w:ascii="Times New Roman" w:eastAsia="Times New Roman" w:hAnsi="Times New Roman" w:cs="Times New Roman"/>
          <w:sz w:val="24"/>
          <w:szCs w:val="24"/>
        </w:rPr>
        <w:t xml:space="preserve"> Specialized judicial guidelines can facilitate equal access to justice for older persons and persons with disabilities. In Iran, the 2023 Guideline on the Protection of the Rights of Older Persons and Persons with Disabilities in Judicial Proceedings was adopted to enhance procedural safeguards and accessibility within the justice system.</w:t>
      </w:r>
    </w:p>
    <w:p w:rsidR="00CE5F94" w:rsidRPr="00CE5F94" w:rsidRDefault="00CE5F94" w:rsidP="00E9199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Age-Friendly Urban Policies:</w:t>
      </w:r>
      <w:r w:rsidRPr="00CE5F94">
        <w:rPr>
          <w:rFonts w:ascii="Times New Roman" w:eastAsia="Times New Roman" w:hAnsi="Times New Roman" w:cs="Times New Roman"/>
          <w:sz w:val="24"/>
          <w:szCs w:val="24"/>
        </w:rPr>
        <w:t xml:space="preserve"> The integration of age-friendly principles into urban planning contributes to creating environments that are more accessible and supportive for older persons, including those with cognitive impairments. Initiatives undertaken in metropolitan areas such as Tehran aim to adapt public spaces and services to the needs of an ageing population.</w:t>
      </w:r>
    </w:p>
    <w:p w:rsidR="00CE5F94" w:rsidRPr="00CE5F94" w:rsidRDefault="00CE5F94" w:rsidP="00E91996">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CE5F94">
        <w:rPr>
          <w:rFonts w:ascii="Times New Roman" w:eastAsia="Times New Roman" w:hAnsi="Times New Roman" w:cs="Times New Roman"/>
          <w:b/>
          <w:bCs/>
          <w:sz w:val="24"/>
          <w:szCs w:val="24"/>
        </w:rPr>
        <w:t>National Coordinating Institutions:</w:t>
      </w:r>
      <w:r w:rsidRPr="00CE5F94">
        <w:rPr>
          <w:rFonts w:ascii="Times New Roman" w:eastAsia="Times New Roman" w:hAnsi="Times New Roman" w:cs="Times New Roman"/>
          <w:sz w:val="24"/>
          <w:szCs w:val="24"/>
        </w:rPr>
        <w:t xml:space="preserve"> Dedicated institutions can play an essential role in policy coordination and oversight. In Iran, the National Council on Ageing Secretariat </w:t>
      </w:r>
      <w:r w:rsidRPr="00CE5F94">
        <w:rPr>
          <w:rFonts w:ascii="Times New Roman" w:eastAsia="Times New Roman" w:hAnsi="Times New Roman" w:cs="Times New Roman"/>
          <w:sz w:val="24"/>
          <w:szCs w:val="24"/>
        </w:rPr>
        <w:lastRenderedPageBreak/>
        <w:t>serves as a coordinating body responsible for promoting, monitoring, and advancing policies related to older persons and ageing issues.</w:t>
      </w:r>
    </w:p>
    <w:p w:rsidR="00C7395C" w:rsidRPr="00C7395C" w:rsidRDefault="00C7395C" w:rsidP="00E91996">
      <w:p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Additional Enabling Institutions, Practices, and Environments</w:t>
      </w:r>
    </w:p>
    <w:p w:rsidR="00C7395C" w:rsidRPr="00C7395C" w:rsidRDefault="00C7395C" w:rsidP="00E9199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Development of Specialized Associations and Civil Society Organizations:</w:t>
      </w:r>
      <w:r w:rsidRPr="00C7395C">
        <w:rPr>
          <w:rFonts w:ascii="Times New Roman" w:eastAsia="Times New Roman" w:hAnsi="Times New Roman" w:cs="Times New Roman"/>
          <w:sz w:val="24"/>
          <w:szCs w:val="24"/>
        </w:rPr>
        <w:t xml:space="preserve"> Non-governmental organizations such as the Iran Dementia and Alzheimer Association play a vital role in providing education, research, rehabilitation services, and support for persons living with dementia and their families. Such organizations contribute significantly to public awareness, advocacy, and community engagement.</w:t>
      </w:r>
    </w:p>
    <w:p w:rsidR="00C7395C" w:rsidRPr="00C7395C" w:rsidRDefault="00C7395C" w:rsidP="00E9199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Support for Community-Based and Voluntary Initiatives:</w:t>
      </w:r>
      <w:r w:rsidRPr="00C7395C">
        <w:rPr>
          <w:rFonts w:ascii="Times New Roman" w:eastAsia="Times New Roman" w:hAnsi="Times New Roman" w:cs="Times New Roman"/>
          <w:sz w:val="24"/>
          <w:szCs w:val="24"/>
        </w:rPr>
        <w:t xml:space="preserve"> Civil society organizations have implemented initiatives such as early screening and detection programs for Alzheimer's disease and other cognitive disorders. Governmental and non-governmental programs that encourage volunteer engagement can help reduce social isolation among older persons with cognitive impairments. Examples include community-based projects, locally funded support programs, and free cognitive screening initiatives implemented through cooperation between social welfare authorities and public health institutions.</w:t>
      </w:r>
    </w:p>
    <w:p w:rsidR="00C7395C" w:rsidRPr="00C7395C" w:rsidRDefault="00C7395C" w:rsidP="00E91996">
      <w:pPr>
        <w:numPr>
          <w:ilvl w:val="0"/>
          <w:numId w:val="2"/>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Development of Specialized Day-Care and Rehabilitation Centers:</w:t>
      </w:r>
      <w:r w:rsidRPr="00C7395C">
        <w:rPr>
          <w:rFonts w:ascii="Times New Roman" w:eastAsia="Times New Roman" w:hAnsi="Times New Roman" w:cs="Times New Roman"/>
          <w:sz w:val="24"/>
          <w:szCs w:val="24"/>
        </w:rPr>
        <w:t xml:space="preserve"> Dedicated centers providing cognitive rehabilitation, therapeutic activities, and day-care services for persons living with Alzheimer's disease and other forms of dementia can enhance quality of life, promote social participation, and support independent functioning for as long as possible.</w:t>
      </w:r>
    </w:p>
    <w:p w:rsidR="00C7395C" w:rsidRPr="00C7395C" w:rsidRDefault="00C7395C" w:rsidP="00E91996">
      <w:p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6. What legal, policy, professional, or social changes are needed to better support the autonomy, participation, and dignity of older persons with cognitive impairments?</w:t>
      </w:r>
    </w:p>
    <w:p w:rsidR="00C7395C" w:rsidRPr="00C7395C" w:rsidRDefault="00C7395C" w:rsidP="00E9199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95C">
        <w:rPr>
          <w:rFonts w:ascii="Times New Roman" w:eastAsia="Times New Roman" w:hAnsi="Times New Roman" w:cs="Times New Roman"/>
          <w:b/>
          <w:bCs/>
          <w:sz w:val="27"/>
          <w:szCs w:val="27"/>
        </w:rPr>
        <w:t>Legal and Policy Reforms: From Substitute Decision-Making to Supported Decision-Making</w:t>
      </w:r>
    </w:p>
    <w:p w:rsidR="00C7395C" w:rsidRPr="00C7395C" w:rsidRDefault="00C7395C" w:rsidP="00E91996">
      <w:p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sz w:val="24"/>
          <w:szCs w:val="24"/>
        </w:rPr>
        <w:t>A fundamental paradigm shift is required—from making decisions on behalf of older persons with cognitive impairments to supporting them in making their own decisions to the greatest extent possible.</w:t>
      </w:r>
    </w:p>
    <w:p w:rsidR="00C7395C" w:rsidRPr="00C7395C" w:rsidRDefault="00C7395C" w:rsidP="00E91996">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Expansion of Supported Decision-Making Frameworks and Preventive Guardianship Mechanisms:</w:t>
      </w:r>
      <w:r w:rsidRPr="00C7395C">
        <w:rPr>
          <w:rFonts w:ascii="Times New Roman" w:eastAsia="Times New Roman" w:hAnsi="Times New Roman" w:cs="Times New Roman"/>
          <w:sz w:val="24"/>
          <w:szCs w:val="24"/>
        </w:rPr>
        <w:t xml:space="preserve"> Examples include Ireland’s Assisted Decision-Making legislation, Australia's aged care reforms emphasizing consumer choice and autonomy, and provisions relating to consensual guardianship arrangements within Chinese civil law. Such approaches prioritize individual preferences and provide support without unnecessarily restricting legal capacity.</w:t>
      </w:r>
    </w:p>
    <w:p w:rsidR="00C7395C" w:rsidRPr="00C7395C" w:rsidRDefault="00C7395C" w:rsidP="00E91996">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Comprehensive National Dementia Strategies:</w:t>
      </w:r>
      <w:r w:rsidRPr="00C7395C">
        <w:rPr>
          <w:rFonts w:ascii="Times New Roman" w:eastAsia="Times New Roman" w:hAnsi="Times New Roman" w:cs="Times New Roman"/>
          <w:sz w:val="24"/>
          <w:szCs w:val="24"/>
        </w:rPr>
        <w:t xml:space="preserve"> National frameworks should adopt a rights-based approach that promotes autonomy, inclusion, and support. Examples include Japan’s dementia policies, which emphasize independence, social participation, coordinated governmental action, and cross-sectoral cooperation.</w:t>
      </w:r>
    </w:p>
    <w:p w:rsidR="00C7395C" w:rsidRPr="00C7395C" w:rsidRDefault="00C7395C" w:rsidP="00E91996">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Reform of Fundamental Legal Principles:</w:t>
      </w:r>
      <w:r w:rsidRPr="00C7395C">
        <w:rPr>
          <w:rFonts w:ascii="Times New Roman" w:eastAsia="Times New Roman" w:hAnsi="Times New Roman" w:cs="Times New Roman"/>
          <w:sz w:val="24"/>
          <w:szCs w:val="24"/>
        </w:rPr>
        <w:t xml:space="preserve"> Legal systems should recognize the equal legal capacity of all adults regardless of disability, age, or cognitive condition. Legislative reforms such as those adopted in Mexico City, which recognize full legal capacity for </w:t>
      </w:r>
      <w:r w:rsidRPr="00C7395C">
        <w:rPr>
          <w:rFonts w:ascii="Times New Roman" w:eastAsia="Times New Roman" w:hAnsi="Times New Roman" w:cs="Times New Roman"/>
          <w:sz w:val="24"/>
          <w:szCs w:val="24"/>
        </w:rPr>
        <w:lastRenderedPageBreak/>
        <w:t>persons with disabilities and promote supported decision-making, provide valuable examples of rights-based legal reform.</w:t>
      </w:r>
    </w:p>
    <w:p w:rsidR="00C7395C" w:rsidRPr="00C7395C" w:rsidRDefault="00C7395C" w:rsidP="00E9199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95C">
        <w:rPr>
          <w:rFonts w:ascii="Times New Roman" w:eastAsia="Times New Roman" w:hAnsi="Times New Roman" w:cs="Times New Roman"/>
          <w:b/>
          <w:bCs/>
          <w:sz w:val="27"/>
          <w:szCs w:val="27"/>
        </w:rPr>
        <w:t>Professional Practice Reforms: Strengthening Skills and Transforming Attitudes</w:t>
      </w:r>
    </w:p>
    <w:p w:rsidR="00C7395C" w:rsidRPr="00C7395C" w:rsidRDefault="00C7395C" w:rsidP="00E91996">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Training Community-Based Facilitators and Frontline Support Personnel:</w:t>
      </w:r>
      <w:r w:rsidRPr="00C7395C">
        <w:rPr>
          <w:rFonts w:ascii="Times New Roman" w:eastAsia="Times New Roman" w:hAnsi="Times New Roman" w:cs="Times New Roman"/>
          <w:sz w:val="24"/>
          <w:szCs w:val="24"/>
        </w:rPr>
        <w:t xml:space="preserve"> Building local capacity through community educators and facilitators can improve awareness and promote rights-based approaches in culturally appropriate and accessible ways.</w:t>
      </w:r>
    </w:p>
    <w:p w:rsidR="00C7395C" w:rsidRPr="00C7395C" w:rsidRDefault="00C7395C" w:rsidP="00E91996">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Co-Designed Education and Training Systems:</w:t>
      </w:r>
      <w:r w:rsidRPr="00C7395C">
        <w:rPr>
          <w:rFonts w:ascii="Times New Roman" w:eastAsia="Times New Roman" w:hAnsi="Times New Roman" w:cs="Times New Roman"/>
          <w:sz w:val="24"/>
          <w:szCs w:val="24"/>
        </w:rPr>
        <w:t xml:space="preserve"> Training programs should be developed with the meaningful participation of persons living with dementia and cognitive impairments. Recognizing them as experts through lived experience can improve the relevance and effectiveness of caregiver education and professional training.</w:t>
      </w:r>
    </w:p>
    <w:p w:rsidR="00C7395C" w:rsidRPr="00C7395C" w:rsidRDefault="00C7395C" w:rsidP="00E91996">
      <w:pPr>
        <w:numPr>
          <w:ilvl w:val="0"/>
          <w:numId w:val="4"/>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Comprehensive Professional Education Programs:</w:t>
      </w:r>
      <w:r w:rsidRPr="00C7395C">
        <w:rPr>
          <w:rFonts w:ascii="Times New Roman" w:eastAsia="Times New Roman" w:hAnsi="Times New Roman" w:cs="Times New Roman"/>
          <w:sz w:val="24"/>
          <w:szCs w:val="24"/>
        </w:rPr>
        <w:t xml:space="preserve"> Systematic training that combines theoretical knowledge with practical skills is needed for healthcare professionals, social workers, legal practitioners, and caregivers. Such programs should emphasize communication, supported decision-making, human rights, and person-centered care.</w:t>
      </w:r>
    </w:p>
    <w:p w:rsidR="00C7395C" w:rsidRPr="00C7395C" w:rsidRDefault="00C7395C" w:rsidP="00E91996">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C7395C">
        <w:rPr>
          <w:rFonts w:ascii="Times New Roman" w:eastAsia="Times New Roman" w:hAnsi="Times New Roman" w:cs="Times New Roman"/>
          <w:b/>
          <w:bCs/>
          <w:sz w:val="27"/>
          <w:szCs w:val="27"/>
        </w:rPr>
        <w:t>Social and Cultural Changes: Reducing Stigma and Building Dementia-Friendly Communities</w:t>
      </w:r>
    </w:p>
    <w:p w:rsidR="00C7395C" w:rsidRPr="00C7395C" w:rsidRDefault="00C7395C" w:rsidP="00E91996">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Anti-Stigma Language Campaigns:</w:t>
      </w:r>
      <w:r w:rsidRPr="00C7395C">
        <w:rPr>
          <w:rFonts w:ascii="Times New Roman" w:eastAsia="Times New Roman" w:hAnsi="Times New Roman" w:cs="Times New Roman"/>
          <w:sz w:val="24"/>
          <w:szCs w:val="24"/>
        </w:rPr>
        <w:t xml:space="preserve"> Public discourse should avoid derogatory or stereotypical terminology and instead promote respectful, person-centered language. Replacing stigmatizing expressions with neutral terms such as “cognitive impairment” can contribute to greater social inclusion and respect.</w:t>
      </w:r>
    </w:p>
    <w:p w:rsidR="00C7395C" w:rsidRPr="00C7395C" w:rsidRDefault="00C7395C" w:rsidP="00E91996">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Engagement of Community Opinion Leaders:</w:t>
      </w:r>
      <w:r w:rsidRPr="00C7395C">
        <w:rPr>
          <w:rFonts w:ascii="Times New Roman" w:eastAsia="Times New Roman" w:hAnsi="Times New Roman" w:cs="Times New Roman"/>
          <w:sz w:val="24"/>
          <w:szCs w:val="24"/>
        </w:rPr>
        <w:t xml:space="preserve"> Trusted and respected individuals within local communities can help normalize discussions about cognitive impairment, encourage early assessment and support-seeking, and challenge misconceptions and prejudice.</w:t>
      </w:r>
    </w:p>
    <w:p w:rsidR="00C7395C" w:rsidRPr="00C7395C" w:rsidRDefault="00C7395C" w:rsidP="00E91996">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b/>
          <w:bCs/>
          <w:sz w:val="24"/>
          <w:szCs w:val="24"/>
        </w:rPr>
        <w:t>Public Dialogue and Community Awareness Initiatives:</w:t>
      </w:r>
      <w:r w:rsidRPr="00C7395C">
        <w:rPr>
          <w:rFonts w:ascii="Times New Roman" w:eastAsia="Times New Roman" w:hAnsi="Times New Roman" w:cs="Times New Roman"/>
          <w:sz w:val="24"/>
          <w:szCs w:val="24"/>
        </w:rPr>
        <w:t xml:space="preserve"> Community forums, public events, awareness campaigns, and intergenerational activities can help break social silence surrounding dementia, reduce stigma, and strengthen social connectedness for older persons with cognitive impairments.</w:t>
      </w:r>
    </w:p>
    <w:p w:rsidR="00C7395C" w:rsidRPr="00C7395C" w:rsidRDefault="00C7395C" w:rsidP="00E91996">
      <w:pPr>
        <w:spacing w:before="100" w:beforeAutospacing="1" w:after="100" w:afterAutospacing="1" w:line="240" w:lineRule="auto"/>
        <w:jc w:val="both"/>
        <w:rPr>
          <w:rFonts w:ascii="Times New Roman" w:eastAsia="Times New Roman" w:hAnsi="Times New Roman" w:cs="Times New Roman"/>
          <w:sz w:val="24"/>
          <w:szCs w:val="24"/>
        </w:rPr>
      </w:pPr>
      <w:r w:rsidRPr="00C7395C">
        <w:rPr>
          <w:rFonts w:ascii="Times New Roman" w:eastAsia="Times New Roman" w:hAnsi="Times New Roman" w:cs="Times New Roman"/>
          <w:sz w:val="24"/>
          <w:szCs w:val="24"/>
        </w:rPr>
        <w:t>Overall, future reforms should be guided by the principles of dignity, autonomy, participation, non-discrimination, and equal recognition before the law, ensuring that older persons with cognitive impairments remain rights holders rather than passive recipients of care.</w:t>
      </w:r>
    </w:p>
    <w:p w:rsidR="00871663" w:rsidRDefault="00871663" w:rsidP="00E91996">
      <w:pPr>
        <w:pStyle w:val="NormalWeb"/>
        <w:numPr>
          <w:ilvl w:val="0"/>
          <w:numId w:val="6"/>
        </w:numPr>
        <w:jc w:val="both"/>
      </w:pPr>
      <w:r>
        <w:rPr>
          <w:rStyle w:val="Strong"/>
        </w:rPr>
        <w:t>Development of Social Support Networks:</w:t>
      </w:r>
      <w:r>
        <w:t xml:space="preserve"> Community-based and systematic support systems are essential, particularly in underserved and rural areas. Multi-layered, dementia-friendly support networks that combine family support, community engagement, local services, and professional assistance can reduce isolation, strengthen participation, and enable older persons with cognitive impairments to remain active members of society.</w:t>
      </w:r>
    </w:p>
    <w:p w:rsidR="00871663" w:rsidRDefault="00871663" w:rsidP="00E91996">
      <w:pPr>
        <w:pStyle w:val="Heading3"/>
        <w:jc w:val="both"/>
      </w:pPr>
      <w:r>
        <w:t>Technological Innovation and Empowerment</w:t>
      </w:r>
    </w:p>
    <w:p w:rsidR="00871663" w:rsidRDefault="00871663" w:rsidP="00E91996">
      <w:pPr>
        <w:pStyle w:val="NormalWeb"/>
        <w:jc w:val="both"/>
      </w:pPr>
      <w:r>
        <w:t>Technology has significant potential to function as an “external cognitive support system,” helping to compensate for cognitive decline while promoting autonomy, safety, and social participation.</w:t>
      </w:r>
    </w:p>
    <w:p w:rsidR="00871663" w:rsidRDefault="00871663" w:rsidP="00E91996">
      <w:pPr>
        <w:pStyle w:val="NormalWeb"/>
        <w:numPr>
          <w:ilvl w:val="0"/>
          <w:numId w:val="7"/>
        </w:numPr>
        <w:jc w:val="both"/>
      </w:pPr>
      <w:r>
        <w:rPr>
          <w:rStyle w:val="Strong"/>
        </w:rPr>
        <w:lastRenderedPageBreak/>
        <w:t>Augmented Reality (AR) Technologies:</w:t>
      </w:r>
      <w:r>
        <w:t xml:space="preserve"> Augmented reality devices and smart glasses can serve as digital guides for everyday activities by providing real-time prompts, navigation assistance, and task reminders. Pilot initiatives in countries such as the United Kingdom have demonstrated the potential of these technologies to support independent living.</w:t>
      </w:r>
    </w:p>
    <w:p w:rsidR="00871663" w:rsidRDefault="00871663" w:rsidP="00E91996">
      <w:pPr>
        <w:pStyle w:val="NormalWeb"/>
        <w:numPr>
          <w:ilvl w:val="0"/>
          <w:numId w:val="7"/>
        </w:numPr>
        <w:jc w:val="both"/>
      </w:pPr>
      <w:r>
        <w:rPr>
          <w:rStyle w:val="Strong"/>
        </w:rPr>
        <w:t>Artificial Intelligence Companions and Conversational Agents:</w:t>
      </w:r>
      <w:r>
        <w:t xml:space="preserve"> AI-powered companions and </w:t>
      </w:r>
      <w:proofErr w:type="spellStart"/>
      <w:r>
        <w:t>chatbots</w:t>
      </w:r>
      <w:proofErr w:type="spellEnd"/>
      <w:r>
        <w:t xml:space="preserve"> can facilitate communication, provide reminders, reduce loneliness, support daily decision-making, and enhance emotional well-being. When designed with appropriate ethical safeguards, these technologies can strengthen autonomy and social connectedness.</w:t>
      </w:r>
    </w:p>
    <w:p w:rsidR="00871663" w:rsidRDefault="00871663" w:rsidP="00E91996">
      <w:pPr>
        <w:pStyle w:val="NormalWeb"/>
        <w:numPr>
          <w:ilvl w:val="0"/>
          <w:numId w:val="7"/>
        </w:numPr>
        <w:jc w:val="both"/>
      </w:pPr>
      <w:r>
        <w:rPr>
          <w:rStyle w:val="Strong"/>
        </w:rPr>
        <w:t>Wearable Early-Warning Devices:</w:t>
      </w:r>
      <w:r>
        <w:t xml:space="preserve"> Innovative wearable technologies can help identify risks and provide timely interventions. Examples include smart socks and other wearable devices capable of detecting changes associated with falls, anxiety, agitation, or health deterioration, thereby improving safety while reducing the need for restrictive supervision.</w:t>
      </w:r>
    </w:p>
    <w:p w:rsidR="00871663" w:rsidRDefault="00871663" w:rsidP="00E91996">
      <w:pPr>
        <w:pStyle w:val="NormalWeb"/>
        <w:jc w:val="both"/>
      </w:pPr>
      <w:r>
        <w:t>Technological innovation should complement, rather than replace, human relationships and support systems. Human rights principles, including dignity, privacy, autonomy, informed consent, accessibility, and non-discrimination, should guide the development and deployment of all technologies intended for older persons with cognitive impairments.</w:t>
      </w:r>
    </w:p>
    <w:p w:rsidR="00C633AE" w:rsidRDefault="00C633AE" w:rsidP="00E91996">
      <w:pPr>
        <w:bidi/>
        <w:jc w:val="both"/>
        <w:rPr>
          <w:lang w:bidi="fa-IR"/>
        </w:rPr>
      </w:pPr>
    </w:p>
    <w:sectPr w:rsidR="00C633A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9FD" w:rsidRDefault="00C039FD" w:rsidP="00E91996">
      <w:pPr>
        <w:spacing w:after="0" w:line="240" w:lineRule="auto"/>
      </w:pPr>
      <w:r>
        <w:separator/>
      </w:r>
    </w:p>
  </w:endnote>
  <w:endnote w:type="continuationSeparator" w:id="0">
    <w:p w:rsidR="00C039FD" w:rsidRDefault="00C039FD" w:rsidP="00E91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4393429"/>
      <w:docPartObj>
        <w:docPartGallery w:val="Page Numbers (Bottom of Page)"/>
        <w:docPartUnique/>
      </w:docPartObj>
    </w:sdtPr>
    <w:sdtEndPr>
      <w:rPr>
        <w:noProof/>
      </w:rPr>
    </w:sdtEndPr>
    <w:sdtContent>
      <w:p w:rsidR="00E91996" w:rsidRDefault="00E91996">
        <w:pPr>
          <w:pStyle w:val="Footer"/>
          <w:jc w:val="center"/>
        </w:pPr>
        <w:r>
          <w:fldChar w:fldCharType="begin"/>
        </w:r>
        <w:r>
          <w:instrText xml:space="preserve"> PAGE   \* MERGEFORMAT </w:instrText>
        </w:r>
        <w:r>
          <w:fldChar w:fldCharType="separate"/>
        </w:r>
        <w:r w:rsidR="00C92ED9">
          <w:rPr>
            <w:noProof/>
          </w:rPr>
          <w:t>5</w:t>
        </w:r>
        <w:r>
          <w:rPr>
            <w:noProof/>
          </w:rPr>
          <w:fldChar w:fldCharType="end"/>
        </w:r>
      </w:p>
    </w:sdtContent>
  </w:sdt>
  <w:p w:rsidR="00E91996" w:rsidRDefault="00E919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9FD" w:rsidRDefault="00C039FD" w:rsidP="00E91996">
      <w:pPr>
        <w:spacing w:after="0" w:line="240" w:lineRule="auto"/>
      </w:pPr>
      <w:r>
        <w:separator/>
      </w:r>
    </w:p>
  </w:footnote>
  <w:footnote w:type="continuationSeparator" w:id="0">
    <w:p w:rsidR="00C039FD" w:rsidRDefault="00C039FD" w:rsidP="00E919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8671B"/>
    <w:multiLevelType w:val="multilevel"/>
    <w:tmpl w:val="63F2D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D09F7"/>
    <w:multiLevelType w:val="multilevel"/>
    <w:tmpl w:val="11E6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167E70"/>
    <w:multiLevelType w:val="multilevel"/>
    <w:tmpl w:val="CA941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C86411"/>
    <w:multiLevelType w:val="multilevel"/>
    <w:tmpl w:val="528C3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F35213"/>
    <w:multiLevelType w:val="multilevel"/>
    <w:tmpl w:val="F170F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7C48D1"/>
    <w:multiLevelType w:val="multilevel"/>
    <w:tmpl w:val="81F8A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83025A3"/>
    <w:multiLevelType w:val="multilevel"/>
    <w:tmpl w:val="4BFA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6"/>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3AE"/>
    <w:rsid w:val="00604784"/>
    <w:rsid w:val="00871663"/>
    <w:rsid w:val="00BB201C"/>
    <w:rsid w:val="00C039FD"/>
    <w:rsid w:val="00C633AE"/>
    <w:rsid w:val="00C7395C"/>
    <w:rsid w:val="00C92ED9"/>
    <w:rsid w:val="00CE5F94"/>
    <w:rsid w:val="00E05189"/>
    <w:rsid w:val="00E33EF5"/>
    <w:rsid w:val="00E91996"/>
    <w:rsid w:val="00EC0B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24D0B"/>
  <w15:chartTrackingRefBased/>
  <w15:docId w15:val="{2DFF8E02-898E-44EE-B283-90E04CF9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7395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51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05189"/>
    <w:rPr>
      <w:b/>
      <w:bCs/>
    </w:rPr>
  </w:style>
  <w:style w:type="character" w:customStyle="1" w:styleId="Heading3Char">
    <w:name w:val="Heading 3 Char"/>
    <w:basedOn w:val="DefaultParagraphFont"/>
    <w:link w:val="Heading3"/>
    <w:uiPriority w:val="9"/>
    <w:rsid w:val="00C7395C"/>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E91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996"/>
  </w:style>
  <w:style w:type="paragraph" w:styleId="Footer">
    <w:name w:val="footer"/>
    <w:basedOn w:val="Normal"/>
    <w:link w:val="FooterChar"/>
    <w:uiPriority w:val="99"/>
    <w:unhideWhenUsed/>
    <w:rsid w:val="00E91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9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74490">
      <w:bodyDiv w:val="1"/>
      <w:marLeft w:val="0"/>
      <w:marRight w:val="0"/>
      <w:marTop w:val="0"/>
      <w:marBottom w:val="0"/>
      <w:divBdr>
        <w:top w:val="none" w:sz="0" w:space="0" w:color="auto"/>
        <w:left w:val="none" w:sz="0" w:space="0" w:color="auto"/>
        <w:bottom w:val="none" w:sz="0" w:space="0" w:color="auto"/>
        <w:right w:val="none" w:sz="0" w:space="0" w:color="auto"/>
      </w:divBdr>
    </w:div>
    <w:div w:id="368920848">
      <w:bodyDiv w:val="1"/>
      <w:marLeft w:val="0"/>
      <w:marRight w:val="0"/>
      <w:marTop w:val="0"/>
      <w:marBottom w:val="0"/>
      <w:divBdr>
        <w:top w:val="none" w:sz="0" w:space="0" w:color="auto"/>
        <w:left w:val="none" w:sz="0" w:space="0" w:color="auto"/>
        <w:bottom w:val="none" w:sz="0" w:space="0" w:color="auto"/>
        <w:right w:val="none" w:sz="0" w:space="0" w:color="auto"/>
      </w:divBdr>
    </w:div>
    <w:div w:id="530849993">
      <w:bodyDiv w:val="1"/>
      <w:marLeft w:val="0"/>
      <w:marRight w:val="0"/>
      <w:marTop w:val="0"/>
      <w:marBottom w:val="0"/>
      <w:divBdr>
        <w:top w:val="none" w:sz="0" w:space="0" w:color="auto"/>
        <w:left w:val="none" w:sz="0" w:space="0" w:color="auto"/>
        <w:bottom w:val="none" w:sz="0" w:space="0" w:color="auto"/>
        <w:right w:val="none" w:sz="0" w:space="0" w:color="auto"/>
      </w:divBdr>
    </w:div>
    <w:div w:id="1403912938">
      <w:bodyDiv w:val="1"/>
      <w:marLeft w:val="0"/>
      <w:marRight w:val="0"/>
      <w:marTop w:val="0"/>
      <w:marBottom w:val="0"/>
      <w:divBdr>
        <w:top w:val="none" w:sz="0" w:space="0" w:color="auto"/>
        <w:left w:val="none" w:sz="0" w:space="0" w:color="auto"/>
        <w:bottom w:val="none" w:sz="0" w:space="0" w:color="auto"/>
        <w:right w:val="none" w:sz="0" w:space="0" w:color="auto"/>
      </w:divBdr>
    </w:div>
    <w:div w:id="147910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6" ma:contentTypeDescription="Create a new document." ma:contentTypeScope="" ma:versionID="bbbe65f0025149aebc0f6e1d4fbbc27f">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1545ba8cf931c61df770f27d0d12233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element ref="ns2:MediaServiceBillingMetadata" minOccurs="0"/>
                <xsd:element ref="ns2:MediaServiceLocation" minOccurs="0"/>
                <xsd:element ref="ns2:File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Already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ServiceLocation" ma:index="30" nillable="true" ma:displayName="Location" ma:indexed="true" ma:internalName="MediaServiceLocation" ma:readOnly="true">
      <xsd:simpleType>
        <xsd:restriction base="dms:Text"/>
      </xsd:simpleType>
    </xsd:element>
    <xsd:element name="FilePreview" ma:index="31" nillable="true" ma:displayName="Preview" ma:format="Dropdown" ma:internalName="FilePreview">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States</Category>
    <lcf76f155ced4ddcb4097134ff3c332f xmlns="d42e65b2-cf21-49c1-b27d-d23f90380c0e">
      <Terms xmlns="http://schemas.microsoft.com/office/infopath/2007/PartnerControls"/>
    </lcf76f155ced4ddcb4097134ff3c332f>
    <Filename xmlns="d42e65b2-cf21-49c1-b27d-d23f90380c0e" xsi:nil="true"/>
    <FilePreview xmlns="d42e65b2-cf21-49c1-b27d-d23f90380c0e" xsi:nil="true"/>
    <Doctype xmlns="d42e65b2-cf21-49c1-b27d-d23f90380c0e">input</Doctype>
    <TaxCatchAll xmlns="985ec44e-1bab-4c0b-9df0-6ba128686fc9" xsi:nil="true"/>
    <Contributor xmlns="d42e65b2-cf21-49c1-b27d-d23f90380c0e">Iran</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1E7B57A9-5C39-4D6F-9808-4D3264657DD2}">
  <ds:schemaRefs>
    <ds:schemaRef ds:uri="http://schemas.openxmlformats.org/officeDocument/2006/bibliography"/>
  </ds:schemaRefs>
</ds:datastoreItem>
</file>

<file path=customXml/itemProps2.xml><?xml version="1.0" encoding="utf-8"?>
<ds:datastoreItem xmlns:ds="http://schemas.openxmlformats.org/officeDocument/2006/customXml" ds:itemID="{6991EDFC-25B5-4436-BA72-57B8C5AD13DF}"/>
</file>

<file path=customXml/itemProps3.xml><?xml version="1.0" encoding="utf-8"?>
<ds:datastoreItem xmlns:ds="http://schemas.openxmlformats.org/officeDocument/2006/customXml" ds:itemID="{B221301C-E1CD-4283-9591-16A3AE0C7BC1}"/>
</file>

<file path=customXml/itemProps4.xml><?xml version="1.0" encoding="utf-8"?>
<ds:datastoreItem xmlns:ds="http://schemas.openxmlformats.org/officeDocument/2006/customXml" ds:itemID="{500FCB39-F3FE-40F4-8046-616A07DBDCEB}"/>
</file>

<file path=docProps/app.xml><?xml version="1.0" encoding="utf-8"?>
<Properties xmlns="http://schemas.openxmlformats.org/officeDocument/2006/extended-properties" xmlns:vt="http://schemas.openxmlformats.org/officeDocument/2006/docPropsVTypes">
  <Template>Normal.dotm</Template>
  <TotalTime>5</TotalTime>
  <Pages>5</Pages>
  <Words>2040</Words>
  <Characters>11632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Mahin Siamansori</dc:creator>
  <cp:keywords/>
  <dc:description/>
  <cp:lastModifiedBy>User</cp:lastModifiedBy>
  <cp:revision>3</cp:revision>
  <dcterms:created xsi:type="dcterms:W3CDTF">2026-07-01T10:19:00Z</dcterms:created>
  <dcterms:modified xsi:type="dcterms:W3CDTF">2026-07-01T13:22:00Z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